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Times New Roman" w:hAnsi="Times New Roman" w:eastAsia="新細明體"/>
          <w:b/>
          <w:color w:val="1A365D"/>
          <w:sz w:val="38"/>
        </w:rPr>
        <w:t>027｜誰在行政行動？</w:t>
      </w:r>
    </w:p>
    <w:p>
      <w:pPr>
        <w:spacing w:after="120"/>
      </w:pPr>
      <w:r>
        <w:rPr>
          <w:rFonts w:ascii="Times New Roman" w:hAnsi="Times New Roman" w:eastAsia="新細明體"/>
          <w:b/>
          <w:color w:val="1A365D"/>
          <w:sz w:val="38"/>
        </w:rPr>
        <w:t>人工智慧時代行政行動者概念的理論重構</w:t>
      </w:r>
    </w:p>
    <w:p>
      <w:pPr>
        <w:spacing w:after="200" w:before="0" w:line="312" w:lineRule="auto"/>
      </w:pPr>
      <w:r>
        <w:rPr>
          <w:rFonts w:ascii="Times New Roman" w:hAnsi="Times New Roman" w:eastAsia="新細明體"/>
          <w:b w:val="0"/>
          <w:i/>
          <w:color w:val="4A5568"/>
          <w:sz w:val="23"/>
        </w:rPr>
        <w:t>Who Acts in Administration? Reconstructing the Administrative Actor in the Age of Artificial Intelligence</w:t>
      </w:r>
    </w:p>
    <w:p>
      <w:pPr>
        <w:spacing w:after="80" w:before="0" w:line="312" w:lineRule="auto"/>
      </w:pPr>
      <w:r>
        <w:rPr>
          <w:rFonts w:ascii="Times New Roman" w:hAnsi="Times New Roman" w:eastAsia="新細明體"/>
          <w:b/>
          <w:i w:val="0"/>
          <w:color w:val="2C5282"/>
          <w:sz w:val="21"/>
        </w:rPr>
        <w:t>純理論論文｜本體論／行動生成篇（審查修訂・整合完整版）</w:t>
      </w:r>
    </w:p>
    <w:p>
      <w:pPr>
        <w:spacing w:after="320"/>
      </w:pPr>
      <w:r>
        <w:rPr>
          <w:rFonts w:ascii="Times New Roman" w:hAnsi="Times New Roman" w:eastAsia="新細明體"/>
          <w:b/>
          <w:color w:val="2C5282"/>
          <w:sz w:val="21"/>
        </w:rPr>
        <w:t>【論文定位】</w:t>
      </w:r>
      <w:r>
        <w:rPr>
          <w:rFonts w:ascii="Times New Roman" w:hAnsi="Times New Roman" w:eastAsia="新細明體"/>
          <w:color w:val="2D3748"/>
          <w:sz w:val="21"/>
        </w:rPr>
        <w:t>純理論推演。透過概念分析、隱含前提辨識與規範／本體論推演形成新的理論命題。案例僅作說明性直覺範例，不作為驗證架構的主要方法。核心概念：分散式行政行動（Distributed Administrative Action）、行政行動生成的四層構成。與028「裁量場」、029「公共判斷不可外包原則」共同構成AI時代公共行政理論三部曲。</w:t>
      </w:r>
    </w:p>
    <w:p>
      <w:pPr>
        <w:spacing w:before="400" w:after="160"/>
      </w:pPr>
      <w:r>
        <w:rPr>
          <w:rFonts w:ascii="Times New Roman" w:hAnsi="Times New Roman" w:eastAsia="新細明體"/>
          <w:b/>
          <w:color w:val="1A365D"/>
          <w:sz w:val="30"/>
        </w:rPr>
        <w:t>摘要</w:t>
      </w:r>
    </w:p>
    <w:p>
      <w:pPr>
        <w:spacing w:after="160" w:before="0" w:line="312" w:lineRule="auto"/>
      </w:pPr>
      <w:r>
        <w:rPr>
          <w:rFonts w:ascii="Times New Roman" w:hAnsi="Times New Roman" w:eastAsia="新細明體"/>
          <w:b w:val="0"/>
          <w:i w:val="0"/>
          <w:sz w:val="22"/>
        </w:rPr>
        <w:t>公共行政學對行政行動的理解，長期在法律歸屬、規範意志與責任承擔上，傾向保留人類或由人類組成的組織作為最終行動主體。本文並非主張傳統行政學完全忽略組織與制度，而是指出：傳統理論雖已處理多重條件，但在規範意志與法律責任的最終歸屬上，仍傾向保留人類或人類組織作為不可化約的終點，本文稱此為「最終人類主體預設」。當資料選擇、模型計算、介面設計與組織程序共同參與行政結果的生成時，若繼續僅以最終簽核的人類或機關作為唯一分析焦點，將難以充分解釋權力實際如何運作。本文主張，人工智慧時代的行政行動，應由「最終人類主體預設」轉向「分散式行政行動」（Distributed Administrative Action），並提出「行政行動生成的四層構成」（法定行動者、判斷行動者、計算性作用者、結構性作用者）作為分析框架，其中計算層次進一步區分規範裁量、設計裁量與運算選擇三種性質不同的判斷，以釐清AI通常承載或放大設計裁量、而非自行擁有完整規範裁量。本文以一項社會福利資格審查的分析性示例，展示四層構成如何具體應用於個案分析。本文同時堅持一項理論邊界：參與行政行動不等於取得公共權威，計算與結構層次可具因果影響，但不能成為公共權威的終點。本文主動回應工具論、組織論與法律歸屬論三種競爭性理論，並區分責任來源的分散、責任承擔的配置與責任的稀釋，以避免「分散式課責」淪為責任落空。</w:t>
      </w:r>
    </w:p>
    <w:p>
      <w:pPr>
        <w:spacing w:after="160" w:before="0" w:line="312" w:lineRule="auto"/>
      </w:pPr>
      <w:r>
        <w:rPr>
          <w:rFonts w:ascii="Times New Roman" w:hAnsi="Times New Roman" w:eastAsia="新細明體"/>
          <w:b/>
          <w:i w:val="0"/>
          <w:sz w:val="21"/>
        </w:rPr>
        <w:t>關鍵詞：分散式行政行動；行政行動者；行政裁量；演算法官僚；分散式課責；多手問題；人工智慧治理</w:t>
      </w:r>
    </w:p>
    <w:p>
      <w:pPr>
        <w:spacing w:before="400" w:after="160"/>
      </w:pPr>
      <w:r>
        <w:rPr>
          <w:rFonts w:ascii="Times New Roman" w:hAnsi="Times New Roman" w:eastAsia="新細明體"/>
          <w:b/>
          <w:color w:val="1A365D"/>
          <w:sz w:val="30"/>
        </w:rPr>
        <w:t>一、問題意識與研究命題：從最終人類主體預設轉向分散式行政行動</w:t>
      </w:r>
    </w:p>
    <w:p>
      <w:pPr>
        <w:spacing w:after="160" w:before="0" w:line="312" w:lineRule="auto"/>
      </w:pPr>
      <w:r>
        <w:rPr>
          <w:rFonts w:ascii="Times New Roman" w:hAnsi="Times New Roman" w:eastAsia="新細明體"/>
          <w:b w:val="0"/>
          <w:i w:val="0"/>
          <w:sz w:val="22"/>
        </w:rPr>
        <w:t>公共行政學對行政行動的理解，長期在法律歸屬、規範意志與責任承擔上，傾向保留人類或由人類組成的組織作為最終行動主體。自韋伯官僚制、西蒙有限理性決策至李普斯基街頭官僚理論，雖已承認組織、制度與環境條件的影響，但在「誰最終作成決定、誰承擔規範性責任」的問題上，仍以人類主體為核心預設。</w:t>
      </w:r>
    </w:p>
    <w:p>
      <w:pPr>
        <w:spacing w:after="160" w:before="0" w:line="312" w:lineRule="auto"/>
      </w:pPr>
      <w:r>
        <w:rPr>
          <w:rFonts w:ascii="Times New Roman" w:hAnsi="Times New Roman" w:eastAsia="新細明體"/>
          <w:b w:val="0"/>
          <w:i w:val="0"/>
          <w:sz w:val="22"/>
        </w:rPr>
        <w:t>此一預設在人工智慧深度介入行政過程之前運作平穩。然而當資料選擇、模型計算、介面設計與組織程序共同參與行政結果的生成時，若繼續僅以最終簽核的人類或機關作為唯一分析焦點，將難以充分解釋權力實際如何運作，也難以恰當定位責任與正當性。</w:t>
      </w:r>
    </w:p>
    <w:p>
      <w:pPr>
        <w:spacing w:after="160" w:before="0" w:line="312" w:lineRule="auto"/>
      </w:pPr>
      <w:r>
        <w:rPr>
          <w:rFonts w:ascii="Times New Roman" w:hAnsi="Times New Roman" w:eastAsia="新細明體"/>
          <w:b w:val="0"/>
          <w:i w:val="0"/>
          <w:sz w:val="22"/>
        </w:rPr>
        <w:t>本文並非主張傳統行政學完全忽略組織與制度，而是指出：傳統理論雖已處理多重條件，但在規範意志與法律責任的最終歸屬上，仍傾向保留人類或人類組織作為不可化約的終點。本文主命題因此為：人工智慧時代的行政行動，應由「最終人類主體預設」轉向「分散式行政行動」（Distributed Administrative Action）。核心問題從「誰做了決定」轉向「一項具有公共效果的決定是如何被共同生成」。</w:t>
      </w:r>
    </w:p>
    <w:p>
      <w:pPr>
        <w:spacing w:after="160" w:before="0" w:line="312" w:lineRule="auto"/>
      </w:pPr>
      <w:r>
        <w:rPr>
          <w:rFonts w:ascii="Times New Roman" w:hAnsi="Times New Roman" w:eastAsia="新細明體"/>
          <w:b w:val="0"/>
          <w:i w:val="0"/>
          <w:sz w:val="22"/>
        </w:rPr>
        <w:t>分散式行政行動並非主張責任的平均分散或主體的無限增殖，而是強調行政結果由多重條件共同生成。分析時必須同時看見「生成貢獻」與「責任歸屬」，二者不可混為一談。</w:t>
      </w:r>
    </w:p>
    <w:p>
      <w:pPr>
        <w:spacing w:before="400" w:after="160"/>
      </w:pPr>
      <w:r>
        <w:rPr>
          <w:rFonts w:ascii="Times New Roman" w:hAnsi="Times New Roman" w:eastAsia="新細明體"/>
          <w:b/>
          <w:color w:val="1A365D"/>
          <w:sz w:val="30"/>
        </w:rPr>
        <w:t>二、傳統行政學中的行動者假設與隱含前提</w:t>
      </w:r>
    </w:p>
    <w:p>
      <w:pPr>
        <w:spacing w:after="160" w:before="0" w:line="312" w:lineRule="auto"/>
      </w:pPr>
      <w:r>
        <w:rPr>
          <w:rFonts w:ascii="Times New Roman" w:hAnsi="Times New Roman" w:eastAsia="新細明體"/>
          <w:b w:val="0"/>
          <w:i w:val="0"/>
          <w:sz w:val="22"/>
        </w:rPr>
        <w:t>傳統理論並非簡單的「單一人類主體模型」。韋伯的官僚制同時涉及職位、規則、組織與權威關係；西蒙強調組織環境、程序與注意力結構；Lipsky的街頭官僚理論亦重視資源限制、工作環境與組織規範；網絡治理與制度論更早已處理多重行動者。</w:t>
      </w:r>
    </w:p>
    <w:p>
      <w:pPr>
        <w:spacing w:after="160" w:before="0" w:line="312" w:lineRule="auto"/>
      </w:pPr>
      <w:r>
        <w:rPr>
          <w:rFonts w:ascii="Times New Roman" w:hAnsi="Times New Roman" w:eastAsia="新細明體"/>
          <w:b w:val="0"/>
          <w:i w:val="0"/>
          <w:sz w:val="22"/>
        </w:rPr>
        <w:t>然而，這些理論在法律歸屬、規範意志與責任承擔的最終環節上，仍傾向保留人類或人類組織作為可被課責的終點。本文將此稱為「最終人類主體預設」：即便承認組織與技術條件的影響，行政行動的規範性歸屬仍指向可識別的人類或機關。此一預設在人工智慧深度參與生成過程時，開始出現需要重新檢視的裂縫。</w:t>
      </w:r>
    </w:p>
    <w:p>
      <w:pPr>
        <w:spacing w:before="400" w:after="160"/>
      </w:pPr>
      <w:r>
        <w:rPr>
          <w:rFonts w:ascii="Times New Roman" w:hAnsi="Times New Roman" w:eastAsia="新細明體"/>
          <w:b/>
          <w:color w:val="1A365D"/>
          <w:sz w:val="30"/>
        </w:rPr>
        <w:t>三、AI造成的概念斷裂：行動生成條件的結構性分散</w:t>
      </w:r>
    </w:p>
    <w:p>
      <w:pPr>
        <w:spacing w:after="160" w:before="0" w:line="312" w:lineRule="auto"/>
      </w:pPr>
      <w:r>
        <w:rPr>
          <w:rFonts w:ascii="Times New Roman" w:hAnsi="Times New Roman" w:eastAsia="新細明體"/>
          <w:b w:val="0"/>
          <w:i w:val="0"/>
          <w:sz w:val="22"/>
        </w:rPr>
        <w:t>當人工智慧系統深度嵌入行政過程，行政結果的生成條件被重新配置。資料、模型、介面與組織程序不再只是輔助工具，而是實質參與並塑造最終行政效果的構成性要素。</w:t>
      </w:r>
    </w:p>
    <w:p>
      <w:pPr>
        <w:spacing w:after="160" w:before="0" w:line="312" w:lineRule="auto"/>
      </w:pPr>
      <w:r>
        <w:rPr>
          <w:rFonts w:ascii="Times New Roman" w:hAnsi="Times New Roman" w:eastAsia="新細明體"/>
          <w:b w:val="0"/>
          <w:i w:val="0"/>
          <w:sz w:val="22"/>
        </w:rPr>
        <w:t>判斷生成時點前移：資料選擇、特徵工程與標籤規則已預先劃定可能結果的邊界。計算過程承載設計裁量：損失函數、閾值與排序邏輯將抽象規範轉譯為可操作的輸出，這些輸出可能放大或遮蔽設計者與制度所預先作出的選擇。介面制約判斷空間：預設選項與資訊排序引導注意力。組織程序將上述配置制度化。</w:t>
      </w:r>
    </w:p>
    <w:p>
      <w:pPr>
        <w:spacing w:after="160" w:before="0" w:line="312" w:lineRule="auto"/>
      </w:pPr>
      <w:r>
        <w:rPr>
          <w:rFonts w:ascii="Times New Roman" w:hAnsi="Times New Roman" w:eastAsia="新細明體"/>
          <w:b w:val="0"/>
          <w:i w:val="0"/>
          <w:sz w:val="22"/>
        </w:rPr>
        <w:t>結果是：行政行動從「可追溯至單一意志的展現」轉化為「多重條件共同生成的過程」。AI既非獨立行政主體，亦非可完全還原為純工具的被動媒介。</w:t>
      </w:r>
    </w:p>
    <w:p>
      <w:pPr>
        <w:spacing w:before="400" w:after="160"/>
      </w:pPr>
      <w:r>
        <w:rPr>
          <w:rFonts w:ascii="Times New Roman" w:hAnsi="Times New Roman" w:eastAsia="新細明體"/>
          <w:b/>
          <w:color w:val="1A365D"/>
          <w:sz w:val="30"/>
        </w:rPr>
        <w:t>四、分散式行政行動：行政行動生成的四層構成</w:t>
      </w:r>
    </w:p>
    <w:p>
      <w:pPr>
        <w:spacing w:after="160" w:before="0" w:line="312" w:lineRule="auto"/>
      </w:pPr>
      <w:r>
        <w:rPr>
          <w:rFonts w:ascii="Times New Roman" w:hAnsi="Times New Roman" w:eastAsia="新細明體"/>
          <w:b w:val="0"/>
          <w:i w:val="0"/>
          <w:sz w:val="22"/>
        </w:rPr>
        <w:t>為同時保留法律形式正當性並揭示實質生成條件，本文提出「行政行動生成的四層構成」。此處「層」指功能位置與分析節點，而非主張四者在同一本體論意義上皆為「規範性行動者」——本文將此一用法限定於「弱意義」，僅指能穩定改變行政行動可能性、方向或結果的制度—技術要素，而非具有意志、能夠承擔公共權威的規範性主體。</w:t>
      </w:r>
    </w:p>
    <w:p>
      <w:pPr>
        <w:spacing w:after="160" w:before="0" w:line="312" w:lineRule="auto"/>
      </w:pPr>
      <w:r>
        <w:rPr>
          <w:rFonts w:ascii="Times New Roman" w:hAnsi="Times New Roman" w:eastAsia="新細明體"/>
          <w:b w:val="0"/>
          <w:i w:val="0"/>
          <w:sz w:val="22"/>
        </w:rPr>
        <w:t>第一層：法定行動者（Legal Actor）。具有法律權限與責任能力的機關或公務員，對外代表國家、簽署處分並承擔最終法律責任。此為規範性責任的承載點，不可被取消。</w:t>
      </w:r>
    </w:p>
    <w:p>
      <w:pPr>
        <w:spacing w:after="160" w:before="0" w:line="312" w:lineRule="auto"/>
      </w:pPr>
      <w:r>
        <w:rPr>
          <w:rFonts w:ascii="Times New Roman" w:hAnsi="Times New Roman" w:eastAsia="新細明體"/>
          <w:b w:val="0"/>
          <w:i w:val="0"/>
          <w:sz w:val="22"/>
        </w:rPr>
        <w:t>第二層：判斷行動者（Judgment Actor）。對系統輸出進行實質審查、修正或推翻的審查員或專家。其功能在於形成或修正個案判斷，並開啟例外。</w:t>
      </w:r>
    </w:p>
    <w:p>
      <w:pPr>
        <w:spacing w:after="160" w:before="0" w:line="312" w:lineRule="auto"/>
      </w:pPr>
      <w:r>
        <w:rPr>
          <w:rFonts w:ascii="Times New Roman" w:hAnsi="Times New Roman" w:eastAsia="新細明體"/>
          <w:b w:val="0"/>
          <w:i w:val="0"/>
          <w:sz w:val="22"/>
        </w:rPr>
        <w:t>第三層：計算性作用者（Computational Agency）。訓練模型、推論演算法與規則引擎。它們透過輸出塑造結果，但本身不具規範意志。此處需嚴格區分三層：規範裁量（選擇法律或政策如何適用）、設計裁量（選擇資料、標籤、目標函數與門檻）、運算選擇（依既定模型對個案分類、排序或預測）。AI通常承載或放大設計裁量，而非自行擁有完整規範裁量。</w:t>
      </w:r>
    </w:p>
    <w:p>
      <w:pPr>
        <w:spacing w:after="160" w:before="0" w:line="312" w:lineRule="auto"/>
      </w:pPr>
      <w:r>
        <w:rPr>
          <w:rFonts w:ascii="Times New Roman" w:hAnsi="Times New Roman" w:eastAsia="新細明體"/>
          <w:b w:val="0"/>
          <w:i w:val="0"/>
          <w:sz w:val="22"/>
        </w:rPr>
        <w:t>第四層：結構性作用者（Structural Agency）。訓練資料、介面、SOP與預設值。它們配置可見性、選項與行動空間，決定「什麼是可能的」。</w:t>
      </w:r>
    </w:p>
    <w:p>
      <w:pPr>
        <w:spacing w:after="160" w:before="0" w:line="312" w:lineRule="auto"/>
      </w:pPr>
      <w:r>
        <w:rPr>
          <w:rFonts w:ascii="Times New Roman" w:hAnsi="Times New Roman" w:eastAsia="新細明體"/>
          <w:b w:val="0"/>
          <w:i w:val="0"/>
          <w:sz w:val="22"/>
        </w:rPr>
        <w:t>四層相互制約。法定行動者與判斷行動者屬規範性與判斷性位置；計算與結構屬因果與條件性位置。分析時必須分開處理「生成貢獻」與「責任歸屬」。</w:t>
      </w:r>
    </w:p>
    <w:p>
      <w:pPr>
        <w:spacing w:before="280" w:after="160"/>
      </w:pPr>
      <w:r>
        <w:rPr>
          <w:rFonts w:ascii="Times New Roman" w:hAnsi="Times New Roman" w:eastAsia="新細明體"/>
          <w:b/>
          <w:color w:val="1A365D"/>
          <w:sz w:val="26"/>
        </w:rPr>
        <w:t>4.1　分析矩陣</w:t>
      </w:r>
    </w:p>
    <w:p>
      <w:pPr>
        <w:spacing w:after="160" w:before="0" w:line="312" w:lineRule="auto"/>
      </w:pPr>
      <w:r>
        <w:rPr>
          <w:rFonts w:ascii="Times New Roman" w:hAnsi="Times New Roman" w:eastAsia="新細明體"/>
          <w:b w:val="0"/>
          <w:i w:val="0"/>
          <w:sz w:val="22"/>
        </w:rPr>
        <w:t>為使四層構成可操作化，提出以下分析矩陣：</w:t>
      </w:r>
    </w:p>
    <w:tbl>
      <w:tblPr>
        <w:tblStyle w:val="TableGrid"/>
        <w:tblW w:type="auto" w:w="0"/>
        <w:jc w:val="center"/>
        <w:tblLook w:firstColumn="1" w:firstRow="1" w:lastColumn="0" w:lastRow="0" w:noHBand="0" w:noVBand="1" w:val="04A0"/>
      </w:tblPr>
      <w:tblGrid>
        <w:gridCol w:w="2268"/>
        <w:gridCol w:w="2268"/>
        <w:gridCol w:w="2268"/>
        <w:gridCol w:w="2268"/>
      </w:tblGrid>
      <w:tr>
        <w:tc>
          <w:tcPr>
            <w:tcW w:type="dxa" w:w="1872"/>
            <w:shd w:fill="EBF8FF"/>
          </w:tcPr>
          <w:p>
            <w:pPr>
              <w:spacing w:after="40" w:line="276" w:lineRule="auto"/>
            </w:pPr>
            <w:r/>
            <w:r>
              <w:rPr>
                <w:rFonts w:ascii="Times New Roman" w:hAnsi="Times New Roman" w:eastAsia="新細明體"/>
                <w:b/>
                <w:color w:val="2C5282"/>
                <w:sz w:val="19"/>
              </w:rPr>
              <w:t>層次</w:t>
            </w:r>
          </w:p>
        </w:tc>
        <w:tc>
          <w:tcPr>
            <w:tcW w:type="dxa" w:w="2736"/>
            <w:shd w:fill="EBF8FF"/>
          </w:tcPr>
          <w:p>
            <w:pPr>
              <w:spacing w:after="40" w:line="276" w:lineRule="auto"/>
            </w:pPr>
            <w:r/>
            <w:r>
              <w:rPr>
                <w:rFonts w:ascii="Times New Roman" w:hAnsi="Times New Roman" w:eastAsia="新細明體"/>
                <w:b/>
                <w:color w:val="2C5282"/>
                <w:sz w:val="19"/>
              </w:rPr>
              <w:t>核心問題</w:t>
            </w:r>
          </w:p>
        </w:tc>
        <w:tc>
          <w:tcPr>
            <w:tcW w:type="dxa" w:w="2448"/>
            <w:shd w:fill="EBF8FF"/>
          </w:tcPr>
          <w:p>
            <w:pPr>
              <w:spacing w:after="40" w:line="276" w:lineRule="auto"/>
            </w:pPr>
            <w:r/>
            <w:r>
              <w:rPr>
                <w:rFonts w:ascii="Times New Roman" w:hAnsi="Times New Roman" w:eastAsia="新細明體"/>
                <w:b/>
                <w:color w:val="2C5282"/>
                <w:sz w:val="19"/>
              </w:rPr>
              <w:t>可能證據</w:t>
            </w:r>
          </w:p>
        </w:tc>
        <w:tc>
          <w:tcPr>
            <w:tcW w:type="dxa" w:w="2304"/>
            <w:shd w:fill="EBF8FF"/>
          </w:tcPr>
          <w:p>
            <w:pPr>
              <w:spacing w:after="40" w:line="276" w:lineRule="auto"/>
            </w:pPr>
            <w:r/>
            <w:r>
              <w:rPr>
                <w:rFonts w:ascii="Times New Roman" w:hAnsi="Times New Roman" w:eastAsia="新細明體"/>
                <w:b/>
                <w:color w:val="2C5282"/>
                <w:sz w:val="19"/>
              </w:rPr>
              <w:t>主要責任問題</w:t>
            </w:r>
          </w:p>
        </w:tc>
      </w:tr>
      <w:tr>
        <w:tc>
          <w:tcPr>
            <w:tcW w:type="dxa" w:w="1872"/>
          </w:tcPr>
          <w:p>
            <w:pPr>
              <w:spacing w:after="40" w:line="276" w:lineRule="auto"/>
            </w:pPr>
            <w:r/>
            <w:r>
              <w:rPr>
                <w:rFonts w:ascii="Times New Roman" w:hAnsi="Times New Roman" w:eastAsia="新細明體"/>
                <w:color w:val="2D3748"/>
                <w:sz w:val="19"/>
              </w:rPr>
              <w:t>法定行動者</w:t>
            </w:r>
          </w:p>
        </w:tc>
        <w:tc>
          <w:tcPr>
            <w:tcW w:type="dxa" w:w="2736"/>
          </w:tcPr>
          <w:p>
            <w:pPr>
              <w:spacing w:after="40" w:line="276" w:lineRule="auto"/>
            </w:pPr>
            <w:r/>
            <w:r>
              <w:rPr>
                <w:rFonts w:ascii="Times New Roman" w:hAnsi="Times New Roman" w:eastAsia="新細明體"/>
                <w:color w:val="2D3748"/>
                <w:sz w:val="19"/>
              </w:rPr>
              <w:t>誰依法作成或發布決定？</w:t>
            </w:r>
          </w:p>
        </w:tc>
        <w:tc>
          <w:tcPr>
            <w:tcW w:type="dxa" w:w="2448"/>
          </w:tcPr>
          <w:p>
            <w:pPr>
              <w:spacing w:after="40" w:line="276" w:lineRule="auto"/>
            </w:pPr>
            <w:r/>
            <w:r>
              <w:rPr>
                <w:rFonts w:ascii="Times New Roman" w:hAnsi="Times New Roman" w:eastAsia="新細明體"/>
                <w:color w:val="2D3748"/>
                <w:sz w:val="19"/>
              </w:rPr>
              <w:t>授權規定、簽核紀錄、行政處分</w:t>
            </w:r>
          </w:p>
        </w:tc>
        <w:tc>
          <w:tcPr>
            <w:tcW w:type="dxa" w:w="2304"/>
          </w:tcPr>
          <w:p>
            <w:pPr>
              <w:spacing w:after="40" w:line="276" w:lineRule="auto"/>
            </w:pPr>
            <w:r/>
            <w:r>
              <w:rPr>
                <w:rFonts w:ascii="Times New Roman" w:hAnsi="Times New Roman" w:eastAsia="新細明體"/>
                <w:color w:val="2D3748"/>
                <w:sz w:val="19"/>
              </w:rPr>
              <w:t>權限與法律責任</w:t>
            </w:r>
          </w:p>
        </w:tc>
      </w:tr>
      <w:tr>
        <w:tc>
          <w:tcPr>
            <w:tcW w:type="dxa" w:w="1872"/>
            <w:shd w:fill="F7FAFC"/>
          </w:tcPr>
          <w:p>
            <w:pPr>
              <w:spacing w:after="40" w:line="276" w:lineRule="auto"/>
            </w:pPr>
            <w:r/>
            <w:r>
              <w:rPr>
                <w:rFonts w:ascii="Times New Roman" w:hAnsi="Times New Roman" w:eastAsia="新細明體"/>
                <w:color w:val="2D3748"/>
                <w:sz w:val="19"/>
              </w:rPr>
              <w:t>判斷行動者</w:t>
            </w:r>
          </w:p>
        </w:tc>
        <w:tc>
          <w:tcPr>
            <w:tcW w:type="dxa" w:w="2736"/>
            <w:shd w:fill="F7FAFC"/>
          </w:tcPr>
          <w:p>
            <w:pPr>
              <w:spacing w:after="40" w:line="276" w:lineRule="auto"/>
            </w:pPr>
            <w:r/>
            <w:r>
              <w:rPr>
                <w:rFonts w:ascii="Times New Roman" w:hAnsi="Times New Roman" w:eastAsia="新細明體"/>
                <w:color w:val="2D3748"/>
                <w:sz w:val="19"/>
              </w:rPr>
              <w:t>誰審查、修正或推翻系統輸出？</w:t>
            </w:r>
          </w:p>
        </w:tc>
        <w:tc>
          <w:tcPr>
            <w:tcW w:type="dxa" w:w="2448"/>
            <w:shd w:fill="F7FAFC"/>
          </w:tcPr>
          <w:p>
            <w:pPr>
              <w:spacing w:after="40" w:line="276" w:lineRule="auto"/>
            </w:pPr>
            <w:r/>
            <w:r>
              <w:rPr>
                <w:rFonts w:ascii="Times New Roman" w:hAnsi="Times New Roman" w:eastAsia="新細明體"/>
                <w:color w:val="2D3748"/>
                <w:sz w:val="19"/>
              </w:rPr>
              <w:t>審查紀錄、覆核比例、例外處理</w:t>
            </w:r>
          </w:p>
        </w:tc>
        <w:tc>
          <w:tcPr>
            <w:tcW w:type="dxa" w:w="2304"/>
            <w:shd w:fill="F7FAFC"/>
          </w:tcPr>
          <w:p>
            <w:pPr>
              <w:spacing w:after="40" w:line="276" w:lineRule="auto"/>
            </w:pPr>
            <w:r/>
            <w:r>
              <w:rPr>
                <w:rFonts w:ascii="Times New Roman" w:hAnsi="Times New Roman" w:eastAsia="新細明體"/>
                <w:color w:val="2D3748"/>
                <w:sz w:val="19"/>
              </w:rPr>
              <w:t>實質審查是否有效</w:t>
            </w:r>
          </w:p>
        </w:tc>
      </w:tr>
      <w:tr>
        <w:tc>
          <w:tcPr>
            <w:tcW w:type="dxa" w:w="1872"/>
          </w:tcPr>
          <w:p>
            <w:pPr>
              <w:spacing w:after="40" w:line="276" w:lineRule="auto"/>
            </w:pPr>
            <w:r/>
            <w:r>
              <w:rPr>
                <w:rFonts w:ascii="Times New Roman" w:hAnsi="Times New Roman" w:eastAsia="新細明體"/>
                <w:color w:val="2D3748"/>
                <w:sz w:val="19"/>
              </w:rPr>
              <w:t>計算性作用者</w:t>
            </w:r>
          </w:p>
        </w:tc>
        <w:tc>
          <w:tcPr>
            <w:tcW w:type="dxa" w:w="2736"/>
          </w:tcPr>
          <w:p>
            <w:pPr>
              <w:spacing w:after="40" w:line="276" w:lineRule="auto"/>
            </w:pPr>
            <w:r/>
            <w:r>
              <w:rPr>
                <w:rFonts w:ascii="Times New Roman" w:hAnsi="Times New Roman" w:eastAsia="新細明體"/>
                <w:color w:val="2D3748"/>
                <w:sz w:val="19"/>
              </w:rPr>
              <w:t>哪些模型或規則影響結果？</w:t>
            </w:r>
          </w:p>
        </w:tc>
        <w:tc>
          <w:tcPr>
            <w:tcW w:type="dxa" w:w="2448"/>
          </w:tcPr>
          <w:p>
            <w:pPr>
              <w:spacing w:after="40" w:line="276" w:lineRule="auto"/>
            </w:pPr>
            <w:r/>
            <w:r>
              <w:rPr>
                <w:rFonts w:ascii="Times New Roman" w:hAnsi="Times New Roman" w:eastAsia="新細明體"/>
                <w:color w:val="2D3748"/>
                <w:sz w:val="19"/>
              </w:rPr>
              <w:t>模型版本、參數、輸出紀錄</w:t>
            </w:r>
          </w:p>
        </w:tc>
        <w:tc>
          <w:tcPr>
            <w:tcW w:type="dxa" w:w="2304"/>
          </w:tcPr>
          <w:p>
            <w:pPr>
              <w:spacing w:after="40" w:line="276" w:lineRule="auto"/>
            </w:pPr>
            <w:r/>
            <w:r>
              <w:rPr>
                <w:rFonts w:ascii="Times New Roman" w:hAnsi="Times New Roman" w:eastAsia="新細明體"/>
                <w:color w:val="2D3748"/>
                <w:sz w:val="19"/>
              </w:rPr>
              <w:t>模型設計與部署責任</w:t>
            </w:r>
          </w:p>
        </w:tc>
      </w:tr>
      <w:tr>
        <w:tc>
          <w:tcPr>
            <w:tcW w:type="dxa" w:w="1872"/>
            <w:shd w:fill="F7FAFC"/>
          </w:tcPr>
          <w:p>
            <w:pPr>
              <w:spacing w:after="40" w:line="276" w:lineRule="auto"/>
            </w:pPr>
            <w:r/>
            <w:r>
              <w:rPr>
                <w:rFonts w:ascii="Times New Roman" w:hAnsi="Times New Roman" w:eastAsia="新細明體"/>
                <w:color w:val="2D3748"/>
                <w:sz w:val="19"/>
              </w:rPr>
              <w:t>結構性作用者</w:t>
            </w:r>
          </w:p>
        </w:tc>
        <w:tc>
          <w:tcPr>
            <w:tcW w:type="dxa" w:w="2736"/>
            <w:shd w:fill="F7FAFC"/>
          </w:tcPr>
          <w:p>
            <w:pPr>
              <w:spacing w:after="40" w:line="276" w:lineRule="auto"/>
            </w:pPr>
            <w:r/>
            <w:r>
              <w:rPr>
                <w:rFonts w:ascii="Times New Roman" w:hAnsi="Times New Roman" w:eastAsia="新細明體"/>
                <w:color w:val="2D3748"/>
                <w:sz w:val="19"/>
              </w:rPr>
              <w:t>哪些資料、介面與程序限制判斷？</w:t>
            </w:r>
          </w:p>
        </w:tc>
        <w:tc>
          <w:tcPr>
            <w:tcW w:type="dxa" w:w="2448"/>
            <w:shd w:fill="F7FAFC"/>
          </w:tcPr>
          <w:p>
            <w:pPr>
              <w:spacing w:after="40" w:line="276" w:lineRule="auto"/>
            </w:pPr>
            <w:r/>
            <w:r>
              <w:rPr>
                <w:rFonts w:ascii="Times New Roman" w:hAnsi="Times New Roman" w:eastAsia="新細明體"/>
                <w:color w:val="2D3748"/>
                <w:sz w:val="19"/>
              </w:rPr>
              <w:t>資料字典、介面設計、SOP</w:t>
            </w:r>
          </w:p>
        </w:tc>
        <w:tc>
          <w:tcPr>
            <w:tcW w:type="dxa" w:w="2304"/>
            <w:shd w:fill="F7FAFC"/>
          </w:tcPr>
          <w:p>
            <w:pPr>
              <w:spacing w:after="40" w:line="276" w:lineRule="auto"/>
            </w:pPr>
            <w:r/>
            <w:r>
              <w:rPr>
                <w:rFonts w:ascii="Times New Roman" w:hAnsi="Times New Roman" w:eastAsia="新細明體"/>
                <w:color w:val="2D3748"/>
                <w:sz w:val="19"/>
              </w:rPr>
              <w:t>制度性與組織性責任</w:t>
            </w:r>
          </w:p>
        </w:tc>
      </w:tr>
    </w:tbl>
    <w:p>
      <w:pPr>
        <w:spacing w:after="80"/>
      </w:pPr>
    </w:p>
    <w:p>
      <w:pPr>
        <w:spacing w:after="160" w:before="0" w:line="312" w:lineRule="auto"/>
      </w:pPr>
      <w:r>
        <w:rPr>
          <w:rFonts w:ascii="Times New Roman" w:hAnsi="Times New Roman" w:eastAsia="新細明體"/>
          <w:b w:val="0"/>
          <w:i w:val="0"/>
          <w:sz w:val="22"/>
        </w:rPr>
        <w:t>此矩陣使「分散式行政行動」可應用於個案研究、制度分析或法律審查。</w:t>
      </w:r>
    </w:p>
    <w:p>
      <w:pPr>
        <w:spacing w:before="280" w:after="160"/>
      </w:pPr>
      <w:r>
        <w:rPr>
          <w:rFonts w:ascii="Times New Roman" w:hAnsi="Times New Roman" w:eastAsia="新細明體"/>
          <w:b/>
          <w:color w:val="1A365D"/>
          <w:sz w:val="26"/>
        </w:rPr>
        <w:t>4.2　操作化示例：社會福利資格審查</w:t>
      </w:r>
    </w:p>
    <w:p>
      <w:pPr>
        <w:spacing w:after="160" w:before="0" w:line="312" w:lineRule="auto"/>
      </w:pPr>
      <w:r>
        <w:rPr>
          <w:rFonts w:ascii="Times New Roman" w:hAnsi="Times New Roman" w:eastAsia="新細明體"/>
          <w:b w:val="0"/>
          <w:i w:val="0"/>
          <w:sz w:val="22"/>
        </w:rPr>
        <w:t>以下案例並非實證研究，而是用以展示四層構成如何實際分析一項行政決定的分析性示例。以社會福利資格審查為例：法定行動者對應社福機關承辦人員，依法定職權核定資格、簽署核准或駁回處分，並對外承擔法律責任；判斷行動者對應承辦人員或複核主管，審查系統產出的風險評分或資格建議，決定是否受理特殊困難個案的裁量性放寬；計算性作用者對應風險評分模型，依收入、資產、家戶組成等變項計算「資格分數」，並以預設閾值判定「初步通過」或「轉人工複核」——此處的閾值設定屬於設計裁量，而模型依既定閾值對個案分類則屬於運算選擇，兩者性質不同但常被混為一談；結構性作用者對應歷史申請資料（決定何謂「典型」申請樣態）、介面預設（「系統建議：核准／駁回」按鈕）與SOP（複核僅適用於評分落於特定區間的案件）。</w:t>
      </w:r>
    </w:p>
    <w:p>
      <w:pPr>
        <w:spacing w:after="160" w:before="0" w:line="312" w:lineRule="auto"/>
      </w:pPr>
      <w:r>
        <w:rPr>
          <w:rFonts w:ascii="Times New Roman" w:hAnsi="Times New Roman" w:eastAsia="新細明體"/>
          <w:b w:val="0"/>
          <w:i w:val="0"/>
          <w:sz w:val="22"/>
        </w:rPr>
        <w:t>此一示例可進一步顯示：若歷史資料中低收入家戶的申報不完整，結構性作用者層次即可能系統性低估特定群體的資格分數，此一偏差會沿計算與判斷層次向下傳遞，而不易在個案審查階段被發現；若複核僅限於「評分落於特定區間」的案件，落在區間之外、卻實質上存在特殊情況的案件將不會進入人工複核，此時判斷行動者的修正能力實質上被結構性作用者的門檻設計所限制。</w:t>
      </w:r>
    </w:p>
    <w:p>
      <w:pPr>
        <w:spacing w:before="400" w:after="160"/>
      </w:pPr>
      <w:r>
        <w:rPr>
          <w:rFonts w:ascii="Times New Roman" w:hAnsi="Times New Roman" w:eastAsia="新細明體"/>
          <w:b/>
          <w:color w:val="1A365D"/>
          <w:sz w:val="30"/>
        </w:rPr>
        <w:t>五、理論邊界：參與行政行動 ≠ 取得公共權威</w:t>
      </w:r>
    </w:p>
    <w:p>
      <w:pPr>
        <w:spacing w:after="160" w:before="0" w:line="312" w:lineRule="auto"/>
      </w:pPr>
      <w:r>
        <w:rPr>
          <w:rFonts w:ascii="Times New Roman" w:hAnsi="Times New Roman" w:eastAsia="新細明體"/>
          <w:b w:val="0"/>
          <w:i w:val="0"/>
          <w:sz w:val="22"/>
        </w:rPr>
        <w:t>承認計算與結構層次的因果參與，並不意味賦予AI行政主體地位。參與行政行動與取得公共權威必須嚴格區分。公共權威的核心在於能否被民主程序、制度規則與法律責任重新介入、爭辯與修正。計算與結構層次目前不具備此種可課責結構，因此不能成為公共權威的終點。</w:t>
      </w:r>
    </w:p>
    <w:p>
      <w:pPr>
        <w:spacing w:after="160" w:before="0" w:line="312" w:lineRule="auto"/>
      </w:pPr>
      <w:r>
        <w:rPr>
          <w:rFonts w:ascii="Times New Roman" w:hAnsi="Times New Roman" w:eastAsia="新細明體"/>
          <w:b w:val="0"/>
          <w:i w:val="0"/>
          <w:sz w:val="22"/>
        </w:rPr>
        <w:t>更具體地說，此一判斷可依五項制度性判準檢視：法律上可識別的權利義務能力、程序上的通知與答辯能力、承擔制裁或補償的能力、民主授權或公共權威來源、可替換性與政治課責性。法定行動者與判斷行動者滿足全部五項；計算與結構層次則不滿足——模型無法被起訴、無法承擔罰款、其運作不源自民主授權，也無法「政治性地」被追究責任。</w:t>
      </w:r>
    </w:p>
    <w:p>
      <w:pPr>
        <w:spacing w:before="400" w:after="160"/>
      </w:pPr>
      <w:r>
        <w:rPr>
          <w:rFonts w:ascii="Times New Roman" w:hAnsi="Times New Roman" w:eastAsia="新細明體"/>
          <w:b/>
          <w:color w:val="1A365D"/>
          <w:sz w:val="30"/>
        </w:rPr>
        <w:t>六、對公共行政理論的意涵與競爭性理論的回應</w:t>
      </w:r>
    </w:p>
    <w:p>
      <w:pPr>
        <w:spacing w:after="160" w:before="0" w:line="312" w:lineRule="auto"/>
      </w:pPr>
      <w:r>
        <w:rPr>
          <w:rFonts w:ascii="Times New Roman" w:hAnsi="Times New Roman" w:eastAsia="新細明體"/>
          <w:b w:val="0"/>
          <w:i w:val="0"/>
          <w:sz w:val="22"/>
        </w:rPr>
        <w:t>組織邊界必須從「人員歸屬」轉向「生成條件的配置」；代理關係必須擴展為人—技術—制度的三重問題；責任追溯則必須從單純個人過失走向更細緻的配置。</w:t>
      </w:r>
    </w:p>
    <w:p>
      <w:pPr>
        <w:spacing w:after="160" w:before="0" w:line="312" w:lineRule="auto"/>
      </w:pPr>
      <w:r>
        <w:rPr>
          <w:rFonts w:ascii="Times New Roman" w:hAnsi="Times New Roman" w:eastAsia="新細明體"/>
          <w:b w:val="0"/>
          <w:i w:val="0"/>
          <w:sz w:val="22"/>
        </w:rPr>
        <w:t>針對工具論（AI只是工具，責任全歸使用者）：此說正確指出最終責任不可消失，但忽略設計與結構層次已實質塑造判斷空間的事實。針對組織論（既有組織理論已足夠）：既有理論可吸收部分現象，但對「生成貢獻」與「規範歸屬」的分離分析仍不足。針對法律歸屬論（行政法以機關為主體即可）：機關作為最終責任節點必須保留，但若只看見機關而看不見上游配置，將造成責任落差。</w:t>
      </w:r>
    </w:p>
    <w:p>
      <w:pPr>
        <w:spacing w:after="160" w:before="0" w:line="312" w:lineRule="auto"/>
      </w:pPr>
      <w:r>
        <w:rPr>
          <w:rFonts w:ascii="Times New Roman" w:hAnsi="Times New Roman" w:eastAsia="新細明體"/>
          <w:b w:val="0"/>
          <w:i w:val="0"/>
          <w:sz w:val="22"/>
        </w:rPr>
        <w:t>因此，本文主張：分散式行政行動並不意味著行政決定不存在可歸屬的責任主體，而是意味著「結果歸屬」與「生成貢獻」必須分別分析。法定行動者仍是行政法上不可被取消的責任承載點，但其責任不能遮蔽模型設計、資料治理、系統部署與組織程序所造成的生成性影響。分散式行政行動所要求的，不是以多元參與者取代單一責任主體，而是在保留最終責任節點的同時，揭露行政結果形成過程中的多重貢獻與制度性缺陷。</w:t>
      </w:r>
    </w:p>
    <w:p>
      <w:pPr>
        <w:spacing w:after="160" w:before="0" w:line="312" w:lineRule="auto"/>
      </w:pPr>
      <w:r>
        <w:rPr>
          <w:rFonts w:ascii="Times New Roman" w:hAnsi="Times New Roman" w:eastAsia="新細明體"/>
          <w:b w:val="0"/>
          <w:i w:val="0"/>
          <w:sz w:val="22"/>
        </w:rPr>
        <w:t>為避免「分散式課責」淪為責任稀釋，必須區分：責任來源的分散（多個環節有貢獻）、責任承擔的配置（依角色分配）、責任的稀釋（因參與者過多而無法追究）。這正是Nissenbaum（1996）所描繪的電腦化社會課責侵蝕現象——她指出「多手問題」（the problem of many hands）、程式錯誤問題、歸咎電腦與軟體所有權無責任四種障礙，會共同侵蝕可課責性；此一「多手問題」的概念源自Thompson（1980）對民主政府中官員責任歸屬的經典分析：當眾多官員以不同方式共同促成一項決策時，責任歸屬本身即面臨結構性困難，本文所稱「責任稀釋」正是此一困境在AI嵌入行政過程後的延伸與加劇。制度必須在分散的因果鏈上建立可識別、可追究、不可互相推諉的責任節點，包括決定責任、設計責任、採購與部署責任、資料治理責任、監督與覆核責任、救濟與補救責任。</w:t>
      </w:r>
    </w:p>
    <w:p>
      <w:pPr>
        <w:spacing w:before="400" w:after="160"/>
      </w:pPr>
      <w:r>
        <w:rPr>
          <w:rFonts w:ascii="Times New Roman" w:hAnsi="Times New Roman" w:eastAsia="新細明體"/>
          <w:b/>
          <w:color w:val="1A365D"/>
          <w:sz w:val="30"/>
        </w:rPr>
        <w:t>七、研究限制</w:t>
      </w:r>
    </w:p>
    <w:p>
      <w:pPr>
        <w:spacing w:after="160" w:before="0" w:line="312" w:lineRule="auto"/>
      </w:pPr>
      <w:r>
        <w:rPr>
          <w:rFonts w:ascii="Times New Roman" w:hAnsi="Times New Roman" w:eastAsia="新細明體"/>
          <w:b w:val="0"/>
          <w:i w:val="0"/>
          <w:sz w:val="22"/>
        </w:rPr>
        <w:t>作為一篇明確定位為純理論推演的論文，本文主動指出以下限制：</w:t>
      </w:r>
    </w:p>
    <w:p>
      <w:pPr>
        <w:spacing w:after="80" w:line="300" w:lineRule="auto"/>
        <w:ind w:left="403" w:hanging="403"/>
      </w:pPr>
      <w:r>
        <w:rPr>
          <w:rFonts w:ascii="Times New Roman" w:hAnsi="Times New Roman" w:eastAsia="新細明體"/>
          <w:b/>
          <w:sz w:val="21"/>
        </w:rPr>
        <w:t xml:space="preserve">1.　</w:t>
      </w:r>
      <w:r>
        <w:rPr>
          <w:rFonts w:ascii="Times New Roman" w:hAnsi="Times New Roman" w:eastAsia="新細明體"/>
          <w:sz w:val="21"/>
        </w:rPr>
        <w:t>四層構成目前僅為理論推演的產物，尚未經由個案研究或大規模文本分析等實證方法加以檢驗。</w:t>
      </w:r>
    </w:p>
    <w:p>
      <w:pPr>
        <w:spacing w:after="80" w:line="300" w:lineRule="auto"/>
        <w:ind w:left="403" w:hanging="403"/>
      </w:pPr>
      <w:r>
        <w:rPr>
          <w:rFonts w:ascii="Times New Roman" w:hAnsi="Times New Roman" w:eastAsia="新細明體"/>
          <w:b/>
          <w:sz w:val="21"/>
        </w:rPr>
        <w:t xml:space="preserve">2.　</w:t>
      </w:r>
      <w:r>
        <w:rPr>
          <w:rFonts w:ascii="Times New Roman" w:hAnsi="Times New Roman" w:eastAsia="新細明體"/>
          <w:sz w:val="21"/>
        </w:rPr>
        <w:t>四層構成在不同行政領域中的相對重要性可能不同，本文並未針對此一領域差異提出系統性預測。</w:t>
      </w:r>
    </w:p>
    <w:p>
      <w:pPr>
        <w:spacing w:after="80" w:line="300" w:lineRule="auto"/>
        <w:ind w:left="403" w:hanging="403"/>
      </w:pPr>
      <w:r>
        <w:rPr>
          <w:rFonts w:ascii="Times New Roman" w:hAnsi="Times New Roman" w:eastAsia="新細明體"/>
          <w:b/>
          <w:sz w:val="21"/>
        </w:rPr>
        <w:t xml:space="preserve">3.　</w:t>
      </w:r>
      <w:r>
        <w:rPr>
          <w:rFonts w:ascii="Times New Roman" w:hAnsi="Times New Roman" w:eastAsia="新細明體"/>
          <w:sz w:val="21"/>
        </w:rPr>
        <w:t>「分散式課責」如何轉化為具體的法律制度，仍需要行政法學與組織實證研究進一步補充。</w:t>
      </w:r>
    </w:p>
    <w:p>
      <w:pPr>
        <w:spacing w:after="80" w:line="300" w:lineRule="auto"/>
        <w:ind w:left="403" w:hanging="403"/>
      </w:pPr>
      <w:r>
        <w:rPr>
          <w:rFonts w:ascii="Times New Roman" w:hAnsi="Times New Roman" w:eastAsia="新細明體"/>
          <w:b/>
          <w:sz w:val="21"/>
        </w:rPr>
        <w:t xml:space="preserve">4.　</w:t>
      </w:r>
      <w:r>
        <w:rPr>
          <w:rFonts w:ascii="Times New Roman" w:hAnsi="Times New Roman" w:eastAsia="新細明體"/>
          <w:sz w:val="21"/>
        </w:rPr>
        <w:t>本文所稱「AI」涵蓋規則引擎、統計學習模型與生成式系統，這些技術在運作原理與可預測性上存在顯著差異，四層構成之適用細節仍待後續研究進一步區分。</w:t>
      </w:r>
    </w:p>
    <w:p>
      <w:pPr>
        <w:spacing w:before="400" w:after="160"/>
      </w:pPr>
      <w:r>
        <w:rPr>
          <w:rFonts w:ascii="Times New Roman" w:hAnsi="Times New Roman" w:eastAsia="新細明體"/>
          <w:b/>
          <w:color w:val="1A365D"/>
          <w:sz w:val="30"/>
        </w:rPr>
        <w:t>八、結論</w:t>
      </w:r>
    </w:p>
    <w:p>
      <w:pPr>
        <w:spacing w:after="160" w:before="0" w:line="312" w:lineRule="auto"/>
      </w:pPr>
      <w:r>
        <w:rPr>
          <w:rFonts w:ascii="Times New Roman" w:hAnsi="Times New Roman" w:eastAsia="新細明體"/>
          <w:b w:val="0"/>
          <w:i/>
          <w:sz w:val="22"/>
        </w:rPr>
        <w:t>人工智慧時代的行政行動，已從可簡單追溯至單一意志的過程，轉化為多重條件共同生成的過程。本文提出「分散式行政行動」與「行政行動生成的四層構成」，要求分析時同時看見生成貢獻與責任歸屬。</w:t>
      </w:r>
    </w:p>
    <w:p>
      <w:pPr>
        <w:spacing w:after="160" w:before="0" w:line="312" w:lineRule="auto"/>
      </w:pPr>
      <w:r>
        <w:rPr>
          <w:rFonts w:ascii="Times New Roman" w:hAnsi="Times New Roman" w:eastAsia="新細明體"/>
          <w:b w:val="0"/>
          <w:i w:val="0"/>
          <w:sz w:val="22"/>
        </w:rPr>
        <w:t>參與行政行動不等於取得公共權威。計算與結構層次可具因果影響，但不能成為公共權威的終點。法定行動者作為最終責任節點必須保留，同時上游配置必須變得可見、可爭辯、可修正。</w:t>
      </w:r>
    </w:p>
    <w:p>
      <w:pPr>
        <w:spacing w:after="160" w:before="0" w:line="312" w:lineRule="auto"/>
      </w:pPr>
      <w:r>
        <w:rPr>
          <w:rFonts w:ascii="Times New Roman" w:hAnsi="Times New Roman" w:eastAsia="新細明體"/>
          <w:b w:val="0"/>
          <w:i w:val="0"/>
          <w:sz w:val="22"/>
        </w:rPr>
        <w:t>此理論與028的「裁量場」、029的「公共判斷不可外包原則」共同構成完整的人工智慧時代公共行政理論三部曲：行動如何生成、裁量如何分布、哪些判斷不可外部化。</w:t>
      </w:r>
    </w:p>
    <w:p>
      <w:pPr>
        <w:spacing w:before="400" w:after="160"/>
      </w:pPr>
      <w:r>
        <w:rPr>
          <w:rFonts w:ascii="Times New Roman" w:hAnsi="Times New Roman" w:eastAsia="新細明體"/>
          <w:b/>
          <w:color w:val="1A365D"/>
          <w:sz w:val="30"/>
        </w:rPr>
        <w:t>參考文獻</w:t>
      </w:r>
    </w:p>
    <w:p>
      <w:pPr>
        <w:spacing w:after="120" w:line="288" w:lineRule="auto"/>
        <w:ind w:left="432" w:hanging="432"/>
      </w:pPr>
      <w:r>
        <w:rPr>
          <w:rFonts w:ascii="Times New Roman" w:hAnsi="Times New Roman" w:eastAsia="新細明體"/>
          <w:sz w:val="20"/>
        </w:rPr>
        <w:t>Alkhatib, A., &amp; Bernstein, M. (2019). Street-level algorithms: A theory at the gaps between policy and decisions. In Proceedings of the 2019 CHI Conference on Human Factors in Computing Systems (pp. 1–13). ACM.</w:t>
      </w:r>
    </w:p>
    <w:p>
      <w:pPr>
        <w:spacing w:after="120" w:line="288" w:lineRule="auto"/>
        <w:ind w:left="432" w:hanging="432"/>
      </w:pPr>
      <w:r>
        <w:rPr>
          <w:rFonts w:ascii="Times New Roman" w:hAnsi="Times New Roman" w:eastAsia="新細明體"/>
          <w:sz w:val="20"/>
        </w:rPr>
        <w:t>Bovens, M., &amp; Zouridis, S. (2002). From street-level to system-level bureaucracies: How information and communication technology is transforming administrative discretion and constitutional control. Public Administration Review, 62(2), 174–184.</w:t>
      </w:r>
    </w:p>
    <w:p>
      <w:pPr>
        <w:spacing w:after="120" w:line="288" w:lineRule="auto"/>
        <w:ind w:left="432" w:hanging="432"/>
      </w:pPr>
      <w:r>
        <w:rPr>
          <w:rFonts w:ascii="Times New Roman" w:hAnsi="Times New Roman" w:eastAsia="新細明體"/>
          <w:sz w:val="20"/>
        </w:rPr>
        <w:t>Bullock, J. B. (2019). Artificial intelligence, discretion, and bureaucracy. The American Review of Public Administration, 49(7), 751–761.</w:t>
      </w:r>
    </w:p>
    <w:p>
      <w:pPr>
        <w:spacing w:after="120" w:line="288" w:lineRule="auto"/>
        <w:ind w:left="432" w:hanging="432"/>
      </w:pPr>
      <w:r>
        <w:rPr>
          <w:rFonts w:ascii="Times New Roman" w:hAnsi="Times New Roman" w:eastAsia="新細明體"/>
          <w:sz w:val="20"/>
        </w:rPr>
        <w:t>Citron, D. K. (2008). Technological due process. Washington University Law Review, 85(6), 1249–1313.</w:t>
      </w:r>
    </w:p>
    <w:p>
      <w:pPr>
        <w:spacing w:after="120" w:line="288" w:lineRule="auto"/>
        <w:ind w:left="432" w:hanging="432"/>
      </w:pPr>
      <w:r>
        <w:rPr>
          <w:rFonts w:ascii="Times New Roman" w:hAnsi="Times New Roman" w:eastAsia="新細明體"/>
          <w:sz w:val="20"/>
        </w:rPr>
        <w:t>Cobbe, J. (2019). Administrative law and the machines of government: Judicial review of automated public-sector decision-making. Legal Studies, 39(4), 636–655.</w:t>
      </w:r>
    </w:p>
    <w:p>
      <w:pPr>
        <w:spacing w:after="120" w:line="288" w:lineRule="auto"/>
        <w:ind w:left="432" w:hanging="432"/>
      </w:pPr>
      <w:r>
        <w:rPr>
          <w:rFonts w:ascii="Times New Roman" w:hAnsi="Times New Roman" w:eastAsia="新細明體"/>
          <w:sz w:val="20"/>
        </w:rPr>
        <w:t>Davis, K. C. (1969). Discretionary justice: A preliminary inquiry. Louisiana State University Press.</w:t>
      </w:r>
    </w:p>
    <w:p>
      <w:pPr>
        <w:spacing w:after="120" w:line="288" w:lineRule="auto"/>
        <w:ind w:left="432" w:hanging="432"/>
      </w:pPr>
      <w:r>
        <w:rPr>
          <w:rFonts w:ascii="Times New Roman" w:hAnsi="Times New Roman" w:eastAsia="新細明體"/>
          <w:sz w:val="20"/>
        </w:rPr>
        <w:t>Green, B. (2022). The flaws of policies requiring human oversight of government algorithms. Computer Law &amp; Security Review, 45, 105681.</w:t>
      </w:r>
    </w:p>
    <w:p>
      <w:pPr>
        <w:spacing w:after="120" w:line="288" w:lineRule="auto"/>
        <w:ind w:left="432" w:hanging="432"/>
      </w:pPr>
      <w:r>
        <w:rPr>
          <w:rFonts w:ascii="Times New Roman" w:hAnsi="Times New Roman" w:eastAsia="新細明體"/>
          <w:sz w:val="20"/>
        </w:rPr>
        <w:t>Kaminski, M. E. (2019). The right to explanation, explained. Berkeley Technology Law Journal, 34(1), 189–218.</w:t>
      </w:r>
    </w:p>
    <w:p>
      <w:pPr>
        <w:spacing w:after="120" w:line="288" w:lineRule="auto"/>
        <w:ind w:left="432" w:hanging="432"/>
      </w:pPr>
      <w:r>
        <w:rPr>
          <w:rFonts w:ascii="Times New Roman" w:hAnsi="Times New Roman" w:eastAsia="新細明體"/>
          <w:sz w:val="20"/>
        </w:rPr>
        <w:t>Latour, B. (2005). Reassembling the social: An introduction to actor-network-theory. Oxford University Press.</w:t>
      </w:r>
    </w:p>
    <w:p>
      <w:pPr>
        <w:spacing w:after="120" w:line="288" w:lineRule="auto"/>
        <w:ind w:left="432" w:hanging="432"/>
      </w:pPr>
      <w:r>
        <w:rPr>
          <w:rFonts w:ascii="Times New Roman" w:hAnsi="Times New Roman" w:eastAsia="新細明體"/>
          <w:sz w:val="20"/>
        </w:rPr>
        <w:t>Lipsky, M. (1980/2010). Street-level bureaucracy: Dilemmas of the individual in public services (30th anniversary expanded ed.). Russell Sage Foundation.</w:t>
      </w:r>
    </w:p>
    <w:p>
      <w:pPr>
        <w:spacing w:after="120" w:line="288" w:lineRule="auto"/>
        <w:ind w:left="432" w:hanging="432"/>
      </w:pPr>
      <w:r>
        <w:rPr>
          <w:rFonts w:ascii="Times New Roman" w:hAnsi="Times New Roman" w:eastAsia="新細明體"/>
          <w:sz w:val="20"/>
        </w:rPr>
        <w:t>Maynard-Moody, S., &amp; Musheno, M. (2003). Cops, teachers, counselors: Stories from the front lines of public service. University of Michigan Press.</w:t>
      </w:r>
    </w:p>
    <w:p>
      <w:pPr>
        <w:spacing w:after="120" w:line="288" w:lineRule="auto"/>
        <w:ind w:left="432" w:hanging="432"/>
      </w:pPr>
      <w:r>
        <w:rPr>
          <w:rFonts w:ascii="Times New Roman" w:hAnsi="Times New Roman" w:eastAsia="新細明體"/>
          <w:sz w:val="20"/>
        </w:rPr>
        <w:t>Meyer, J. W., &amp; Rowan, B. (1977). Institutionalized organizations: Formal structure as myth and ceremony. American Journal of Sociology, 83(2), 340–363.</w:t>
      </w:r>
    </w:p>
    <w:p>
      <w:pPr>
        <w:spacing w:after="120" w:line="288" w:lineRule="auto"/>
        <w:ind w:left="432" w:hanging="432"/>
      </w:pPr>
      <w:r>
        <w:rPr>
          <w:rFonts w:ascii="Times New Roman" w:hAnsi="Times New Roman" w:eastAsia="新細明體"/>
          <w:sz w:val="20"/>
        </w:rPr>
        <w:t>Nissenbaum, H. (1996). Accountability in a computerized society. Science and Engineering Ethics, 2(1), 25–42.</w:t>
      </w:r>
    </w:p>
    <w:p>
      <w:pPr>
        <w:spacing w:after="120" w:line="288" w:lineRule="auto"/>
        <w:ind w:left="432" w:hanging="432"/>
      </w:pPr>
      <w:r>
        <w:rPr>
          <w:rFonts w:ascii="Times New Roman" w:hAnsi="Times New Roman" w:eastAsia="新細明體"/>
          <w:sz w:val="20"/>
        </w:rPr>
        <w:t>Parasuraman, R., &amp; Manzey, D. H. (2010). Complacency and bias in human use of automation: An attentional integration. Human Factors, 52(3), 381–410.</w:t>
      </w:r>
    </w:p>
    <w:p>
      <w:pPr>
        <w:spacing w:after="120" w:line="288" w:lineRule="auto"/>
        <w:ind w:left="432" w:hanging="432"/>
      </w:pPr>
      <w:r>
        <w:rPr>
          <w:rFonts w:ascii="Times New Roman" w:hAnsi="Times New Roman" w:eastAsia="新細明體"/>
          <w:sz w:val="20"/>
        </w:rPr>
        <w:t>Power, M. (1997). The audit society: Rituals of verification. Oxford University Press.</w:t>
      </w:r>
    </w:p>
    <w:p>
      <w:pPr>
        <w:spacing w:after="120" w:line="288" w:lineRule="auto"/>
        <w:ind w:left="432" w:hanging="432"/>
      </w:pPr>
      <w:r>
        <w:rPr>
          <w:rFonts w:ascii="Times New Roman" w:hAnsi="Times New Roman" w:eastAsia="新細明體"/>
          <w:sz w:val="20"/>
        </w:rPr>
        <w:t>Schwarz, G., Christensen, T., &amp; Zhu, X. (2022). Bounded rationality, satisficing, artificial intelligence, and decision-making in public organizations: The contributions of Herbert Simon. Public Administration Review, 82(5), 902–904.</w:t>
      </w:r>
    </w:p>
    <w:p>
      <w:pPr>
        <w:spacing w:after="120" w:line="288" w:lineRule="auto"/>
        <w:ind w:left="432" w:hanging="432"/>
      </w:pPr>
      <w:r>
        <w:rPr>
          <w:rFonts w:ascii="Times New Roman" w:hAnsi="Times New Roman" w:eastAsia="新細明體"/>
          <w:sz w:val="20"/>
        </w:rPr>
        <w:t>Simon, H. A. (1947/1997). Administrative behavior (4th ed.). Free Press.</w:t>
      </w:r>
    </w:p>
    <w:p>
      <w:pPr>
        <w:spacing w:after="120" w:line="288" w:lineRule="auto"/>
        <w:ind w:left="432" w:hanging="432"/>
      </w:pPr>
      <w:r>
        <w:rPr>
          <w:rFonts w:ascii="Times New Roman" w:hAnsi="Times New Roman" w:eastAsia="新細明體"/>
          <w:sz w:val="20"/>
        </w:rPr>
        <w:t>Skitka, L. J., Mosier, K. L., &amp; Burdick, M. (1999). Does automation bias decision-making? International Journal of Human-Computer Studies, 51(5), 991–1006.</w:t>
      </w:r>
    </w:p>
    <w:p>
      <w:pPr>
        <w:spacing w:after="120" w:line="288" w:lineRule="auto"/>
        <w:ind w:left="432" w:hanging="432"/>
      </w:pPr>
      <w:r>
        <w:rPr>
          <w:rFonts w:ascii="Times New Roman" w:hAnsi="Times New Roman" w:eastAsia="新細明體"/>
          <w:sz w:val="20"/>
        </w:rPr>
        <w:t>Suchman, L. (2007). Human-machine reconfigurations: Plans and situated actions (2nd ed.). Cambridge University Press.</w:t>
      </w:r>
    </w:p>
    <w:p>
      <w:pPr>
        <w:spacing w:after="120" w:line="288" w:lineRule="auto"/>
        <w:ind w:left="432" w:hanging="432"/>
      </w:pPr>
      <w:r>
        <w:rPr>
          <w:rFonts w:ascii="Times New Roman" w:hAnsi="Times New Roman" w:eastAsia="新細明體"/>
          <w:sz w:val="20"/>
        </w:rPr>
        <w:t>Thompson, D. F. (1980). The moral responsibility of public officials: The problem of many hands. American Political Science Review, 74(4), 905–916.</w:t>
      </w:r>
    </w:p>
    <w:p>
      <w:pPr>
        <w:spacing w:after="120" w:line="288" w:lineRule="auto"/>
        <w:ind w:left="432" w:hanging="432"/>
      </w:pPr>
      <w:r>
        <w:rPr>
          <w:rFonts w:ascii="Times New Roman" w:hAnsi="Times New Roman" w:eastAsia="新細明體"/>
          <w:sz w:val="20"/>
        </w:rPr>
        <w:t>Weaver, R. K. (1986). The politics of blame avoidance. Journal of Public Policy, 6(4), 371–398.</w:t>
      </w:r>
    </w:p>
    <w:p>
      <w:pPr>
        <w:spacing w:after="120" w:line="288" w:lineRule="auto"/>
        <w:ind w:left="432" w:hanging="432"/>
      </w:pPr>
      <w:r>
        <w:rPr>
          <w:rFonts w:ascii="Times New Roman" w:hAnsi="Times New Roman" w:eastAsia="新細明體"/>
          <w:sz w:val="20"/>
        </w:rPr>
        <w:t>Weber, M. (1922/1978). Economy and society: An outline of interpretive sociology (G. Roth &amp; C. Wittich, Eds.). University of California Press.</w:t>
      </w:r>
    </w:p>
    <w:p>
      <w:pPr>
        <w:spacing w:after="120" w:line="288" w:lineRule="auto"/>
        <w:ind w:left="432" w:hanging="432"/>
      </w:pPr>
      <w:r>
        <w:rPr>
          <w:rFonts w:ascii="Times New Roman" w:hAnsi="Times New Roman" w:eastAsia="新細明體"/>
          <w:sz w:val="20"/>
        </w:rPr>
        <w:t>Young, M. M., Bullock, J. B., &amp; Lecy, J. D. (2019). Artificial discretion as a tool of governance: A framework for understanding the impact of artificial intelligence on public administration. Perspectives on Public Management and Governance, 2(4), 301–313.</w:t>
      </w:r>
    </w:p>
    <w:p>
      <w:pPr>
        <w:spacing w:after="160" w:before="320" w:line="312" w:lineRule="auto"/>
        <w:jc w:val="center"/>
      </w:pPr>
      <w:r>
        <w:rPr>
          <w:rFonts w:ascii="Times New Roman" w:hAnsi="Times New Roman" w:eastAsia="新細明體"/>
          <w:b w:val="0"/>
          <w:i w:val="0"/>
          <w:sz w:val="20"/>
        </w:rPr>
        <w:t>--- 027 審查修訂・整合完整版完 ---</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