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jc w:val="center"/>
      </w:pPr>
      <w:r>
        <w:rPr>
          <w:rFonts w:ascii="Times New Roman" w:cs="Times New Roman" w:eastAsia="Times New Roman" w:hAnsi="Times New Roman"/>
          <w:b/>
          <w:bCs/>
          <w:sz w:val="32"/>
          <w:szCs w:val="32"/>
        </w:rPr>
        <w:t xml:space="preserve">形式保障與實質治理功能脫鉤的機制與條件</w:t>
      </w:r>
    </w:p>
    <w:p>
      <w:pPr>
        <w:spacing w:after="80"/>
        <w:jc w:val="center"/>
      </w:pPr>
      <w:r>
        <w:rPr>
          <w:rFonts w:ascii="Times New Roman" w:cs="Times New Roman" w:eastAsia="Times New Roman" w:hAnsi="Times New Roman"/>
          <w:sz w:val="26"/>
          <w:szCs w:val="26"/>
        </w:rPr>
        <w:t xml:space="preserve">從東亞政策場域到跨制度比較假說的建構</w:t>
      </w:r>
    </w:p>
    <w:p>
      <w:pPr>
        <w:spacing w:after="200"/>
        <w:jc w:val="center"/>
      </w:pPr>
      <w:r>
        <w:rPr>
          <w:rFonts w:ascii="Times New Roman" w:cs="Times New Roman" w:eastAsia="Times New Roman" w:hAnsi="Times New Roman"/>
          <w:i/>
          <w:iCs/>
          <w:sz w:val="22"/>
          <w:szCs w:val="22"/>
        </w:rPr>
        <w:t xml:space="preserve">——承接第025篇核心發現之中層機制理論</w:t>
      </w:r>
    </w:p>
    <w:p>
      <w:pPr>
        <w:spacing w:after="300"/>
        <w:jc w:val="center"/>
      </w:pPr>
      <w:r>
        <w:rPr>
          <w:rFonts w:ascii="Times New Roman" w:cs="Times New Roman" w:eastAsia="Times New Roman" w:hAnsi="Times New Roman"/>
          <w:sz w:val="20"/>
          <w:szCs w:val="20"/>
        </w:rPr>
        <w:t xml:space="preserve">Lancelot Lu（盧建旭）｜AI治理研究系列｜第026篇｜投稿修訂版｜2026年8月</w:t>
      </w:r>
    </w:p>
    <w:p>
      <w:pPr>
        <w:pStyle w:val="Heading1"/>
        <w:spacing w:after="200" w:before="360"/>
      </w:pPr>
      <w:r>
        <w:rPr>
          <w:rFonts w:ascii="Times New Roman" w:cs="Times New Roman" w:eastAsia="Times New Roman" w:hAnsi="Times New Roman"/>
          <w:b/>
          <w:bCs/>
          <w:sz w:val="28"/>
          <w:szCs w:val="28"/>
        </w:rPr>
        <w:t xml:space="preserve">摘要</w:t>
      </w:r>
    </w:p>
    <w:p>
      <w:pPr>
        <w:spacing w:after="120" w:before="0" w:line="360"/>
        <w:jc w:val="both"/>
      </w:pPr>
      <w:r>
        <w:rPr>
          <w:rFonts w:ascii="Times New Roman" w:cs="Times New Roman" w:eastAsia="Times New Roman" w:hAnsi="Times New Roman"/>
          <w:sz w:val="24"/>
          <w:szCs w:val="24"/>
        </w:rPr>
        <w:t xml:space="preserve">本文探討人工智慧嵌入公共行政後，形式程序保障與實質治理功能可能產生脫鉤的制度機制。不同於既有制度學派脫鉤理論側重組織對外部合法性壓力的回應，本文提出「防禦性脫鉤」概念，聚焦第一線文官將形式合規轉化為個人責任防禦機制的過程。防禦性脫鉤並非單純的避責行為，亦非單純的自動化偏誤，而是兩者透過行政程序制度化後所形成的形式—實質落差。</w:t>
      </w:r>
    </w:p>
    <w:p>
      <w:pPr>
        <w:spacing w:after="120" w:before="0" w:line="360"/>
        <w:jc w:val="both"/>
      </w:pPr>
      <w:r>
        <w:rPr>
          <w:rFonts w:ascii="Times New Roman" w:cs="Times New Roman" w:eastAsia="Times New Roman" w:hAnsi="Times New Roman"/>
          <w:sz w:val="24"/>
          <w:szCs w:val="24"/>
        </w:rPr>
        <w:t xml:space="preserve">本文區分避責驅動（路徑A）與預設錨定（路徑B）兩條互補路徑，並建立多層次分析框架：組織層次的咎責結構透過影響個人對偏離成本的知覺，進一步提高形式合規與AI依賴行為。兩條路徑在行政處分的「事實認定」與「效果裁量」階段可能呈現不同主導邏輯。本文提出程序密度、異議保護、外部審計與任務情境的條件假說，並規劃公文文本分析、文官情境實驗及深度訪談的三階段實證策略。</w:t>
      </w:r>
    </w:p>
    <w:p>
      <w:pPr>
        <w:spacing w:after="120" w:before="0" w:line="360"/>
        <w:jc w:val="both"/>
      </w:pPr>
      <w:r>
        <w:rPr>
          <w:rFonts w:ascii="Times New Roman" w:cs="Times New Roman" w:eastAsia="Times New Roman" w:hAnsi="Times New Roman"/>
          <w:sz w:val="24"/>
          <w:szCs w:val="24"/>
        </w:rPr>
        <w:t xml:space="preserve">本文主張，AI治理不應停留於「有人簽核」的形式要求，而應同時建立具備資訊、權限、能力、時間與責任保護的實質監督制度。在高專業認同、具備偏離權限且組織能承擔錯誤責任的環境中，程序密度未必導致防禦性脫鉤——此為本文理論的重要邊界條件。</w:t>
      </w:r>
    </w:p>
    <w:p>
      <w:pPr>
        <w:spacing w:after="120" w:before="0" w:line="360"/>
        <w:jc w:val="both"/>
      </w:pPr>
      <w:r>
        <w:rPr>
          <w:rFonts w:ascii="Times New Roman" w:cs="Times New Roman" w:eastAsia="Times New Roman" w:hAnsi="Times New Roman"/>
          <w:b/>
          <w:bCs/>
          <w:sz w:val="24"/>
          <w:szCs w:val="24"/>
        </w:rPr>
        <w:t xml:space="preserve">關鍵字：</w:t>
      </w:r>
      <w:r>
        <w:rPr>
          <w:rFonts w:ascii="Times New Roman" w:cs="Times New Roman" w:eastAsia="Times New Roman" w:hAnsi="Times New Roman"/>
          <w:sz w:val="24"/>
          <w:szCs w:val="24"/>
        </w:rPr>
        <w:t xml:space="preserve">演算法治理；人為最終控制；防禦性脫鉤；避責理論；預設錨定；街頭官僚；街頭演算法；臺灣行政法</w:t>
      </w:r>
    </w:p>
    <w:p>
      <w:pPr>
        <w:pStyle w:val="Heading1"/>
        <w:spacing w:after="200" w:before="360"/>
      </w:pPr>
      <w:r>
        <w:rPr>
          <w:rFonts w:ascii="Times New Roman" w:cs="Times New Roman" w:eastAsia="Times New Roman" w:hAnsi="Times New Roman"/>
          <w:b/>
          <w:bCs/>
          <w:sz w:val="28"/>
          <w:szCs w:val="28"/>
        </w:rPr>
        <w:t xml:space="preserve">第一章　緒論</w:t>
      </w:r>
    </w:p>
    <w:p>
      <w:pPr>
        <w:pStyle w:val="Heading2"/>
        <w:spacing w:after="160" w:before="280"/>
      </w:pPr>
      <w:r>
        <w:rPr>
          <w:rFonts w:ascii="Times New Roman" w:cs="Times New Roman" w:eastAsia="Times New Roman" w:hAnsi="Times New Roman"/>
          <w:b/>
          <w:bCs/>
          <w:sz w:val="26"/>
          <w:szCs w:val="26"/>
        </w:rPr>
        <w:t xml:space="preserve">1.1　研究背景與問題意識</w:t>
      </w:r>
    </w:p>
    <w:p>
      <w:pPr>
        <w:spacing w:after="120" w:before="0" w:line="360"/>
        <w:jc w:val="both"/>
      </w:pPr>
      <w:r>
        <w:rPr>
          <w:rFonts w:ascii="Times New Roman" w:cs="Times New Roman" w:eastAsia="Times New Roman" w:hAnsi="Times New Roman"/>
          <w:sz w:val="24"/>
          <w:szCs w:val="24"/>
        </w:rPr>
        <w:t xml:space="preserve">在推動智慧政府與數位轉型的浪潮下，各國政府紛紛將人工智慧與自動化決策系統導入個案審查、資源分配與法規執行。為回應演算法黑箱對正當法律程序及官僚課責的衝擊，學界與實務界多高度依賴「人為最終控制」原則，並要求文官履行簽核、附具理由等形式保障。</w:t>
      </w:r>
    </w:p>
    <w:p>
      <w:pPr>
        <w:spacing w:after="120" w:before="0" w:line="360"/>
        <w:jc w:val="both"/>
      </w:pPr>
      <w:r>
        <w:rPr>
          <w:rFonts w:ascii="Times New Roman" w:cs="Times New Roman" w:eastAsia="Times New Roman" w:hAnsi="Times New Roman"/>
          <w:sz w:val="24"/>
          <w:szCs w:val="24"/>
        </w:rPr>
        <w:t xml:space="preserve">然而，批判性文獻已指出，單純要求人為監督的政策往往可能淪為幻象，實務上文官極易變成無效的橡皮圖章（Green, 2022; Citron, 2008）。Green（2022）系統檢視41項政府演算法人為監督政策後發現，這些政策常建立在「人能夠有效監督演算法」的未經驗證假設上，反而可能正當化有缺陷的演算法使用，並使責任向下轉移至第一線人員。</w:t>
      </w:r>
    </w:p>
    <w:p>
      <w:pPr>
        <w:spacing w:after="120" w:before="0" w:line="360"/>
        <w:jc w:val="both"/>
      </w:pPr>
      <w:r>
        <w:rPr>
          <w:rFonts w:ascii="Times New Roman" w:cs="Times New Roman" w:eastAsia="Times New Roman" w:hAnsi="Times New Roman"/>
          <w:sz w:val="24"/>
          <w:szCs w:val="24"/>
        </w:rPr>
        <w:t xml:space="preserve">第025篇在台灣、日本、韓國政策場域群的制度診斷中，已初步觀察到「形式保障持續存在、實質治理功能卻可能弱化」的現象，並辨識出三種表現型態：形式合法／實質黑箱、人工形式保留／判斷功能弱化、緊急治理下的程序壓縮。本文提出的雙機制與此三型態大致對應：路徑B（預設錨定）主要解釋「形式合法／實質黑箱」的生成過程，路徑A（避責驅動）主要解釋「人工形式保留／判斷功能弱化」，而「緊急治理下的程序壓縮」則多作為兩條路徑共同的觸發／催化條件（時間與資訊不足）而非獨立路徑。本研究的問題意識在於：為何嚴密的形式保障在特定條件下可能加速而非防止實質判斷的空洞化？其內部生成機制與觸發條件為何？又該如何透過制度工程加以逆轉？</w:t>
      </w:r>
    </w:p>
    <w:p>
      <w:pPr>
        <w:spacing w:after="120" w:before="0" w:line="360"/>
        <w:jc w:val="both"/>
      </w:pPr>
      <w:r>
        <w:rPr>
          <w:rFonts w:ascii="Times New Roman" w:cs="Times New Roman" w:eastAsia="Times New Roman" w:hAnsi="Times New Roman"/>
          <w:sz w:val="24"/>
          <w:szCs w:val="24"/>
        </w:rPr>
        <w:t xml:space="preserve">本文討論的「AI輔助行政決策」主要聚焦於半自動化行政處分與對外產生權利義務影響的系統，而非純粹內部輔助工具或全自動化處分。不同類型的法律風險與程序要求並不相同，後續分析將予以區分。尤其值得注意的是，行政處分過程中「事實認定／證據審量」與「效果裁量」的認知與責任結構並不相同：前者較易觸發預設錨定（路徑B），後者則較易激發避責驅動（路徑A）。此一區分有助於提升行政法教示學的精準度。</w:t>
      </w:r>
    </w:p>
    <w:p>
      <w:pPr>
        <w:pStyle w:val="Heading2"/>
        <w:spacing w:after="160" w:before="280"/>
      </w:pPr>
      <w:r>
        <w:rPr>
          <w:rFonts w:ascii="Times New Roman" w:cs="Times New Roman" w:eastAsia="Times New Roman" w:hAnsi="Times New Roman"/>
          <w:b/>
          <w:bCs/>
          <w:sz w:val="26"/>
          <w:szCs w:val="26"/>
        </w:rPr>
        <w:t xml:space="preserve">1.2　研究目的、研究問題與論文定位</w:t>
      </w:r>
    </w:p>
    <w:p>
      <w:pPr>
        <w:spacing w:after="120" w:before="0" w:line="360"/>
        <w:jc w:val="both"/>
      </w:pPr>
      <w:r>
        <w:rPr>
          <w:rFonts w:ascii="Times New Roman" w:cs="Times New Roman" w:eastAsia="Times New Roman" w:hAnsi="Times New Roman"/>
          <w:sz w:val="24"/>
          <w:szCs w:val="24"/>
        </w:rPr>
        <w:t xml:space="preserve">本研究旨在建構一套解釋上述脫鉤現象的中層機制與條件理論，並與臺灣自動化行政、文官避責文化及專業異議保障等本土討論對話。本文明確定位為「理論建構與研究設計論文」，而非已完成的跨國比較實證研究。因此，文中提出的機制與假說均屬待檢驗的理論命題。</w:t>
      </w:r>
    </w:p>
    <w:p>
      <w:pPr>
        <w:spacing w:after="120" w:before="0" w:line="360"/>
        <w:jc w:val="both"/>
      </w:pPr>
      <w:r>
        <w:rPr>
          <w:rFonts w:ascii="Times New Roman" w:cs="Times New Roman" w:eastAsia="Times New Roman" w:hAnsi="Times New Roman"/>
          <w:sz w:val="24"/>
          <w:szCs w:val="24"/>
        </w:rPr>
        <w:t xml:space="preserve">正式研究問題如下：</w:t>
      </w:r>
    </w:p>
    <w:p>
      <w:pPr>
        <w:pStyle w:val="ListParagraph"/>
        <w:numPr>
          <w:ilvl w:val="0"/>
          <w:numId w:val="2"/>
        </w:numPr>
        <w:spacing w:after="80" w:line="360"/>
      </w:pPr>
      <w:r>
        <w:rPr>
          <w:rFonts w:ascii="Times New Roman" w:cs="Times New Roman" w:eastAsia="Times New Roman" w:hAnsi="Times New Roman"/>
          <w:sz w:val="24"/>
          <w:szCs w:val="24"/>
        </w:rPr>
        <w:t xml:space="preserve">形式保障與實質治理功能脫鉤的主要生成機制為何？</w:t>
      </w:r>
    </w:p>
    <w:p>
      <w:pPr>
        <w:pStyle w:val="ListParagraph"/>
        <w:numPr>
          <w:ilvl w:val="0"/>
          <w:numId w:val="2"/>
        </w:numPr>
        <w:spacing w:after="80" w:line="360"/>
      </w:pPr>
      <w:r>
        <w:rPr>
          <w:rFonts w:ascii="Times New Roman" w:cs="Times New Roman" w:eastAsia="Times New Roman" w:hAnsi="Times New Roman"/>
          <w:sz w:val="24"/>
          <w:szCs w:val="24"/>
        </w:rPr>
        <w:t xml:space="preserve">避責結構與預設錨定如何分別或共同促成脫鉤？二者在事實認定與效果裁量階段是否呈現不同主導邏輯？</w:t>
      </w:r>
    </w:p>
    <w:p>
      <w:pPr>
        <w:pStyle w:val="ListParagraph"/>
        <w:numPr>
          <w:ilvl w:val="0"/>
          <w:numId w:val="2"/>
        </w:numPr>
        <w:spacing w:after="120" w:line="360"/>
      </w:pPr>
      <w:r>
        <w:rPr>
          <w:rFonts w:ascii="Times New Roman" w:cs="Times New Roman" w:eastAsia="Times New Roman" w:hAnsi="Times New Roman"/>
          <w:sz w:val="24"/>
          <w:szCs w:val="24"/>
        </w:rPr>
        <w:t xml:space="preserve">異議保護、實質審計與責任分流能否逆轉脫鉤？其邊界條件為何？</w:t>
      </w:r>
    </w:p>
    <w:p>
      <w:pPr>
        <w:spacing w:after="120" w:before="0" w:line="360"/>
        <w:jc w:val="both"/>
      </w:pPr>
      <w:r>
        <w:rPr>
          <w:rFonts w:ascii="Times New Roman" w:cs="Times New Roman" w:eastAsia="Times New Roman" w:hAnsi="Times New Roman"/>
          <w:sz w:val="24"/>
          <w:szCs w:val="24"/>
        </w:rPr>
        <w:t xml:space="preserve">在系列脈絡中，本篇具有承先啟後的理論樞紐地位：一方面重新定位第024篇之職能加給與治理KPI、第025篇之善意異議責任安全港為「逆轉脫鉤」的復原機制；另一方面，本篇針對路徑B（預設錨定）額外提出獨立查證清單、反錨定設計與延遲確認等新制度工具，屬本篇之理論增補，而非對024、025篇既有工具的重述或延伸，詳見第六章之區分說明。</w:t>
      </w:r>
    </w:p>
    <w:p>
      <w:pPr>
        <w:pStyle w:val="Heading1"/>
        <w:spacing w:after="200" w:before="360"/>
      </w:pPr>
      <w:r>
        <w:rPr>
          <w:rFonts w:ascii="Times New Roman" w:cs="Times New Roman" w:eastAsia="Times New Roman" w:hAnsi="Times New Roman"/>
          <w:b/>
          <w:bCs/>
          <w:sz w:val="28"/>
          <w:szCs w:val="28"/>
        </w:rPr>
        <w:t xml:space="preserve">第二章　文獻對話與理論缺口</w:t>
      </w:r>
    </w:p>
    <w:p>
      <w:pPr>
        <w:pStyle w:val="Heading2"/>
        <w:spacing w:after="160" w:before="280"/>
      </w:pPr>
      <w:r>
        <w:rPr>
          <w:rFonts w:ascii="Times New Roman" w:cs="Times New Roman" w:eastAsia="Times New Roman" w:hAnsi="Times New Roman"/>
          <w:b/>
          <w:bCs/>
          <w:sz w:val="26"/>
          <w:szCs w:val="26"/>
        </w:rPr>
        <w:t xml:space="preserve">2.1　制度脫鉤理論的延伸與概念區分</w:t>
      </w:r>
    </w:p>
    <w:p>
      <w:pPr>
        <w:spacing w:after="120" w:before="0" w:line="360"/>
        <w:jc w:val="both"/>
      </w:pPr>
      <w:r>
        <w:rPr>
          <w:rFonts w:ascii="Times New Roman" w:cs="Times New Roman" w:eastAsia="Times New Roman" w:hAnsi="Times New Roman"/>
          <w:sz w:val="24"/>
          <w:szCs w:val="24"/>
        </w:rPr>
        <w:t xml:space="preserve">制度學派的脫鉤概念（Meyer &amp; Rowan, 1977; Bromley &amp; Powell, 2012）原指組織為應對外部合法性壓力，將形式結構與實質活動分離。為避免「防禦性脫鉤」僅是既有概念的重新命名，本文明確區分相關概念，並以下表呈現核心差異：</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1600"/>
        <w:gridCol w:w="2200"/>
        <w:gridCol w:w="3426"/>
      </w:tblGrid>
      <w:tr>
        <w:tc>
          <w:tcPr>
            <w:tcW w:type="dxa" w:w="1800"/>
            <w:tcBorders>
              <w:top w:val="single" w:color="666666" w:sz="1"/>
              <w:left w:val="single" w:color="666666" w:sz="1"/>
              <w:bottom w:val="single" w:color="666666" w:sz="1"/>
              <w:right w:val="single" w:color="666666" w:sz="1"/>
            </w:tcBorders>
            <w:shd w:fill="E8E8E8" w:val="clear"/>
            <w:tcMar>
              <w:top w:type="dxa" w:w="60"/>
              <w:left w:type="dxa" w:w="80"/>
              <w:bottom w:type="dxa" w:w="60"/>
              <w:right w:type="dxa" w:w="80"/>
            </w:tcMar>
          </w:tcPr>
          <w:p>
            <w:r>
              <w:rPr>
                <w:rFonts w:ascii="Times New Roman" w:cs="Times New Roman" w:eastAsia="Times New Roman" w:hAnsi="Times New Roman"/>
                <w:b/>
                <w:bCs/>
                <w:sz w:val="20"/>
                <w:szCs w:val="20"/>
              </w:rPr>
              <w:t xml:space="preserve">概念</w:t>
            </w:r>
          </w:p>
        </w:tc>
        <w:tc>
          <w:tcPr>
            <w:tcW w:type="dxa" w:w="1600"/>
            <w:tcBorders>
              <w:top w:val="single" w:color="666666" w:sz="1"/>
              <w:left w:val="single" w:color="666666" w:sz="1"/>
              <w:bottom w:val="single" w:color="666666" w:sz="1"/>
              <w:right w:val="single" w:color="666666" w:sz="1"/>
            </w:tcBorders>
            <w:shd w:fill="E8E8E8" w:val="clear"/>
            <w:tcMar>
              <w:top w:type="dxa" w:w="60"/>
              <w:left w:type="dxa" w:w="80"/>
              <w:bottom w:type="dxa" w:w="60"/>
              <w:right w:type="dxa" w:w="80"/>
            </w:tcMar>
          </w:tcPr>
          <w:p>
            <w:r>
              <w:rPr>
                <w:rFonts w:ascii="Times New Roman" w:cs="Times New Roman" w:eastAsia="Times New Roman" w:hAnsi="Times New Roman"/>
                <w:b/>
                <w:bCs/>
                <w:sz w:val="20"/>
                <w:szCs w:val="20"/>
              </w:rPr>
              <w:t xml:space="preserve">行動者</w:t>
            </w:r>
          </w:p>
        </w:tc>
        <w:tc>
          <w:tcPr>
            <w:tcW w:type="dxa" w:w="2200"/>
            <w:tcBorders>
              <w:top w:val="single" w:color="666666" w:sz="1"/>
              <w:left w:val="single" w:color="666666" w:sz="1"/>
              <w:bottom w:val="single" w:color="666666" w:sz="1"/>
              <w:right w:val="single" w:color="666666" w:sz="1"/>
            </w:tcBorders>
            <w:shd w:fill="E8E8E8" w:val="clear"/>
            <w:tcMar>
              <w:top w:type="dxa" w:w="60"/>
              <w:left w:type="dxa" w:w="80"/>
              <w:bottom w:type="dxa" w:w="60"/>
              <w:right w:type="dxa" w:w="80"/>
            </w:tcMar>
          </w:tcPr>
          <w:p>
            <w:r>
              <w:rPr>
                <w:rFonts w:ascii="Times New Roman" w:cs="Times New Roman" w:eastAsia="Times New Roman" w:hAnsi="Times New Roman"/>
                <w:b/>
                <w:bCs/>
                <w:sz w:val="20"/>
                <w:szCs w:val="20"/>
              </w:rPr>
              <w:t xml:space="preserve">核心動機</w:t>
            </w:r>
          </w:p>
        </w:tc>
        <w:tc>
          <w:tcPr>
            <w:tcW w:type="dxa" w:w="3426"/>
            <w:tcBorders>
              <w:top w:val="single" w:color="666666" w:sz="1"/>
              <w:left w:val="single" w:color="666666" w:sz="1"/>
              <w:bottom w:val="single" w:color="666666" w:sz="1"/>
              <w:right w:val="single" w:color="666666" w:sz="1"/>
            </w:tcBorders>
            <w:shd w:fill="E8E8E8" w:val="clear"/>
            <w:tcMar>
              <w:top w:type="dxa" w:w="60"/>
              <w:left w:type="dxa" w:w="80"/>
              <w:bottom w:type="dxa" w:w="60"/>
              <w:right w:type="dxa" w:w="80"/>
            </w:tcMar>
          </w:tcPr>
          <w:p>
            <w:r>
              <w:rPr>
                <w:rFonts w:ascii="Times New Roman" w:cs="Times New Roman" w:eastAsia="Times New Roman" w:hAnsi="Times New Roman"/>
                <w:b/>
                <w:bCs/>
                <w:sz w:val="20"/>
                <w:szCs w:val="20"/>
              </w:rPr>
              <w:t xml:space="preserve">形式與實質關係</w:t>
            </w:r>
          </w:p>
        </w:tc>
      </w:tr>
      <w:tr>
        <w:tc>
          <w:tcPr>
            <w:tcW w:type="dxa" w:w="1800"/>
            <w:tcBorders>
              <w:top w:val="single" w:color="666666" w:sz="1"/>
              <w:left w:val="single" w:color="666666" w:sz="1"/>
              <w:bottom w:val="single" w:color="666666" w:sz="1"/>
              <w:right w:val="single" w:color="666666" w:sz="1"/>
            </w:tcBorders>
            <w:tcMar>
              <w:top w:type="dxa" w:w="60"/>
              <w:left w:type="dxa" w:w="80"/>
              <w:bottom w:type="dxa" w:w="60"/>
              <w:right w:type="dxa" w:w="80"/>
            </w:tcMar>
          </w:tcPr>
          <w:p>
            <w:r>
              <w:rPr>
                <w:rFonts w:ascii="Times New Roman" w:cs="Times New Roman" w:eastAsia="Times New Roman" w:hAnsi="Times New Roman"/>
                <w:sz w:val="20"/>
                <w:szCs w:val="20"/>
              </w:rPr>
              <w:t xml:space="preserve">組織性脫鉤</w:t>
            </w:r>
          </w:p>
        </w:tc>
        <w:tc>
          <w:tcPr>
            <w:tcW w:type="dxa" w:w="1600"/>
            <w:tcBorders>
              <w:top w:val="single" w:color="666666" w:sz="1"/>
              <w:left w:val="single" w:color="666666" w:sz="1"/>
              <w:bottom w:val="single" w:color="666666" w:sz="1"/>
              <w:right w:val="single" w:color="666666" w:sz="1"/>
            </w:tcBorders>
            <w:tcMar>
              <w:top w:type="dxa" w:w="60"/>
              <w:left w:type="dxa" w:w="80"/>
              <w:bottom w:type="dxa" w:w="60"/>
              <w:right w:type="dxa" w:w="80"/>
            </w:tcMar>
          </w:tcPr>
          <w:p>
            <w:r>
              <w:rPr>
                <w:rFonts w:ascii="Times New Roman" w:cs="Times New Roman" w:eastAsia="Times New Roman" w:hAnsi="Times New Roman"/>
                <w:sz w:val="20"/>
                <w:szCs w:val="20"/>
              </w:rPr>
              <w:t xml:space="preserve">組織</w:t>
            </w:r>
          </w:p>
        </w:tc>
        <w:tc>
          <w:tcPr>
            <w:tcW w:type="dxa" w:w="2200"/>
            <w:tcBorders>
              <w:top w:val="single" w:color="666666" w:sz="1"/>
              <w:left w:val="single" w:color="666666" w:sz="1"/>
              <w:bottom w:val="single" w:color="666666" w:sz="1"/>
              <w:right w:val="single" w:color="666666" w:sz="1"/>
            </w:tcBorders>
            <w:tcMar>
              <w:top w:type="dxa" w:w="60"/>
              <w:left w:type="dxa" w:w="80"/>
              <w:bottom w:type="dxa" w:w="60"/>
              <w:right w:type="dxa" w:w="80"/>
            </w:tcMar>
          </w:tcPr>
          <w:p>
            <w:r>
              <w:rPr>
                <w:rFonts w:ascii="Times New Roman" w:cs="Times New Roman" w:eastAsia="Times New Roman" w:hAnsi="Times New Roman"/>
                <w:sz w:val="20"/>
                <w:szCs w:val="20"/>
              </w:rPr>
              <w:t xml:space="preserve">回應外部合法性壓力</w:t>
            </w:r>
          </w:p>
        </w:tc>
        <w:tc>
          <w:tcPr>
            <w:tcW w:type="dxa" w:w="3426"/>
            <w:tcBorders>
              <w:top w:val="single" w:color="666666" w:sz="1"/>
              <w:left w:val="single" w:color="666666" w:sz="1"/>
              <w:bottom w:val="single" w:color="666666" w:sz="1"/>
              <w:right w:val="single" w:color="666666" w:sz="1"/>
            </w:tcBorders>
            <w:tcMar>
              <w:top w:type="dxa" w:w="60"/>
              <w:left w:type="dxa" w:w="80"/>
              <w:bottom w:type="dxa" w:w="60"/>
              <w:right w:type="dxa" w:w="80"/>
            </w:tcMar>
          </w:tcPr>
          <w:p>
            <w:r>
              <w:rPr>
                <w:rFonts w:ascii="Times New Roman" w:cs="Times New Roman" w:eastAsia="Times New Roman" w:hAnsi="Times New Roman"/>
                <w:sz w:val="20"/>
                <w:szCs w:val="20"/>
              </w:rPr>
              <w:t xml:space="preserve">形式結構與實務活動分離</w:t>
            </w:r>
          </w:p>
        </w:tc>
      </w:tr>
      <w:tr>
        <w:tc>
          <w:tcPr>
            <w:tcW w:type="dxa" w:w="1800"/>
            <w:tcBorders>
              <w:top w:val="single" w:color="666666" w:sz="1"/>
              <w:left w:val="single" w:color="666666" w:sz="1"/>
              <w:bottom w:val="single" w:color="666666" w:sz="1"/>
              <w:right w:val="single" w:color="666666" w:sz="1"/>
            </w:tcBorders>
            <w:tcMar>
              <w:top w:type="dxa" w:w="60"/>
              <w:left w:type="dxa" w:w="80"/>
              <w:bottom w:type="dxa" w:w="60"/>
              <w:right w:type="dxa" w:w="80"/>
            </w:tcMar>
          </w:tcPr>
          <w:p>
            <w:r>
              <w:rPr>
                <w:rFonts w:ascii="Times New Roman" w:cs="Times New Roman" w:eastAsia="Times New Roman" w:hAnsi="Times New Roman"/>
                <w:sz w:val="20"/>
                <w:szCs w:val="20"/>
              </w:rPr>
              <w:t xml:space="preserve">策略性脫鉤</w:t>
            </w:r>
          </w:p>
        </w:tc>
        <w:tc>
          <w:tcPr>
            <w:tcW w:type="dxa" w:w="1600"/>
            <w:tcBorders>
              <w:top w:val="single" w:color="666666" w:sz="1"/>
              <w:left w:val="single" w:color="666666" w:sz="1"/>
              <w:bottom w:val="single" w:color="666666" w:sz="1"/>
              <w:right w:val="single" w:color="666666" w:sz="1"/>
            </w:tcBorders>
            <w:tcMar>
              <w:top w:type="dxa" w:w="60"/>
              <w:left w:type="dxa" w:w="80"/>
              <w:bottom w:type="dxa" w:w="60"/>
              <w:right w:type="dxa" w:w="80"/>
            </w:tcMar>
          </w:tcPr>
          <w:p>
            <w:r>
              <w:rPr>
                <w:rFonts w:ascii="Times New Roman" w:cs="Times New Roman" w:eastAsia="Times New Roman" w:hAnsi="Times New Roman"/>
                <w:sz w:val="20"/>
                <w:szCs w:val="20"/>
              </w:rPr>
              <w:t xml:space="preserve">組織</w:t>
            </w:r>
          </w:p>
        </w:tc>
        <w:tc>
          <w:tcPr>
            <w:tcW w:type="dxa" w:w="2200"/>
            <w:tcBorders>
              <w:top w:val="single" w:color="666666" w:sz="1"/>
              <w:left w:val="single" w:color="666666" w:sz="1"/>
              <w:bottom w:val="single" w:color="666666" w:sz="1"/>
              <w:right w:val="single" w:color="666666" w:sz="1"/>
            </w:tcBorders>
            <w:tcMar>
              <w:top w:type="dxa" w:w="60"/>
              <w:left w:type="dxa" w:w="80"/>
              <w:bottom w:type="dxa" w:w="60"/>
              <w:right w:type="dxa" w:w="80"/>
            </w:tcMar>
          </w:tcPr>
          <w:p>
            <w:r>
              <w:rPr>
                <w:rFonts w:ascii="Times New Roman" w:cs="Times New Roman" w:eastAsia="Times New Roman" w:hAnsi="Times New Roman"/>
                <w:sz w:val="20"/>
                <w:szCs w:val="20"/>
              </w:rPr>
              <w:t xml:space="preserve">維持合法性與資源</w:t>
            </w:r>
          </w:p>
        </w:tc>
        <w:tc>
          <w:tcPr>
            <w:tcW w:type="dxa" w:w="3426"/>
            <w:tcBorders>
              <w:top w:val="single" w:color="666666" w:sz="1"/>
              <w:left w:val="single" w:color="666666" w:sz="1"/>
              <w:bottom w:val="single" w:color="666666" w:sz="1"/>
              <w:right w:val="single" w:color="666666" w:sz="1"/>
            </w:tcBorders>
            <w:tcMar>
              <w:top w:type="dxa" w:w="60"/>
              <w:left w:type="dxa" w:w="80"/>
              <w:bottom w:type="dxa" w:w="60"/>
              <w:right w:type="dxa" w:w="80"/>
            </w:tcMar>
          </w:tcPr>
          <w:p>
            <w:r>
              <w:rPr>
                <w:rFonts w:ascii="Times New Roman" w:cs="Times New Roman" w:eastAsia="Times New Roman" w:hAnsi="Times New Roman"/>
                <w:sz w:val="20"/>
                <w:szCs w:val="20"/>
              </w:rPr>
              <w:t xml:space="preserve">有意保留形式制度</w:t>
            </w:r>
          </w:p>
        </w:tc>
      </w:tr>
      <w:tr>
        <w:tc>
          <w:tcPr>
            <w:tcW w:type="dxa" w:w="1800"/>
            <w:tcBorders>
              <w:top w:val="single" w:color="666666" w:sz="1"/>
              <w:left w:val="single" w:color="666666" w:sz="1"/>
              <w:bottom w:val="single" w:color="666666" w:sz="1"/>
              <w:right w:val="single" w:color="666666" w:sz="1"/>
            </w:tcBorders>
            <w:tcMar>
              <w:top w:type="dxa" w:w="60"/>
              <w:left w:type="dxa" w:w="80"/>
              <w:bottom w:type="dxa" w:w="60"/>
              <w:right w:type="dxa" w:w="80"/>
            </w:tcMar>
          </w:tcPr>
          <w:p>
            <w:r>
              <w:rPr>
                <w:rFonts w:ascii="Times New Roman" w:cs="Times New Roman" w:eastAsia="Times New Roman" w:hAnsi="Times New Roman"/>
                <w:sz w:val="20"/>
                <w:szCs w:val="20"/>
              </w:rPr>
              <w:t xml:space="preserve">自動化偏誤</w:t>
            </w:r>
          </w:p>
        </w:tc>
        <w:tc>
          <w:tcPr>
            <w:tcW w:type="dxa" w:w="1600"/>
            <w:tcBorders>
              <w:top w:val="single" w:color="666666" w:sz="1"/>
              <w:left w:val="single" w:color="666666" w:sz="1"/>
              <w:bottom w:val="single" w:color="666666" w:sz="1"/>
              <w:right w:val="single" w:color="666666" w:sz="1"/>
            </w:tcBorders>
            <w:tcMar>
              <w:top w:type="dxa" w:w="60"/>
              <w:left w:type="dxa" w:w="80"/>
              <w:bottom w:type="dxa" w:w="60"/>
              <w:right w:type="dxa" w:w="80"/>
            </w:tcMar>
          </w:tcPr>
          <w:p>
            <w:r>
              <w:rPr>
                <w:rFonts w:ascii="Times New Roman" w:cs="Times New Roman" w:eastAsia="Times New Roman" w:hAnsi="Times New Roman"/>
                <w:sz w:val="20"/>
                <w:szCs w:val="20"/>
              </w:rPr>
              <w:t xml:space="preserve">個人</w:t>
            </w:r>
          </w:p>
        </w:tc>
        <w:tc>
          <w:tcPr>
            <w:tcW w:type="dxa" w:w="2200"/>
            <w:tcBorders>
              <w:top w:val="single" w:color="666666" w:sz="1"/>
              <w:left w:val="single" w:color="666666" w:sz="1"/>
              <w:bottom w:val="single" w:color="666666" w:sz="1"/>
              <w:right w:val="single" w:color="666666" w:sz="1"/>
            </w:tcBorders>
            <w:tcMar>
              <w:top w:type="dxa" w:w="60"/>
              <w:left w:type="dxa" w:w="80"/>
              <w:bottom w:type="dxa" w:w="60"/>
              <w:right w:type="dxa" w:w="80"/>
            </w:tcMar>
          </w:tcPr>
          <w:p>
            <w:r>
              <w:rPr>
                <w:rFonts w:ascii="Times New Roman" w:cs="Times New Roman" w:eastAsia="Times New Roman" w:hAnsi="Times New Roman"/>
                <w:sz w:val="20"/>
                <w:szCs w:val="20"/>
              </w:rPr>
              <w:t xml:space="preserve">認知依賴與監控失誤</w:t>
            </w:r>
          </w:p>
        </w:tc>
        <w:tc>
          <w:tcPr>
            <w:tcW w:type="dxa" w:w="3426"/>
            <w:tcBorders>
              <w:top w:val="single" w:color="666666" w:sz="1"/>
              <w:left w:val="single" w:color="666666" w:sz="1"/>
              <w:bottom w:val="single" w:color="666666" w:sz="1"/>
              <w:right w:val="single" w:color="666666" w:sz="1"/>
            </w:tcBorders>
            <w:tcMar>
              <w:top w:type="dxa" w:w="60"/>
              <w:left w:type="dxa" w:w="80"/>
              <w:bottom w:type="dxa" w:w="60"/>
              <w:right w:type="dxa" w:w="80"/>
            </w:tcMar>
          </w:tcPr>
          <w:p>
            <w:r>
              <w:rPr>
                <w:rFonts w:ascii="Times New Roman" w:cs="Times New Roman" w:eastAsia="Times New Roman" w:hAnsi="Times New Roman"/>
                <w:sz w:val="20"/>
                <w:szCs w:val="20"/>
              </w:rPr>
              <w:t xml:space="preserve">錯誤採納系統建議</w:t>
            </w:r>
          </w:p>
        </w:tc>
      </w:tr>
      <w:tr>
        <w:tc>
          <w:tcPr>
            <w:tcW w:type="dxa" w:w="1800"/>
            <w:tcBorders>
              <w:top w:val="single" w:color="666666" w:sz="1"/>
              <w:left w:val="single" w:color="666666" w:sz="1"/>
              <w:bottom w:val="single" w:color="666666" w:sz="1"/>
              <w:right w:val="single" w:color="666666" w:sz="1"/>
            </w:tcBorders>
            <w:tcMar>
              <w:top w:type="dxa" w:w="60"/>
              <w:left w:type="dxa" w:w="80"/>
              <w:bottom w:type="dxa" w:w="60"/>
              <w:right w:type="dxa" w:w="80"/>
            </w:tcMar>
          </w:tcPr>
          <w:p>
            <w:r>
              <w:rPr>
                <w:rFonts w:ascii="Times New Roman" w:cs="Times New Roman" w:eastAsia="Times New Roman" w:hAnsi="Times New Roman"/>
                <w:sz w:val="20"/>
                <w:szCs w:val="20"/>
              </w:rPr>
              <w:t xml:space="preserve">避責行為</w:t>
            </w:r>
          </w:p>
        </w:tc>
        <w:tc>
          <w:tcPr>
            <w:tcW w:type="dxa" w:w="1600"/>
            <w:tcBorders>
              <w:top w:val="single" w:color="666666" w:sz="1"/>
              <w:left w:val="single" w:color="666666" w:sz="1"/>
              <w:bottom w:val="single" w:color="666666" w:sz="1"/>
              <w:right w:val="single" w:color="666666" w:sz="1"/>
            </w:tcBorders>
            <w:tcMar>
              <w:top w:type="dxa" w:w="60"/>
              <w:left w:type="dxa" w:w="80"/>
              <w:bottom w:type="dxa" w:w="60"/>
              <w:right w:type="dxa" w:w="80"/>
            </w:tcMar>
          </w:tcPr>
          <w:p>
            <w:r>
              <w:rPr>
                <w:rFonts w:ascii="Times New Roman" w:cs="Times New Roman" w:eastAsia="Times New Roman" w:hAnsi="Times New Roman"/>
                <w:sz w:val="20"/>
                <w:szCs w:val="20"/>
              </w:rPr>
              <w:t xml:space="preserve">個人／組織</w:t>
            </w:r>
          </w:p>
        </w:tc>
        <w:tc>
          <w:tcPr>
            <w:tcW w:type="dxa" w:w="2200"/>
            <w:tcBorders>
              <w:top w:val="single" w:color="666666" w:sz="1"/>
              <w:left w:val="single" w:color="666666" w:sz="1"/>
              <w:bottom w:val="single" w:color="666666" w:sz="1"/>
              <w:right w:val="single" w:color="666666" w:sz="1"/>
            </w:tcBorders>
            <w:tcMar>
              <w:top w:type="dxa" w:w="60"/>
              <w:left w:type="dxa" w:w="80"/>
              <w:bottom w:type="dxa" w:w="60"/>
              <w:right w:type="dxa" w:w="80"/>
            </w:tcMar>
          </w:tcPr>
          <w:p>
            <w:r>
              <w:rPr>
                <w:rFonts w:ascii="Times New Roman" w:cs="Times New Roman" w:eastAsia="Times New Roman" w:hAnsi="Times New Roman"/>
                <w:sz w:val="20"/>
                <w:szCs w:val="20"/>
              </w:rPr>
              <w:t xml:space="preserve">極小化個人責任</w:t>
            </w:r>
          </w:p>
        </w:tc>
        <w:tc>
          <w:tcPr>
            <w:tcW w:type="dxa" w:w="3426"/>
            <w:tcBorders>
              <w:top w:val="single" w:color="666666" w:sz="1"/>
              <w:left w:val="single" w:color="666666" w:sz="1"/>
              <w:bottom w:val="single" w:color="666666" w:sz="1"/>
              <w:right w:val="single" w:color="666666" w:sz="1"/>
            </w:tcBorders>
            <w:tcMar>
              <w:top w:type="dxa" w:w="60"/>
              <w:left w:type="dxa" w:w="80"/>
              <w:bottom w:type="dxa" w:w="60"/>
              <w:right w:type="dxa" w:w="80"/>
            </w:tcMar>
          </w:tcPr>
          <w:p>
            <w:r>
              <w:rPr>
                <w:rFonts w:ascii="Times New Roman" w:cs="Times New Roman" w:eastAsia="Times New Roman" w:hAnsi="Times New Roman"/>
                <w:sz w:val="20"/>
                <w:szCs w:val="20"/>
              </w:rPr>
              <w:t xml:space="preserve">轉移、模糊或分散責任</w:t>
            </w:r>
          </w:p>
        </w:tc>
      </w:tr>
      <w:tr>
        <w:tc>
          <w:tcPr>
            <w:tcW w:type="dxa" w:w="1800"/>
            <w:tcBorders>
              <w:top w:val="single" w:color="666666" w:sz="1"/>
              <w:left w:val="single" w:color="666666" w:sz="1"/>
              <w:bottom w:val="single" w:color="666666" w:sz="1"/>
              <w:right w:val="single" w:color="666666" w:sz="1"/>
            </w:tcBorders>
            <w:tcMar>
              <w:top w:type="dxa" w:w="60"/>
              <w:left w:type="dxa" w:w="80"/>
              <w:bottom w:type="dxa" w:w="60"/>
              <w:right w:type="dxa" w:w="80"/>
            </w:tcMar>
          </w:tcPr>
          <w:p>
            <w:r>
              <w:rPr>
                <w:rFonts w:ascii="Times New Roman" w:cs="Times New Roman" w:eastAsia="Times New Roman" w:hAnsi="Times New Roman"/>
                <w:sz w:val="20"/>
                <w:szCs w:val="20"/>
              </w:rPr>
              <w:t xml:space="preserve">防禦性脫鉤</w:t>
            </w:r>
          </w:p>
        </w:tc>
        <w:tc>
          <w:tcPr>
            <w:tcW w:type="dxa" w:w="1600"/>
            <w:tcBorders>
              <w:top w:val="single" w:color="666666" w:sz="1"/>
              <w:left w:val="single" w:color="666666" w:sz="1"/>
              <w:bottom w:val="single" w:color="666666" w:sz="1"/>
              <w:right w:val="single" w:color="666666" w:sz="1"/>
            </w:tcBorders>
            <w:tcMar>
              <w:top w:type="dxa" w:w="60"/>
              <w:left w:type="dxa" w:w="80"/>
              <w:bottom w:type="dxa" w:w="60"/>
              <w:right w:type="dxa" w:w="80"/>
            </w:tcMar>
          </w:tcPr>
          <w:p>
            <w:r>
              <w:rPr>
                <w:rFonts w:ascii="Times New Roman" w:cs="Times New Roman" w:eastAsia="Times New Roman" w:hAnsi="Times New Roman"/>
                <w:sz w:val="20"/>
                <w:szCs w:val="20"/>
              </w:rPr>
              <w:t xml:space="preserve">第一線官僚</w:t>
            </w:r>
          </w:p>
        </w:tc>
        <w:tc>
          <w:tcPr>
            <w:tcW w:type="dxa" w:w="2200"/>
            <w:tcBorders>
              <w:top w:val="single" w:color="666666" w:sz="1"/>
              <w:left w:val="single" w:color="666666" w:sz="1"/>
              <w:bottom w:val="single" w:color="666666" w:sz="1"/>
              <w:right w:val="single" w:color="666666" w:sz="1"/>
            </w:tcBorders>
            <w:tcMar>
              <w:top w:type="dxa" w:w="60"/>
              <w:left w:type="dxa" w:w="80"/>
              <w:bottom w:type="dxa" w:w="60"/>
              <w:right w:type="dxa" w:w="80"/>
            </w:tcMar>
          </w:tcPr>
          <w:p>
            <w:r>
              <w:rPr>
                <w:rFonts w:ascii="Times New Roman" w:cs="Times New Roman" w:eastAsia="Times New Roman" w:hAnsi="Times New Roman"/>
                <w:sz w:val="20"/>
                <w:szCs w:val="20"/>
              </w:rPr>
              <w:t xml:space="preserve">降低個人咎責風險</w:t>
            </w:r>
          </w:p>
        </w:tc>
        <w:tc>
          <w:tcPr>
            <w:tcW w:type="dxa" w:w="3426"/>
            <w:tcBorders>
              <w:top w:val="single" w:color="666666" w:sz="1"/>
              <w:left w:val="single" w:color="666666" w:sz="1"/>
              <w:bottom w:val="single" w:color="666666" w:sz="1"/>
              <w:right w:val="single" w:color="666666" w:sz="1"/>
            </w:tcBorders>
            <w:tcMar>
              <w:top w:type="dxa" w:w="60"/>
              <w:left w:type="dxa" w:w="80"/>
              <w:bottom w:type="dxa" w:w="60"/>
              <w:right w:type="dxa" w:w="80"/>
            </w:tcMar>
          </w:tcPr>
          <w:p>
            <w:r>
              <w:rPr>
                <w:rFonts w:ascii="Times New Roman" w:cs="Times New Roman" w:eastAsia="Times New Roman" w:hAnsi="Times New Roman"/>
                <w:sz w:val="20"/>
                <w:szCs w:val="20"/>
              </w:rPr>
              <w:t xml:space="preserve">形式合規增加但實質判斷下降（兩者制度化結合）</w:t>
            </w:r>
          </w:p>
        </w:tc>
      </w:tr>
    </w:tbl>
    <w:p>
      <w:pPr>
        <w:spacing w:after="120" w:before="0" w:line="360"/>
        <w:jc w:val="both"/>
      </w:pPr>
      <w:r>
        <w:rPr>
          <w:rFonts w:ascii="Times New Roman" w:cs="Times New Roman" w:eastAsia="Times New Roman" w:hAnsi="Times New Roman"/>
          <w:sz w:val="24"/>
          <w:szCs w:val="24"/>
        </w:rPr>
        <w:t xml:space="preserve">尤為關鍵的是：防禦性脫鉤不是單純的避責行為，也不是單純的自動化偏誤，而是兩者透過行政程序制度化後所形成的形式—實質落差。第一線文官主動運用高密度形式合規行為作為個人避責屏障，使「有程序痕跡」與「有實質判斷」之間產生系統性脫節。這是本文理論增量所在。</w:t>
      </w:r>
    </w:p>
    <w:p>
      <w:pPr>
        <w:spacing w:after="120" w:before="0" w:line="360"/>
        <w:jc w:val="both"/>
      </w:pPr>
      <w:r>
        <w:rPr>
          <w:rFonts w:ascii="Times New Roman" w:cs="Times New Roman" w:eastAsia="Times New Roman" w:hAnsi="Times New Roman"/>
          <w:sz w:val="24"/>
          <w:szCs w:val="24"/>
        </w:rPr>
        <w:t xml:space="preserve">與街頭官僚的裁量縮減、象徵性合規、責任外包等現象相比，防禦性脫鉤特別強調AI系統的存在如何改變風險不對稱結構：採納AI建議被視為具有組織／系統背書，推翻則成為個人判斷，從而將形式程序轉化為個人防禦工具。</w:t>
      </w:r>
    </w:p>
    <w:p>
      <w:pPr>
        <w:pStyle w:val="Heading2"/>
        <w:spacing w:after="160" w:before="280"/>
      </w:pPr>
      <w:r>
        <w:rPr>
          <w:rFonts w:ascii="Times New Roman" w:cs="Times New Roman" w:eastAsia="Times New Roman" w:hAnsi="Times New Roman"/>
          <w:b/>
          <w:bCs/>
          <w:sz w:val="26"/>
          <w:szCs w:val="26"/>
        </w:rPr>
        <w:t xml:space="preserve">2.2　官僚避責理論與街頭官僚研究</w:t>
      </w:r>
    </w:p>
    <w:p>
      <w:pPr>
        <w:spacing w:after="120" w:before="0" w:line="360"/>
        <w:jc w:val="both"/>
      </w:pPr>
      <w:r>
        <w:rPr>
          <w:rFonts w:ascii="Times New Roman" w:cs="Times New Roman" w:eastAsia="Times New Roman" w:hAnsi="Times New Roman"/>
          <w:sz w:val="24"/>
          <w:szCs w:val="24"/>
        </w:rPr>
        <w:t xml:space="preserve">根據Hood（2002, 2011）與Weaver（1986）的避責理論，官僚體系常以極小化個人責任為核心邏輯。當AI導入後，採納建議與推翻建議的風險呈現非對稱。街頭官僚理論（Lipsky, 1980）與第一線判斷研究（Maynard-Moody &amp; Musheno, 2003）提醒我們：AI並未消除裁量，而是把裁量轉移至資料選擇、模型部署、例外處理與人工覆核等階段。Young、Bullock與Lecy（2019）提出的「人工裁量」（artificial discretion）以及Alkhatib與Bernstein（2019）的「街頭演算法」（street-level algorithms）概念，進一步說明第一線文官如何在政策與演算法之間協商空間。本文借用這些概念以描述裁量轉移的結構位置，但超越之處在於：將轉移後的裁量行為置於「形式程序作為防禦工具」的分析框架中，而非僅描述協商過程本身。</w:t>
      </w:r>
    </w:p>
    <w:p>
      <w:pPr>
        <w:pStyle w:val="Heading2"/>
        <w:spacing w:after="160" w:before="280"/>
      </w:pPr>
      <w:r>
        <w:rPr>
          <w:rFonts w:ascii="Times New Roman" w:cs="Times New Roman" w:eastAsia="Times New Roman" w:hAnsi="Times New Roman"/>
          <w:b/>
          <w:bCs/>
          <w:sz w:val="26"/>
          <w:szCs w:val="26"/>
        </w:rPr>
        <w:t xml:space="preserve">2.3　預設錨定、自動化偏誤與人機決策</w:t>
      </w:r>
    </w:p>
    <w:p>
      <w:pPr>
        <w:spacing w:after="120" w:before="0" w:line="360"/>
        <w:jc w:val="both"/>
      </w:pPr>
      <w:r>
        <w:rPr>
          <w:rFonts w:ascii="Times New Roman" w:cs="Times New Roman" w:eastAsia="Times New Roman" w:hAnsi="Times New Roman"/>
          <w:sz w:val="24"/>
          <w:szCs w:val="24"/>
        </w:rPr>
        <w:t xml:space="preserve">決策者面對自動化系統時易陷入自動化偏誤與預設錨定（Skitka et al., 1999; Tversky &amp; Kahneman, 1974; Parasuraman &amp; Manzey, 2010）。需注意，錨定效應、自動化偏誤、自動化自滿（automation complacency）、演算法欣賞（algorithm appreciation）與演算法厭惡（algorithm aversion）並非完全相同現象。為避免概念混用，本文採用下列區分：自動化偏誤指錯誤追隨系統建議；自動化自滿指監控鬆懈；演算法欣賞／厭惡則屬態度層次。本文路徑B聚焦於「AI輸出成為判斷起點」的預設錨定機制，而非廣泛的態度偏好。</w:t>
      </w:r>
    </w:p>
    <w:p>
      <w:pPr>
        <w:pStyle w:val="Heading2"/>
        <w:spacing w:after="160" w:before="280"/>
      </w:pPr>
      <w:r>
        <w:rPr>
          <w:rFonts w:ascii="Times New Roman" w:cs="Times New Roman" w:eastAsia="Times New Roman" w:hAnsi="Times New Roman"/>
          <w:b/>
          <w:bCs/>
          <w:sz w:val="26"/>
          <w:szCs w:val="26"/>
        </w:rPr>
        <w:t xml:space="preserve">2.4　演算法問責與制度性監督</w:t>
      </w:r>
    </w:p>
    <w:p>
      <w:pPr>
        <w:spacing w:after="120" w:before="0" w:line="360"/>
        <w:jc w:val="both"/>
      </w:pPr>
      <w:r>
        <w:rPr>
          <w:rFonts w:ascii="Times New Roman" w:cs="Times New Roman" w:eastAsia="Times New Roman" w:hAnsi="Times New Roman"/>
          <w:sz w:val="24"/>
          <w:szCs w:val="24"/>
        </w:rPr>
        <w:t xml:space="preserve">Green（2022）的核心主張並非簡單否定所有人為監督，而是呼籲從「單一人員監督」轉向「制度性監督」。問題不在於是否存在人為監督，而在於人為監督是否具備足夠的資訊、權限、時間、專業能力與責任保護。歐盟《人工智慧法》第14條亦要求高風險AI具備有效的人員監督條件，包括理解系統限制、辨識自動化偏誤、拒絕或推翻系統輸出，以及在必要時中止系統運作，並強調監督措施應與風險、系統自主程度及使用情境相稱。</w:t>
      </w:r>
    </w:p>
    <w:p>
      <w:pPr>
        <w:spacing w:after="120" w:before="0" w:line="360"/>
        <w:jc w:val="both"/>
      </w:pPr>
      <w:r>
        <w:rPr>
          <w:rFonts w:ascii="Times New Roman" w:cs="Times New Roman" w:eastAsia="Times New Roman" w:hAnsi="Times New Roman"/>
          <w:sz w:val="24"/>
          <w:szCs w:val="24"/>
        </w:rPr>
        <w:t xml:space="preserve">本文據此區分三種監督形態：形式性人為監督（簽核、覆核、理由附記）、實質性人為監督（理解、查證、介入、推翻與停止使用的能力）、制度性監督（審計、申訴、外部監督、責任分流與持續監測）。制度性監督之審計機制設計，須留意審計本身可能異化為另一層形式合規儀式，而非實質風險治理（"audit society"之批判，Power, 1997），此一風險與本文「防禦性脫鉤」機制高度相關。值得注意的是，若將歐盟AI法第14條的「有效監督」僅解釋為形式保障強度的提升，恰好可能製造本文所描述的防禦性脫鉤。因此，本文對第14條的解讀強調：有效監督必須同時具備實質性人為監督與制度性監督的條件。歐盟法在此僅作為比較參照，其具體要求是否適用於臺灣，仍須透過行政法原則、個資法制、行政程序法及公務員責任制度另行論證，不宜直接轉化為臺灣法上的義務。</w:t>
      </w:r>
    </w:p>
    <w:p>
      <w:pPr>
        <w:pStyle w:val="Heading2"/>
        <w:spacing w:after="160" w:before="280"/>
      </w:pPr>
      <w:r>
        <w:rPr>
          <w:rFonts w:ascii="Times New Roman" w:cs="Times New Roman" w:eastAsia="Times New Roman" w:hAnsi="Times New Roman"/>
          <w:b/>
          <w:bCs/>
          <w:sz w:val="26"/>
          <w:szCs w:val="26"/>
        </w:rPr>
        <w:t xml:space="preserve">2.5　替代解釋與反方文獻</w:t>
      </w:r>
    </w:p>
    <w:p>
      <w:pPr>
        <w:spacing w:after="120" w:before="0" w:line="360"/>
        <w:jc w:val="both"/>
      </w:pPr>
      <w:r>
        <w:rPr>
          <w:rFonts w:ascii="Times New Roman" w:cs="Times New Roman" w:eastAsia="Times New Roman" w:hAnsi="Times New Roman"/>
          <w:sz w:val="24"/>
          <w:szCs w:val="24"/>
        </w:rPr>
        <w:t xml:space="preserve">文章目前主要引用支持「人為監督可能失效」的研究，但需正視下列替代解釋與反方觀點：</w:t>
      </w:r>
    </w:p>
    <w:p>
      <w:pPr>
        <w:pStyle w:val="ListParagraph"/>
        <w:numPr>
          <w:ilvl w:val="0"/>
          <w:numId w:val="3"/>
        </w:numPr>
        <w:spacing w:after="80" w:line="360"/>
      </w:pPr>
      <w:r>
        <w:rPr>
          <w:rFonts w:ascii="Times New Roman" w:cs="Times New Roman" w:eastAsia="Times New Roman" w:hAnsi="Times New Roman"/>
          <w:sz w:val="24"/>
          <w:szCs w:val="24"/>
        </w:rPr>
        <w:t xml:space="preserve">程序密度可能提升一致性、可追蹤性與平等對待，而非必然導致脫鉤。</w:t>
      </w:r>
    </w:p>
    <w:p>
      <w:pPr>
        <w:pStyle w:val="ListParagraph"/>
        <w:numPr>
          <w:ilvl w:val="0"/>
          <w:numId w:val="3"/>
        </w:numPr>
        <w:spacing w:after="80" w:line="360"/>
      </w:pPr>
      <w:r>
        <w:rPr>
          <w:rFonts w:ascii="Times New Roman" w:cs="Times New Roman" w:eastAsia="Times New Roman" w:hAnsi="Times New Roman"/>
          <w:sz w:val="24"/>
          <w:szCs w:val="24"/>
        </w:rPr>
        <w:t xml:space="preserve">AI可能降低個人偏見，而非增加判斷惰性；人員不偏離AI建議，可能是因為AI確實較準確。</w:t>
      </w:r>
    </w:p>
    <w:p>
      <w:pPr>
        <w:pStyle w:val="ListParagraph"/>
        <w:numPr>
          <w:ilvl w:val="0"/>
          <w:numId w:val="3"/>
        </w:numPr>
        <w:spacing w:after="80" w:line="360"/>
      </w:pPr>
      <w:r>
        <w:rPr>
          <w:rFonts w:ascii="Times New Roman" w:cs="Times New Roman" w:eastAsia="Times New Roman" w:hAnsi="Times New Roman"/>
          <w:sz w:val="24"/>
          <w:szCs w:val="24"/>
        </w:rPr>
        <w:t xml:space="preserve">標準化理由未必都是形式擬態，可能是法律要求的必要固定表述。</w:t>
      </w:r>
    </w:p>
    <w:p>
      <w:pPr>
        <w:pStyle w:val="ListParagraph"/>
        <w:numPr>
          <w:ilvl w:val="0"/>
          <w:numId w:val="3"/>
        </w:numPr>
        <w:spacing w:after="80" w:line="360"/>
      </w:pPr>
      <w:r>
        <w:rPr>
          <w:rFonts w:ascii="Times New Roman" w:cs="Times New Roman" w:eastAsia="Times New Roman" w:hAnsi="Times New Roman"/>
          <w:sz w:val="24"/>
          <w:szCs w:val="24"/>
        </w:rPr>
        <w:t xml:space="preserve">外部審計與異議機制也可能增加行政成本，造成延誤或責任模糊。</w:t>
      </w:r>
    </w:p>
    <w:p>
      <w:pPr>
        <w:spacing w:after="120" w:before="0" w:line="360"/>
        <w:jc w:val="both"/>
      </w:pPr>
      <w:r>
        <w:rPr>
          <w:rFonts w:ascii="Times New Roman" w:cs="Times New Roman" w:eastAsia="Times New Roman" w:hAnsi="Times New Roman"/>
          <w:sz w:val="24"/>
          <w:szCs w:val="24"/>
        </w:rPr>
        <w:t xml:space="preserve">本文將這些因素定位為可能的催化條件或邊界條件，而非排除雙機制模型的競爭假說。能力不足、工具不透明與組織標準化需求，往往透過升高認知負荷與責任壓力而加速路徑A與路徑B，呈現「加速」而非「互斥替代」關係。後續實證宜將其操作化為交互作用項（moderator）。</w:t>
      </w:r>
    </w:p>
    <w:p>
      <w:pPr>
        <w:pStyle w:val="Heading2"/>
        <w:spacing w:after="160" w:before="280"/>
      </w:pPr>
      <w:r>
        <w:rPr>
          <w:rFonts w:ascii="Times New Roman" w:cs="Times New Roman" w:eastAsia="Times New Roman" w:hAnsi="Times New Roman"/>
          <w:b/>
          <w:bCs/>
          <w:sz w:val="26"/>
          <w:szCs w:val="26"/>
        </w:rPr>
        <w:t xml:space="preserve">2.6　現有學術缺口</w:t>
      </w:r>
    </w:p>
    <w:p>
      <w:pPr>
        <w:spacing w:after="120" w:before="0" w:line="360"/>
        <w:jc w:val="both"/>
      </w:pPr>
      <w:r>
        <w:rPr>
          <w:rFonts w:ascii="Times New Roman" w:cs="Times New Roman" w:eastAsia="Times New Roman" w:hAnsi="Times New Roman"/>
          <w:sz w:val="24"/>
          <w:szCs w:val="24"/>
        </w:rPr>
        <w:t xml:space="preserve">現有文獻多聚焦於規範性論述或微觀人機實驗，缺乏結合微觀文官行為與中觀行政法制度結構的中層理論。本研究旨在補足此一缺口，並與臺灣本土討論形成對話。</w:t>
      </w:r>
    </w:p>
    <w:p>
      <w:pPr>
        <w:pStyle w:val="Heading1"/>
        <w:spacing w:after="200" w:before="360"/>
      </w:pPr>
      <w:r>
        <w:rPr>
          <w:rFonts w:ascii="Times New Roman" w:cs="Times New Roman" w:eastAsia="Times New Roman" w:hAnsi="Times New Roman"/>
          <w:b/>
          <w:bCs/>
          <w:sz w:val="28"/>
          <w:szCs w:val="28"/>
        </w:rPr>
        <w:t xml:space="preserve">第三章　核心概念與雙機制模型</w:t>
      </w:r>
    </w:p>
    <w:p>
      <w:pPr>
        <w:pStyle w:val="Heading2"/>
        <w:spacing w:after="160" w:before="280"/>
      </w:pPr>
      <w:r>
        <w:rPr>
          <w:rFonts w:ascii="Times New Roman" w:cs="Times New Roman" w:eastAsia="Times New Roman" w:hAnsi="Times New Roman"/>
          <w:b/>
          <w:bCs/>
          <w:sz w:val="26"/>
          <w:szCs w:val="26"/>
        </w:rPr>
        <w:t xml:space="preserve">3.1　核心概念操作化定義</w:t>
      </w:r>
    </w:p>
    <w:p>
      <w:pPr>
        <w:spacing w:after="120" w:before="0" w:line="360"/>
        <w:jc w:val="both"/>
      </w:pPr>
      <w:r>
        <w:rPr>
          <w:rFonts w:ascii="Times New Roman" w:cs="Times New Roman" w:eastAsia="Times New Roman" w:hAnsi="Times New Roman"/>
          <w:sz w:val="24"/>
          <w:szCs w:val="24"/>
        </w:rPr>
        <w:t xml:space="preserve">為避免「指數」一詞過早暗示已完成的量表與信效度，本文改以「強度」與「功能」表述，並嚴格區分紙面痕跡與實質心證痕跡，以避免操作化時的同義反覆與共線問題：</w:t>
      </w:r>
    </w:p>
    <w:p>
      <w:pPr>
        <w:spacing w:after="120" w:before="0" w:line="360"/>
        <w:jc w:val="both"/>
      </w:pPr>
      <w:r>
        <w:rPr>
          <w:rFonts w:ascii="Times New Roman" w:cs="Times New Roman" w:eastAsia="Times New Roman" w:hAnsi="Times New Roman"/>
          <w:b/>
          <w:bCs/>
          <w:sz w:val="24"/>
          <w:szCs w:val="24"/>
        </w:rPr>
        <w:t xml:space="preserve">形式保障強度（Formal Safeguard Intensity, FSI）：</w:t>
      </w:r>
      <w:r>
        <w:rPr>
          <w:rFonts w:ascii="Times New Roman" w:cs="Times New Roman" w:eastAsia="Times New Roman" w:hAnsi="Times New Roman"/>
          <w:sz w:val="24"/>
          <w:szCs w:val="24"/>
        </w:rPr>
        <w:t xml:space="preserve">指制度要求的程序數量或密度，至少包含：是否有人工簽核、是否有理由文字、是否有AI輸出紀錄、是否有申訴或覆核程序欄位、是否有風險評估表單、是否有定期模型檢核紀錄。FSI測量的是「制度要求的有無與密度」，而非痕跡的實質品質。</w:t>
      </w:r>
    </w:p>
    <w:p>
      <w:pPr>
        <w:spacing w:after="120" w:before="0" w:line="360"/>
        <w:jc w:val="both"/>
      </w:pPr>
      <w:r>
        <w:rPr>
          <w:rFonts w:ascii="Times New Roman" w:cs="Times New Roman" w:eastAsia="Times New Roman" w:hAnsi="Times New Roman"/>
          <w:b/>
          <w:bCs/>
          <w:sz w:val="24"/>
          <w:szCs w:val="24"/>
        </w:rPr>
        <w:t xml:space="preserve">實質治理功能（Substantive Governance Function, SGF）：</w:t>
      </w:r>
      <w:r>
        <w:rPr>
          <w:rFonts w:ascii="Times New Roman" w:cs="Times New Roman" w:eastAsia="Times New Roman" w:hAnsi="Times New Roman"/>
          <w:sz w:val="24"/>
          <w:szCs w:val="24"/>
        </w:rPr>
        <w:t xml:space="preserve">指實質心證與行為結果，可獨立觀察，例如：是否實際查閱原始資料、是否檢驗AI輸入資料完整性、是否提出獨立理由（引用個案反證、處理不確定性、理由與個案事實的連結度）、是否曾否決或修正AI建議、是否記錄偏離理由、是否在模型異常時暫停使用。SGF測量的是「實質判斷與偏離能力」。</w:t>
      </w:r>
    </w:p>
    <w:p>
      <w:pPr>
        <w:spacing w:after="120" w:before="0" w:line="360"/>
        <w:jc w:val="both"/>
      </w:pPr>
      <w:r>
        <w:rPr>
          <w:rFonts w:ascii="Times New Roman" w:cs="Times New Roman" w:eastAsia="Times New Roman" w:hAnsi="Times New Roman"/>
          <w:b/>
          <w:bCs/>
          <w:sz w:val="24"/>
          <w:szCs w:val="24"/>
        </w:rPr>
        <w:t xml:space="preserve">形式擬態（Formal Mimicry）：</w:t>
      </w:r>
      <w:r>
        <w:rPr>
          <w:rFonts w:ascii="Times New Roman" w:cs="Times New Roman" w:eastAsia="Times New Roman" w:hAnsi="Times New Roman"/>
          <w:sz w:val="24"/>
          <w:szCs w:val="24"/>
        </w:rPr>
        <w:t xml:space="preserve">當理由文字存在（滿足FSI），但內容呈現高度模板化、缺乏個案反證討論、未處理不確定性、或與個案事實連結薄弱時，即構成形式擬態。形式擬態之成立以FSI已滿足為邏輯前提，故其定位為FSI與SGF之間的交互作用觀察狀態（「FSI高但SGF低」之特定組合），而非與FSI無關的獨立變項；不以同一組文字特徵同時定義形式擬態與實質治理不足。</w:t>
      </w:r>
    </w:p>
    <w:p>
      <w:pPr>
        <w:spacing w:after="120" w:before="0" w:line="360"/>
        <w:jc w:val="both"/>
      </w:pPr>
      <w:r>
        <w:rPr>
          <w:rFonts w:ascii="Times New Roman" w:cs="Times New Roman" w:eastAsia="Times New Roman" w:hAnsi="Times New Roman"/>
          <w:b/>
          <w:bCs/>
          <w:sz w:val="24"/>
          <w:szCs w:val="24"/>
        </w:rPr>
        <w:t xml:space="preserve">防禦性脫鉤：</w:t>
      </w:r>
      <w:r>
        <w:rPr>
          <w:rFonts w:ascii="Times New Roman" w:cs="Times New Roman" w:eastAsia="Times New Roman" w:hAnsi="Times New Roman"/>
          <w:sz w:val="24"/>
          <w:szCs w:val="24"/>
        </w:rPr>
        <w:t xml:space="preserve">當形式保障持續增加，但實質判斷、獨立查證與偏離能力未同步增加，或二者之間的落差擴大時，即構成形式—實質脫鉤。此一狀態並非必然伴隨FSI與SGF反向變動，而是落差擴大即可成立。防禦性脫鉤作為結果狀態，其生成機制由路徑A與路徑B解釋，避免將定義同時作為原因與結果。
為使FSI與SGF從指標清單進一步成為可供H1–H5檢驗的量尺，本文提出初步量尺化構想：FSI與SGF各自之六項二元指標（是否有…）可先以簡單加總（0–6分）作為第一階段量尺，並以此檢驗各指標之間的內部一致性（如Cronbach's alpha或KR-20，適用於二元題項）；若加總分數的單一維度性不佳，則應改採項目反應理論（如Rasch模型）估計潛在特質分數，而非逕行加權平均。形式擬態之編碼（如3.1節所述）在邏輯上以FSI已滿足（理由文字存在）為前提，故不宜描述為「獨立於FSI指標之外」；較準確的定位是：形式擬態為FSI與SGF之間的交互作用觀察狀態（即「FSI高但SGF低」的特定組合），可操作化為一個獨立的二元或次序註記（是否構成形式擬態），附加於FSI×SGF的交叉分類上，而非簡單歸入SGF量尺內部的品質次量表。此一定位修正可避免以同一組文字特徵重複定義形式擬態與實質治理不足，同時維持其與FSI之間的邏輯依存關係。此一量尺化構想目前尚未經實證資料驗證，仍待第五章第一階段之公文文本分析提供實際分數分布後，再確認其單一維度性與信度。</w:t>
      </w:r>
    </w:p>
    <w:p>
      <w:pPr>
        <w:spacing w:after="120" w:before="0" w:line="360"/>
        <w:jc w:val="both"/>
      </w:pPr>
      <w:r>
        <w:rPr>
          <w:rFonts w:ascii="Times New Roman" w:cs="Times New Roman" w:eastAsia="Times New Roman" w:hAnsi="Times New Roman"/>
          <w:sz w:val="24"/>
          <w:szCs w:val="24"/>
        </w:rPr>
        <w:t xml:space="preserve">在臺灣，行政程序法第96條第1項第2款要求行政處分應記載理由（理由附記義務）。理由附記的功能是使相對人理解處分理由、便於救濟與司法審查。理由簡略不必然等於形式擬態；行政處分理由是否充分，仍須依處分種類、法律效果與個案情況判斷。AI輸出是否可以作為理由的一部分，不能直接等同於行政機關自身的理由。若機關僅複製AI結果，可能涉及理由不備、裁量瑕疵或事實認定瑕疵，但應分別分析。本文將「理由附記義務」「實質理由」「AI輔助理由」三者分開論證。</w:t>
      </w:r>
    </w:p>
    <w:p>
      <w:pPr>
        <w:pStyle w:val="Heading2"/>
        <w:spacing w:after="160" w:before="280"/>
      </w:pPr>
      <w:r>
        <w:rPr>
          <w:rFonts w:ascii="Times New Roman" w:cs="Times New Roman" w:eastAsia="Times New Roman" w:hAnsi="Times New Roman"/>
          <w:b/>
          <w:bCs/>
          <w:sz w:val="26"/>
          <w:szCs w:val="26"/>
        </w:rPr>
        <w:t xml:space="preserve">3.2　雙機制路徑模型與多層次因果鏈</w:t>
      </w:r>
    </w:p>
    <w:p>
      <w:pPr>
        <w:spacing w:after="120" w:before="0" w:line="360"/>
        <w:jc w:val="both"/>
      </w:pPr>
      <w:r>
        <w:rPr>
          <w:rFonts w:ascii="Times New Roman" w:cs="Times New Roman" w:eastAsia="Times New Roman" w:hAnsi="Times New Roman"/>
          <w:sz w:val="24"/>
          <w:szCs w:val="24"/>
        </w:rPr>
        <w:t xml:space="preserve">為避免分析層次混合，本文建立多層次模型：</w:t>
      </w:r>
    </w:p>
    <w:p>
      <w:pPr>
        <w:pStyle w:val="ListParagraph"/>
        <w:numPr>
          <w:ilvl w:val="0"/>
          <w:numId w:val="3"/>
        </w:numPr>
        <w:spacing w:after="80" w:line="360"/>
      </w:pPr>
      <w:r>
        <w:rPr>
          <w:rFonts w:ascii="Times New Roman" w:cs="Times New Roman" w:eastAsia="Times New Roman" w:hAnsi="Times New Roman"/>
          <w:sz w:val="24"/>
          <w:szCs w:val="24"/>
        </w:rPr>
        <w:t xml:space="preserve">組織層次：咎責結構、審計模式、異議保護。</w:t>
      </w:r>
    </w:p>
    <w:p>
      <w:pPr>
        <w:pStyle w:val="ListParagraph"/>
        <w:numPr>
          <w:ilvl w:val="0"/>
          <w:numId w:val="3"/>
        </w:numPr>
        <w:spacing w:after="80" w:line="360"/>
      </w:pPr>
      <w:r>
        <w:rPr>
          <w:rFonts w:ascii="Times New Roman" w:cs="Times New Roman" w:eastAsia="Times New Roman" w:hAnsi="Times New Roman"/>
          <w:sz w:val="24"/>
          <w:szCs w:val="24"/>
        </w:rPr>
        <w:t xml:space="preserve">任務層次：複雜度、緊急性、資訊不確定性。</w:t>
      </w:r>
    </w:p>
    <w:p>
      <w:pPr>
        <w:pStyle w:val="ListParagraph"/>
        <w:numPr>
          <w:ilvl w:val="0"/>
          <w:numId w:val="3"/>
        </w:numPr>
        <w:spacing w:after="80" w:line="360"/>
      </w:pPr>
      <w:r>
        <w:rPr>
          <w:rFonts w:ascii="Times New Roman" w:cs="Times New Roman" w:eastAsia="Times New Roman" w:hAnsi="Times New Roman"/>
          <w:sz w:val="24"/>
          <w:szCs w:val="24"/>
        </w:rPr>
        <w:t xml:space="preserve">個人層次：AI信任、自動化偏誤、專業認同、資料能力。</w:t>
      </w:r>
    </w:p>
    <w:p>
      <w:pPr>
        <w:pStyle w:val="ListParagraph"/>
        <w:numPr>
          <w:ilvl w:val="0"/>
          <w:numId w:val="3"/>
        </w:numPr>
        <w:spacing w:after="80" w:line="360"/>
      </w:pPr>
      <w:r>
        <w:rPr>
          <w:rFonts w:ascii="Times New Roman" w:cs="Times New Roman" w:eastAsia="Times New Roman" w:hAnsi="Times New Roman"/>
          <w:sz w:val="24"/>
          <w:szCs w:val="24"/>
        </w:rPr>
        <w:t xml:space="preserve">行為結果：採納、查證、偏離、理由個別化程度。</w:t>
      </w:r>
    </w:p>
    <w:p>
      <w:pPr>
        <w:spacing w:after="120" w:before="0" w:line="360"/>
        <w:jc w:val="both"/>
      </w:pPr>
      <w:r>
        <w:rPr>
          <w:rFonts w:ascii="Times New Roman" w:cs="Times New Roman" w:eastAsia="Times New Roman" w:hAnsi="Times New Roman"/>
          <w:sz w:val="24"/>
          <w:szCs w:val="24"/>
        </w:rPr>
        <w:t xml:space="preserve">組織層次的咎責結構，透過影響個人對偏離成本的知覺，進一步提高形式合規與AI依賴行為。路徑A（避責驅動）與路徑B（預設錨定）的差異可整理如下：</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2400"/>
        <w:gridCol w:w="2426"/>
      </w:tblGrid>
      <w:tr>
        <w:tc>
          <w:tcPr>
            <w:tcW w:type="dxa" w:w="1800"/>
            <w:tcBorders>
              <w:top w:val="single" w:color="666666" w:sz="1"/>
              <w:left w:val="single" w:color="666666" w:sz="1"/>
              <w:bottom w:val="single" w:color="666666" w:sz="1"/>
              <w:right w:val="single" w:color="666666" w:sz="1"/>
            </w:tcBorders>
            <w:shd w:fill="E8E8E8" w:val="clear"/>
            <w:tcMar>
              <w:top w:type="dxa" w:w="60"/>
              <w:left w:type="dxa" w:w="80"/>
              <w:bottom w:type="dxa" w:w="60"/>
              <w:right w:type="dxa" w:w="80"/>
            </w:tcMar>
          </w:tcPr>
          <w:p>
            <w:r>
              <w:rPr>
                <w:rFonts w:ascii="Times New Roman" w:cs="Times New Roman" w:eastAsia="Times New Roman" w:hAnsi="Times New Roman"/>
                <w:b/>
                <w:bCs/>
                <w:sz w:val="20"/>
                <w:szCs w:val="20"/>
              </w:rPr>
              <w:t xml:space="preserve">面向</w:t>
            </w:r>
          </w:p>
        </w:tc>
        <w:tc>
          <w:tcPr>
            <w:tcW w:type="dxa" w:w="2400"/>
            <w:tcBorders>
              <w:top w:val="single" w:color="666666" w:sz="1"/>
              <w:left w:val="single" w:color="666666" w:sz="1"/>
              <w:bottom w:val="single" w:color="666666" w:sz="1"/>
              <w:right w:val="single" w:color="666666" w:sz="1"/>
            </w:tcBorders>
            <w:shd w:fill="E8E8E8" w:val="clear"/>
            <w:tcMar>
              <w:top w:type="dxa" w:w="60"/>
              <w:left w:type="dxa" w:w="80"/>
              <w:bottom w:type="dxa" w:w="60"/>
              <w:right w:type="dxa" w:w="80"/>
            </w:tcMar>
          </w:tcPr>
          <w:p>
            <w:r>
              <w:rPr>
                <w:rFonts w:ascii="Times New Roman" w:cs="Times New Roman" w:eastAsia="Times New Roman" w:hAnsi="Times New Roman"/>
                <w:b/>
                <w:bCs/>
                <w:sz w:val="20"/>
                <w:szCs w:val="20"/>
              </w:rPr>
              <w:t xml:space="preserve">避責驅動（路徑A）</w:t>
            </w:r>
          </w:p>
        </w:tc>
        <w:tc>
          <w:tcPr>
            <w:tcW w:type="dxa" w:w="2400"/>
            <w:tcBorders>
              <w:top w:val="single" w:color="666666" w:sz="1"/>
              <w:left w:val="single" w:color="666666" w:sz="1"/>
              <w:bottom w:val="single" w:color="666666" w:sz="1"/>
              <w:right w:val="single" w:color="666666" w:sz="1"/>
            </w:tcBorders>
            <w:shd w:fill="E8E8E8" w:val="clear"/>
            <w:tcMar>
              <w:top w:type="dxa" w:w="60"/>
              <w:left w:type="dxa" w:w="80"/>
              <w:bottom w:type="dxa" w:w="60"/>
              <w:right w:type="dxa" w:w="80"/>
            </w:tcMar>
          </w:tcPr>
          <w:p>
            <w:r>
              <w:rPr>
                <w:rFonts w:ascii="Times New Roman" w:cs="Times New Roman" w:eastAsia="Times New Roman" w:hAnsi="Times New Roman"/>
                <w:b/>
                <w:bCs/>
                <w:sz w:val="20"/>
                <w:szCs w:val="20"/>
              </w:rPr>
              <w:t xml:space="preserve">預設錨定（路徑B）</w:t>
            </w:r>
          </w:p>
        </w:tc>
        <w:tc>
          <w:tcPr>
            <w:tcW w:type="dxa" w:w="2426"/>
            <w:tcBorders>
              <w:top w:val="single" w:color="666666" w:sz="1"/>
              <w:left w:val="single" w:color="666666" w:sz="1"/>
              <w:bottom w:val="single" w:color="666666" w:sz="1"/>
              <w:right w:val="single" w:color="666666" w:sz="1"/>
            </w:tcBorders>
            <w:shd w:fill="E8E8E8" w:val="clear"/>
            <w:tcMar>
              <w:top w:type="dxa" w:w="60"/>
              <w:left w:type="dxa" w:w="80"/>
              <w:bottom w:type="dxa" w:w="60"/>
              <w:right w:type="dxa" w:w="80"/>
            </w:tcMar>
          </w:tcPr>
          <w:p>
            <w:r>
              <w:rPr>
                <w:rFonts w:ascii="Times New Roman" w:cs="Times New Roman" w:eastAsia="Times New Roman" w:hAnsi="Times New Roman"/>
                <w:b/>
                <w:bCs/>
                <w:sz w:val="20"/>
                <w:szCs w:val="20"/>
              </w:rPr>
              <w:t xml:space="preserve">可證偽的反事實</w:t>
            </w:r>
          </w:p>
        </w:tc>
      </w:tr>
      <w:tr>
        <w:tc>
          <w:tcPr>
            <w:tcW w:type="dxa" w:w="1800"/>
            <w:tcBorders>
              <w:top w:val="single" w:color="666666" w:sz="1"/>
              <w:left w:val="single" w:color="666666" w:sz="1"/>
              <w:bottom w:val="single" w:color="666666" w:sz="1"/>
              <w:right w:val="single" w:color="666666" w:sz="1"/>
            </w:tcBorders>
            <w:tcMar>
              <w:top w:type="dxa" w:w="60"/>
              <w:left w:type="dxa" w:w="80"/>
              <w:bottom w:type="dxa" w:w="60"/>
              <w:right w:type="dxa" w:w="80"/>
            </w:tcMar>
          </w:tcPr>
          <w:p>
            <w:r>
              <w:rPr>
                <w:rFonts w:ascii="Times New Roman" w:cs="Times New Roman" w:eastAsia="Times New Roman" w:hAnsi="Times New Roman"/>
                <w:sz w:val="20"/>
                <w:szCs w:val="20"/>
              </w:rPr>
              <w:t xml:space="preserve">主要層次</w:t>
            </w:r>
          </w:p>
        </w:tc>
        <w:tc>
          <w:tcPr>
            <w:tcW w:type="dxa" w:w="2400"/>
            <w:tcBorders>
              <w:top w:val="single" w:color="666666" w:sz="1"/>
              <w:left w:val="single" w:color="666666" w:sz="1"/>
              <w:bottom w:val="single" w:color="666666" w:sz="1"/>
              <w:right w:val="single" w:color="666666" w:sz="1"/>
            </w:tcBorders>
            <w:tcMar>
              <w:top w:type="dxa" w:w="60"/>
              <w:left w:type="dxa" w:w="80"/>
              <w:bottom w:type="dxa" w:w="60"/>
              <w:right w:type="dxa" w:w="80"/>
            </w:tcMar>
          </w:tcPr>
          <w:p>
            <w:r>
              <w:rPr>
                <w:rFonts w:ascii="Times New Roman" w:cs="Times New Roman" w:eastAsia="Times New Roman" w:hAnsi="Times New Roman"/>
                <w:sz w:val="20"/>
                <w:szCs w:val="20"/>
              </w:rPr>
              <w:t xml:space="preserve">組織／制度→個人知覺</w:t>
            </w:r>
          </w:p>
        </w:tc>
        <w:tc>
          <w:tcPr>
            <w:tcW w:type="dxa" w:w="2400"/>
            <w:tcBorders>
              <w:top w:val="single" w:color="666666" w:sz="1"/>
              <w:left w:val="single" w:color="666666" w:sz="1"/>
              <w:bottom w:val="single" w:color="666666" w:sz="1"/>
              <w:right w:val="single" w:color="666666" w:sz="1"/>
            </w:tcBorders>
            <w:tcMar>
              <w:top w:type="dxa" w:w="60"/>
              <w:left w:type="dxa" w:w="80"/>
              <w:bottom w:type="dxa" w:w="60"/>
              <w:right w:type="dxa" w:w="80"/>
            </w:tcMar>
          </w:tcPr>
          <w:p>
            <w:r>
              <w:rPr>
                <w:rFonts w:ascii="Times New Roman" w:cs="Times New Roman" w:eastAsia="Times New Roman" w:hAnsi="Times New Roman"/>
                <w:sz w:val="20"/>
                <w:szCs w:val="20"/>
              </w:rPr>
              <w:t xml:space="preserve">個人／認知層次</w:t>
            </w:r>
          </w:p>
        </w:tc>
        <w:tc>
          <w:tcPr>
            <w:tcW w:type="dxa" w:w="2426"/>
            <w:tcBorders>
              <w:top w:val="single" w:color="666666" w:sz="1"/>
              <w:left w:val="single" w:color="666666" w:sz="1"/>
              <w:bottom w:val="single" w:color="666666" w:sz="1"/>
              <w:right w:val="single" w:color="666666" w:sz="1"/>
            </w:tcBorders>
            <w:tcMar>
              <w:top w:type="dxa" w:w="60"/>
              <w:left w:type="dxa" w:w="80"/>
              <w:bottom w:type="dxa" w:w="60"/>
              <w:right w:type="dxa" w:w="80"/>
            </w:tcMar>
          </w:tcPr>
          <w:p>
            <w:r>
              <w:rPr>
                <w:rFonts w:ascii="Times New Roman" w:cs="Times New Roman" w:eastAsia="Times New Roman" w:hAnsi="Times New Roman"/>
                <w:sz w:val="20"/>
                <w:szCs w:val="20"/>
              </w:rPr>
              <w:t xml:space="preserve">—</w:t>
            </w:r>
          </w:p>
        </w:tc>
      </w:tr>
      <w:tr>
        <w:tc>
          <w:tcPr>
            <w:tcW w:type="dxa" w:w="1800"/>
            <w:tcBorders>
              <w:top w:val="single" w:color="666666" w:sz="1"/>
              <w:left w:val="single" w:color="666666" w:sz="1"/>
              <w:bottom w:val="single" w:color="666666" w:sz="1"/>
              <w:right w:val="single" w:color="666666" w:sz="1"/>
            </w:tcBorders>
            <w:tcMar>
              <w:top w:type="dxa" w:w="60"/>
              <w:left w:type="dxa" w:w="80"/>
              <w:bottom w:type="dxa" w:w="60"/>
              <w:right w:type="dxa" w:w="80"/>
            </w:tcMar>
          </w:tcPr>
          <w:p>
            <w:r>
              <w:rPr>
                <w:rFonts w:ascii="Times New Roman" w:cs="Times New Roman" w:eastAsia="Times New Roman" w:hAnsi="Times New Roman"/>
                <w:sz w:val="20"/>
                <w:szCs w:val="20"/>
              </w:rPr>
              <w:t xml:space="preserve">核心動力</w:t>
            </w:r>
          </w:p>
        </w:tc>
        <w:tc>
          <w:tcPr>
            <w:tcW w:type="dxa" w:w="2400"/>
            <w:tcBorders>
              <w:top w:val="single" w:color="666666" w:sz="1"/>
              <w:left w:val="single" w:color="666666" w:sz="1"/>
              <w:bottom w:val="single" w:color="666666" w:sz="1"/>
              <w:right w:val="single" w:color="666666" w:sz="1"/>
            </w:tcBorders>
            <w:tcMar>
              <w:top w:type="dxa" w:w="60"/>
              <w:left w:type="dxa" w:w="80"/>
              <w:bottom w:type="dxa" w:w="60"/>
              <w:right w:type="dxa" w:w="80"/>
            </w:tcMar>
          </w:tcPr>
          <w:p>
            <w:r>
              <w:rPr>
                <w:rFonts w:ascii="Times New Roman" w:cs="Times New Roman" w:eastAsia="Times New Roman" w:hAnsi="Times New Roman"/>
                <w:sz w:val="20"/>
                <w:szCs w:val="20"/>
              </w:rPr>
              <w:t xml:space="preserve">推翻AI的責任成本較高</w:t>
            </w:r>
          </w:p>
        </w:tc>
        <w:tc>
          <w:tcPr>
            <w:tcW w:type="dxa" w:w="2400"/>
            <w:tcBorders>
              <w:top w:val="single" w:color="666666" w:sz="1"/>
              <w:left w:val="single" w:color="666666" w:sz="1"/>
              <w:bottom w:val="single" w:color="666666" w:sz="1"/>
              <w:right w:val="single" w:color="666666" w:sz="1"/>
            </w:tcBorders>
            <w:tcMar>
              <w:top w:type="dxa" w:w="60"/>
              <w:left w:type="dxa" w:w="80"/>
              <w:bottom w:type="dxa" w:w="60"/>
              <w:right w:type="dxa" w:w="80"/>
            </w:tcMar>
          </w:tcPr>
          <w:p>
            <w:r>
              <w:rPr>
                <w:rFonts w:ascii="Times New Roman" w:cs="Times New Roman" w:eastAsia="Times New Roman" w:hAnsi="Times New Roman"/>
                <w:sz w:val="20"/>
                <w:szCs w:val="20"/>
              </w:rPr>
              <w:t xml:space="preserve">AI輸出成為判斷起點</w:t>
            </w:r>
          </w:p>
        </w:tc>
        <w:tc>
          <w:tcPr>
            <w:tcW w:type="dxa" w:w="2426"/>
            <w:tcBorders>
              <w:top w:val="single" w:color="666666" w:sz="1"/>
              <w:left w:val="single" w:color="666666" w:sz="1"/>
              <w:bottom w:val="single" w:color="666666" w:sz="1"/>
              <w:right w:val="single" w:color="666666" w:sz="1"/>
            </w:tcBorders>
            <w:tcMar>
              <w:top w:type="dxa" w:w="60"/>
              <w:left w:type="dxa" w:w="80"/>
              <w:bottom w:type="dxa" w:w="60"/>
              <w:right w:type="dxa" w:w="80"/>
            </w:tcMar>
          </w:tcPr>
          <w:p>
            <w:r>
              <w:rPr>
                <w:rFonts w:ascii="Times New Roman" w:cs="Times New Roman" w:eastAsia="Times New Roman" w:hAnsi="Times New Roman"/>
                <w:sz w:val="20"/>
                <w:szCs w:val="20"/>
              </w:rPr>
              <w:t xml:space="preserve">—</w:t>
            </w:r>
          </w:p>
        </w:tc>
      </w:tr>
      <w:tr>
        <w:tc>
          <w:tcPr>
            <w:tcW w:type="dxa" w:w="1800"/>
            <w:tcBorders>
              <w:top w:val="single" w:color="666666" w:sz="1"/>
              <w:left w:val="single" w:color="666666" w:sz="1"/>
              <w:bottom w:val="single" w:color="666666" w:sz="1"/>
              <w:right w:val="single" w:color="666666" w:sz="1"/>
            </w:tcBorders>
            <w:tcMar>
              <w:top w:type="dxa" w:w="60"/>
              <w:left w:type="dxa" w:w="80"/>
              <w:bottom w:type="dxa" w:w="60"/>
              <w:right w:type="dxa" w:w="80"/>
            </w:tcMar>
          </w:tcPr>
          <w:p>
            <w:r>
              <w:rPr>
                <w:rFonts w:ascii="Times New Roman" w:cs="Times New Roman" w:eastAsia="Times New Roman" w:hAnsi="Times New Roman"/>
                <w:sz w:val="20"/>
                <w:szCs w:val="20"/>
              </w:rPr>
              <w:t xml:space="preserve">主要行為</w:t>
            </w:r>
          </w:p>
        </w:tc>
        <w:tc>
          <w:tcPr>
            <w:tcW w:type="dxa" w:w="2400"/>
            <w:tcBorders>
              <w:top w:val="single" w:color="666666" w:sz="1"/>
              <w:left w:val="single" w:color="666666" w:sz="1"/>
              <w:bottom w:val="single" w:color="666666" w:sz="1"/>
              <w:right w:val="single" w:color="666666" w:sz="1"/>
            </w:tcBorders>
            <w:tcMar>
              <w:top w:type="dxa" w:w="60"/>
              <w:left w:type="dxa" w:w="80"/>
              <w:bottom w:type="dxa" w:w="60"/>
              <w:right w:type="dxa" w:w="80"/>
            </w:tcMar>
          </w:tcPr>
          <w:p>
            <w:r>
              <w:rPr>
                <w:rFonts w:ascii="Times New Roman" w:cs="Times New Roman" w:eastAsia="Times New Roman" w:hAnsi="Times New Roman"/>
                <w:sz w:val="20"/>
                <w:szCs w:val="20"/>
              </w:rPr>
              <w:t xml:space="preserve">形式簽核、標準化理由</w:t>
            </w:r>
          </w:p>
        </w:tc>
        <w:tc>
          <w:tcPr>
            <w:tcW w:type="dxa" w:w="2400"/>
            <w:tcBorders>
              <w:top w:val="single" w:color="666666" w:sz="1"/>
              <w:left w:val="single" w:color="666666" w:sz="1"/>
              <w:bottom w:val="single" w:color="666666" w:sz="1"/>
              <w:right w:val="single" w:color="666666" w:sz="1"/>
            </w:tcBorders>
            <w:tcMar>
              <w:top w:type="dxa" w:w="60"/>
              <w:left w:type="dxa" w:w="80"/>
              <w:bottom w:type="dxa" w:w="60"/>
              <w:right w:type="dxa" w:w="80"/>
            </w:tcMar>
          </w:tcPr>
          <w:p>
            <w:r>
              <w:rPr>
                <w:rFonts w:ascii="Times New Roman" w:cs="Times New Roman" w:eastAsia="Times New Roman" w:hAnsi="Times New Roman"/>
                <w:sz w:val="20"/>
                <w:szCs w:val="20"/>
              </w:rPr>
              <w:t xml:space="preserve">低度查證、事後合理化</w:t>
            </w:r>
          </w:p>
        </w:tc>
        <w:tc>
          <w:tcPr>
            <w:tcW w:type="dxa" w:w="2426"/>
            <w:tcBorders>
              <w:top w:val="single" w:color="666666" w:sz="1"/>
              <w:left w:val="single" w:color="666666" w:sz="1"/>
              <w:bottom w:val="single" w:color="666666" w:sz="1"/>
              <w:right w:val="single" w:color="666666" w:sz="1"/>
            </w:tcBorders>
            <w:tcMar>
              <w:top w:type="dxa" w:w="60"/>
              <w:left w:type="dxa" w:w="80"/>
              <w:bottom w:type="dxa" w:w="60"/>
              <w:right w:type="dxa" w:w="80"/>
            </w:tcMar>
          </w:tcPr>
          <w:p>
            <w:r>
              <w:rPr>
                <w:rFonts w:ascii="Times New Roman" w:cs="Times New Roman" w:eastAsia="Times New Roman" w:hAnsi="Times New Roman"/>
                <w:sz w:val="20"/>
                <w:szCs w:val="20"/>
              </w:rPr>
              <w:t xml:space="preserve">—</w:t>
            </w:r>
          </w:p>
        </w:tc>
      </w:tr>
      <w:tr>
        <w:tc>
          <w:tcPr>
            <w:tcW w:type="dxa" w:w="1800"/>
            <w:tcBorders>
              <w:top w:val="single" w:color="666666" w:sz="1"/>
              <w:left w:val="single" w:color="666666" w:sz="1"/>
              <w:bottom w:val="single" w:color="666666" w:sz="1"/>
              <w:right w:val="single" w:color="666666" w:sz="1"/>
            </w:tcBorders>
            <w:tcMar>
              <w:top w:type="dxa" w:w="60"/>
              <w:left w:type="dxa" w:w="80"/>
              <w:bottom w:type="dxa" w:w="60"/>
              <w:right w:type="dxa" w:w="80"/>
            </w:tcMar>
          </w:tcPr>
          <w:p>
            <w:r>
              <w:rPr>
                <w:rFonts w:ascii="Times New Roman" w:cs="Times New Roman" w:eastAsia="Times New Roman" w:hAnsi="Times New Roman"/>
                <w:sz w:val="20"/>
                <w:szCs w:val="20"/>
              </w:rPr>
              <w:t xml:space="preserve">較易主導階段</w:t>
            </w:r>
          </w:p>
        </w:tc>
        <w:tc>
          <w:tcPr>
            <w:tcW w:type="dxa" w:w="2400"/>
            <w:tcBorders>
              <w:top w:val="single" w:color="666666" w:sz="1"/>
              <w:left w:val="single" w:color="666666" w:sz="1"/>
              <w:bottom w:val="single" w:color="666666" w:sz="1"/>
              <w:right w:val="single" w:color="666666" w:sz="1"/>
            </w:tcBorders>
            <w:tcMar>
              <w:top w:type="dxa" w:w="60"/>
              <w:left w:type="dxa" w:w="80"/>
              <w:bottom w:type="dxa" w:w="60"/>
              <w:right w:type="dxa" w:w="80"/>
            </w:tcMar>
          </w:tcPr>
          <w:p>
            <w:r>
              <w:rPr>
                <w:rFonts w:ascii="Times New Roman" w:cs="Times New Roman" w:eastAsia="Times New Roman" w:hAnsi="Times New Roman"/>
                <w:sz w:val="20"/>
                <w:szCs w:val="20"/>
              </w:rPr>
              <w:t xml:space="preserve">效果裁量階段</w:t>
            </w:r>
          </w:p>
        </w:tc>
        <w:tc>
          <w:tcPr>
            <w:tcW w:type="dxa" w:w="2400"/>
            <w:tcBorders>
              <w:top w:val="single" w:color="666666" w:sz="1"/>
              <w:left w:val="single" w:color="666666" w:sz="1"/>
              <w:bottom w:val="single" w:color="666666" w:sz="1"/>
              <w:right w:val="single" w:color="666666" w:sz="1"/>
            </w:tcBorders>
            <w:tcMar>
              <w:top w:type="dxa" w:w="60"/>
              <w:left w:type="dxa" w:w="80"/>
              <w:bottom w:type="dxa" w:w="60"/>
              <w:right w:type="dxa" w:w="80"/>
            </w:tcMar>
          </w:tcPr>
          <w:p>
            <w:r>
              <w:rPr>
                <w:rFonts w:ascii="Times New Roman" w:cs="Times New Roman" w:eastAsia="Times New Roman" w:hAnsi="Times New Roman"/>
                <w:sz w:val="20"/>
                <w:szCs w:val="20"/>
              </w:rPr>
              <w:t xml:space="preserve">事實認定／證據審量</w:t>
            </w:r>
          </w:p>
        </w:tc>
        <w:tc>
          <w:tcPr>
            <w:tcW w:type="dxa" w:w="2426"/>
            <w:tcBorders>
              <w:top w:val="single" w:color="666666" w:sz="1"/>
              <w:left w:val="single" w:color="666666" w:sz="1"/>
              <w:bottom w:val="single" w:color="666666" w:sz="1"/>
              <w:right w:val="single" w:color="666666" w:sz="1"/>
            </w:tcBorders>
            <w:tcMar>
              <w:top w:type="dxa" w:w="60"/>
              <w:left w:type="dxa" w:w="80"/>
              <w:bottom w:type="dxa" w:w="60"/>
              <w:right w:type="dxa" w:w="80"/>
            </w:tcMar>
          </w:tcPr>
          <w:p>
            <w:r>
              <w:rPr>
                <w:rFonts w:ascii="Times New Roman" w:cs="Times New Roman" w:eastAsia="Times New Roman" w:hAnsi="Times New Roman"/>
                <w:sz w:val="20"/>
                <w:szCs w:val="20"/>
              </w:rPr>
              <w:t xml:space="preserve">—</w:t>
            </w:r>
          </w:p>
        </w:tc>
      </w:tr>
      <w:tr>
        <w:tc>
          <w:tcPr>
            <w:tcW w:type="dxa" w:w="1800"/>
            <w:tcBorders>
              <w:top w:val="single" w:color="666666" w:sz="1"/>
              <w:left w:val="single" w:color="666666" w:sz="1"/>
              <w:bottom w:val="single" w:color="666666" w:sz="1"/>
              <w:right w:val="single" w:color="666666" w:sz="1"/>
            </w:tcBorders>
            <w:tcMar>
              <w:top w:type="dxa" w:w="60"/>
              <w:left w:type="dxa" w:w="80"/>
              <w:bottom w:type="dxa" w:w="60"/>
              <w:right w:type="dxa" w:w="80"/>
            </w:tcMar>
          </w:tcPr>
          <w:p>
            <w:r>
              <w:rPr>
                <w:rFonts w:ascii="Times New Roman" w:cs="Times New Roman" w:eastAsia="Times New Roman" w:hAnsi="Times New Roman"/>
                <w:sz w:val="20"/>
                <w:szCs w:val="20"/>
              </w:rPr>
              <w:t xml:space="preserve">主要政策工具</w:t>
            </w:r>
          </w:p>
        </w:tc>
        <w:tc>
          <w:tcPr>
            <w:tcW w:type="dxa" w:w="2400"/>
            <w:tcBorders>
              <w:top w:val="single" w:color="666666" w:sz="1"/>
              <w:left w:val="single" w:color="666666" w:sz="1"/>
              <w:bottom w:val="single" w:color="666666" w:sz="1"/>
              <w:right w:val="single" w:color="666666" w:sz="1"/>
            </w:tcBorders>
            <w:tcMar>
              <w:top w:type="dxa" w:w="60"/>
              <w:left w:type="dxa" w:w="80"/>
              <w:bottom w:type="dxa" w:w="60"/>
              <w:right w:type="dxa" w:w="80"/>
            </w:tcMar>
          </w:tcPr>
          <w:p>
            <w:r>
              <w:rPr>
                <w:rFonts w:ascii="Times New Roman" w:cs="Times New Roman" w:eastAsia="Times New Roman" w:hAnsi="Times New Roman"/>
                <w:sz w:val="20"/>
                <w:szCs w:val="20"/>
              </w:rPr>
              <w:t xml:space="preserve">異議安全港、責任分流</w:t>
            </w:r>
          </w:p>
        </w:tc>
        <w:tc>
          <w:tcPr>
            <w:tcW w:type="dxa" w:w="2400"/>
            <w:tcBorders>
              <w:top w:val="single" w:color="666666" w:sz="1"/>
              <w:left w:val="single" w:color="666666" w:sz="1"/>
              <w:bottom w:val="single" w:color="666666" w:sz="1"/>
              <w:right w:val="single" w:color="666666" w:sz="1"/>
            </w:tcBorders>
            <w:tcMar>
              <w:top w:type="dxa" w:w="60"/>
              <w:left w:type="dxa" w:w="80"/>
              <w:bottom w:type="dxa" w:w="60"/>
              <w:right w:type="dxa" w:w="80"/>
            </w:tcMar>
          </w:tcPr>
          <w:p>
            <w:r>
              <w:rPr>
                <w:rFonts w:ascii="Times New Roman" w:cs="Times New Roman" w:eastAsia="Times New Roman" w:hAnsi="Times New Roman"/>
                <w:sz w:val="20"/>
                <w:szCs w:val="20"/>
              </w:rPr>
              <w:t xml:space="preserve">反錨定設計、延遲確認</w:t>
            </w:r>
          </w:p>
        </w:tc>
        <w:tc>
          <w:tcPr>
            <w:tcW w:type="dxa" w:w="2426"/>
            <w:tcBorders>
              <w:top w:val="single" w:color="666666" w:sz="1"/>
              <w:left w:val="single" w:color="666666" w:sz="1"/>
              <w:bottom w:val="single" w:color="666666" w:sz="1"/>
              <w:right w:val="single" w:color="666666" w:sz="1"/>
            </w:tcBorders>
            <w:tcMar>
              <w:top w:type="dxa" w:w="60"/>
              <w:left w:type="dxa" w:w="80"/>
              <w:bottom w:type="dxa" w:w="60"/>
              <w:right w:type="dxa" w:w="80"/>
            </w:tcMar>
          </w:tcPr>
          <w:p>
            <w:r>
              <w:rPr>
                <w:rFonts w:ascii="Times New Roman" w:cs="Times New Roman" w:eastAsia="Times New Roman" w:hAnsi="Times New Roman"/>
                <w:sz w:val="20"/>
                <w:szCs w:val="20"/>
              </w:rPr>
              <w:t xml:space="preserve">—</w:t>
            </w:r>
          </w:p>
        </w:tc>
      </w:tr>
      <w:tr>
        <w:tc>
          <w:tcPr>
            <w:tcW w:type="dxa" w:w="1800"/>
            <w:tcBorders>
              <w:top w:val="single" w:color="666666" w:sz="1"/>
              <w:left w:val="single" w:color="666666" w:sz="1"/>
              <w:bottom w:val="single" w:color="666666" w:sz="1"/>
              <w:right w:val="single" w:color="666666" w:sz="1"/>
            </w:tcBorders>
            <w:tcMar>
              <w:top w:type="dxa" w:w="60"/>
              <w:left w:type="dxa" w:w="80"/>
              <w:bottom w:type="dxa" w:w="60"/>
              <w:right w:type="dxa" w:w="80"/>
            </w:tcMar>
          </w:tcPr>
          <w:p>
            <w:r>
              <w:rPr>
                <w:rFonts w:ascii="Times New Roman" w:cs="Times New Roman" w:eastAsia="Times New Roman" w:hAnsi="Times New Roman"/>
                <w:sz w:val="20"/>
                <w:szCs w:val="20"/>
              </w:rPr>
              <w:t xml:space="preserve">可證偽反事實</w:t>
            </w:r>
          </w:p>
        </w:tc>
        <w:tc>
          <w:tcPr>
            <w:tcW w:type="dxa" w:w="2400"/>
            <w:tcBorders>
              <w:top w:val="single" w:color="666666" w:sz="1"/>
              <w:left w:val="single" w:color="666666" w:sz="1"/>
              <w:bottom w:val="single" w:color="666666" w:sz="1"/>
              <w:right w:val="single" w:color="666666" w:sz="1"/>
            </w:tcBorders>
            <w:tcMar>
              <w:top w:type="dxa" w:w="60"/>
              <w:left w:type="dxa" w:w="80"/>
              <w:bottom w:type="dxa" w:w="60"/>
              <w:right w:type="dxa" w:w="80"/>
            </w:tcMar>
          </w:tcPr>
          <w:p>
            <w:r>
              <w:rPr>
                <w:rFonts w:ascii="Times New Roman" w:cs="Times New Roman" w:eastAsia="Times New Roman" w:hAnsi="Times New Roman"/>
                <w:sz w:val="20"/>
                <w:szCs w:val="20"/>
              </w:rPr>
              <w:t xml:space="preserve">若提供匿名異議安全港，路徑A應減弱</w:t>
            </w:r>
          </w:p>
        </w:tc>
        <w:tc>
          <w:tcPr>
            <w:tcW w:type="dxa" w:w="2400"/>
            <w:tcBorders>
              <w:top w:val="single" w:color="666666" w:sz="1"/>
              <w:left w:val="single" w:color="666666" w:sz="1"/>
              <w:bottom w:val="single" w:color="666666" w:sz="1"/>
              <w:right w:val="single" w:color="666666" w:sz="1"/>
            </w:tcBorders>
            <w:tcMar>
              <w:top w:type="dxa" w:w="60"/>
              <w:left w:type="dxa" w:w="80"/>
              <w:bottom w:type="dxa" w:w="60"/>
              <w:right w:type="dxa" w:w="80"/>
            </w:tcMar>
          </w:tcPr>
          <w:p>
            <w:r>
              <w:rPr>
                <w:rFonts w:ascii="Times New Roman" w:cs="Times New Roman" w:eastAsia="Times New Roman" w:hAnsi="Times New Roman"/>
                <w:sz w:val="20"/>
                <w:szCs w:val="20"/>
              </w:rPr>
              <w:t xml:space="preserve">若強制延遲與獨立查證清單，路徑B應減弱</w:t>
            </w:r>
          </w:p>
        </w:tc>
        <w:tc>
          <w:tcPr>
            <w:tcW w:type="dxa" w:w="2426"/>
            <w:tcBorders>
              <w:top w:val="single" w:color="666666" w:sz="1"/>
              <w:left w:val="single" w:color="666666" w:sz="1"/>
              <w:bottom w:val="single" w:color="666666" w:sz="1"/>
              <w:right w:val="single" w:color="666666" w:sz="1"/>
            </w:tcBorders>
            <w:tcMar>
              <w:top w:type="dxa" w:w="60"/>
              <w:left w:type="dxa" w:w="80"/>
              <w:bottom w:type="dxa" w:w="60"/>
              <w:right w:type="dxa" w:w="80"/>
            </w:tcMar>
          </w:tcPr>
          <w:p>
            <w:r>
              <w:rPr>
                <w:rFonts w:ascii="Times New Roman" w:cs="Times New Roman" w:eastAsia="Times New Roman" w:hAnsi="Times New Roman"/>
                <w:sz w:val="20"/>
                <w:szCs w:val="20"/>
              </w:rPr>
              <w:t xml:space="preserve">若兩者同時介入，脫鉤程度應顯著下降</w:t>
            </w:r>
          </w:p>
        </w:tc>
      </w:tr>
    </w:tbl>
    <w:p>
      <w:pPr>
        <w:spacing w:after="120" w:before="0" w:line="360"/>
        <w:jc w:val="both"/>
      </w:pPr>
      <w:r>
        <w:rPr>
          <w:rFonts w:ascii="Times New Roman" w:cs="Times New Roman" w:eastAsia="Times New Roman" w:hAnsi="Times New Roman"/>
          <w:sz w:val="24"/>
          <w:szCs w:val="24"/>
        </w:rPr>
        <w:t xml:space="preserve">在「事實認定／證據審量」階段，AI輸出（如風險分數、違規機率、相似性比對結果）較容易成為認知錨點，使文官傾向直接採信系統對事實的判定，從而強化路徑B。相對地，在「效果裁量」階段，推翻預設裁量基準可能被視為個人判斷，進而觸發路徑A，使文官更傾向以形式合規方式貼附系統建議。</w:t>
      </w:r>
    </w:p>
    <w:p>
      <w:pPr>
        <w:spacing w:after="120" w:before="0" w:line="360"/>
        <w:jc w:val="both"/>
      </w:pPr>
      <w:r>
        <w:rPr>
          <w:rFonts w:ascii="Times New Roman" w:cs="Times New Roman" w:eastAsia="Times New Roman" w:hAnsi="Times New Roman"/>
          <w:sz w:val="24"/>
          <w:szCs w:val="24"/>
        </w:rPr>
        <w:t xml:space="preserve">因果鏈採組合條件邏輯表述：避責驅動是動機條件（提供「不願偏離」的誘因）；預設錨定是認知條件（提供「難以偏離」的心理起點）；時間／能力限制是觸發條件（使實質覆核成本進一步升高）。三者結合才充分導致防禦性脫鉤；缺一項則脫鉤程度預期下降。責任歸屬不對稱進一步強化動機條件。整合後的因果敘述為：</w:t>
      </w:r>
    </w:p>
    <w:p>
      <w:pPr>
        <w:spacing w:after="120" w:before="0" w:line="360"/>
        <w:jc w:val="both"/>
      </w:pPr>
      <w:r>
        <w:rPr>
          <w:rFonts w:ascii="Times New Roman" w:cs="Times New Roman" w:eastAsia="Times New Roman" w:hAnsi="Times New Roman"/>
          <w:sz w:val="24"/>
          <w:szCs w:val="24"/>
        </w:rPr>
        <w:t xml:space="preserve">程序密度／咎責結構／任務條件 → 避責知覺與預設錨定 → 查證、偏離與理由個別化 → 形式—實質脫鉤。</w:t>
      </w:r>
    </w:p>
    <w:p>
      <w:pPr>
        <w:spacing w:after="120" w:before="0" w:line="360"/>
        <w:jc w:val="both"/>
      </w:pPr>
      <w:r>
        <w:rPr>
          <w:rFonts w:ascii="Times New Roman" w:cs="Times New Roman" w:eastAsia="Times New Roman" w:hAnsi="Times New Roman"/>
          <w:sz w:val="24"/>
          <w:szCs w:val="24"/>
        </w:rPr>
        <w:t xml:space="preserve">程序密度不必然導致防禦性脫鉤；其效果取決於程序是否伴隨資訊能力、偏離權限、異議保護與結果導向審計。</w:t>
      </w:r>
    </w:p>
    <w:p>
      <w:pPr>
        <w:pStyle w:val="Heading2"/>
        <w:spacing w:after="160" w:before="280"/>
      </w:pPr>
      <w:r>
        <w:rPr>
          <w:rFonts w:ascii="Times New Roman" w:cs="Times New Roman" w:eastAsia="Times New Roman" w:hAnsi="Times New Roman"/>
          <w:b/>
          <w:bCs/>
          <w:sz w:val="26"/>
          <w:szCs w:val="26"/>
        </w:rPr>
        <w:t xml:space="preserve">3.3　理論邊界條件</w:t>
      </w:r>
    </w:p>
    <w:p>
      <w:pPr>
        <w:spacing w:after="120" w:before="0" w:line="360"/>
        <w:jc w:val="both"/>
      </w:pPr>
      <w:r>
        <w:rPr>
          <w:rFonts w:ascii="Times New Roman" w:cs="Times New Roman" w:eastAsia="Times New Roman" w:hAnsi="Times New Roman"/>
          <w:sz w:val="24"/>
          <w:szCs w:val="24"/>
        </w:rPr>
        <w:t xml:space="preserve">在高專業認同、具備偏離權限且組織能承擔錯誤責任的環境中（如部分專業監理機關、低權力距離且高度輪調的單位），即使程序密度與咎責壓力偏高，SGF也可能維持。此類反例將作為後續實證的重要對照組，並正式納入理論邊界條件：程序密度在配套充分時可能提升治理，在配套不足時才產生反效果。此一邊界條件已正式化為第四章之H6，與H1構成聯立的三階交互作用關係，而非停留於敘事性但書。</w:t>
      </w:r>
    </w:p>
    <w:p>
      <w:pPr>
        <w:pStyle w:val="Heading1"/>
        <w:spacing w:after="200" w:before="360"/>
      </w:pPr>
      <w:r>
        <w:rPr>
          <w:rFonts w:ascii="Times New Roman" w:cs="Times New Roman" w:eastAsia="Times New Roman" w:hAnsi="Times New Roman"/>
          <w:b/>
          <w:bCs/>
          <w:sz w:val="28"/>
          <w:szCs w:val="28"/>
        </w:rPr>
        <w:t xml:space="preserve">第四章　制度條件與假說體系</w:t>
      </w:r>
    </w:p>
    <w:p>
      <w:pPr>
        <w:spacing w:after="120" w:before="0" w:line="360"/>
        <w:jc w:val="both"/>
      </w:pPr>
      <w:r>
        <w:rPr>
          <w:rFonts w:ascii="Times New Roman" w:cs="Times New Roman" w:eastAsia="Times New Roman" w:hAnsi="Times New Roman"/>
          <w:sz w:val="24"/>
          <w:szCs w:val="24"/>
        </w:rPr>
        <w:t xml:space="preserve">假說體系由文官個人咎責結構、成文法程序密度、異議保護機制、外部審計模式構成，並納入任務複雜度與AI可解釋性作為情境／能力條件。臺灣的程序密度具有特殊性：常呈現《行政程序法》＋機關內部SOP＋資訊系統強制欄位的三層疊加，這可能使防禦性脫鉤更容易發生。</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600"/>
        <w:gridCol w:w="1600"/>
        <w:gridCol w:w="2000"/>
        <w:gridCol w:w="2000"/>
        <w:gridCol w:w="1826"/>
      </w:tblGrid>
      <w:tr>
        <w:tc>
          <w:tcPr>
            <w:tcW w:type="dxa" w:w="1600"/>
            <w:tcBorders>
              <w:top w:val="single" w:color="666666" w:sz="1"/>
              <w:left w:val="single" w:color="666666" w:sz="1"/>
              <w:bottom w:val="single" w:color="666666" w:sz="1"/>
              <w:right w:val="single" w:color="666666" w:sz="1"/>
            </w:tcBorders>
            <w:shd w:fill="E8E8E8" w:val="clear"/>
            <w:tcMar>
              <w:top w:type="dxa" w:w="60"/>
              <w:left w:type="dxa" w:w="80"/>
              <w:bottom w:type="dxa" w:w="60"/>
              <w:right w:type="dxa" w:w="80"/>
            </w:tcMar>
          </w:tcPr>
          <w:p>
            <w:r>
              <w:rPr>
                <w:rFonts w:ascii="Times New Roman" w:cs="Times New Roman" w:eastAsia="Times New Roman" w:hAnsi="Times New Roman"/>
                <w:b/>
                <w:bCs/>
                <w:sz w:val="20"/>
                <w:szCs w:val="20"/>
              </w:rPr>
              <w:t xml:space="preserve">條件</w:t>
            </w:r>
          </w:p>
        </w:tc>
        <w:tc>
          <w:tcPr>
            <w:tcW w:type="dxa" w:w="1600"/>
            <w:tcBorders>
              <w:top w:val="single" w:color="666666" w:sz="1"/>
              <w:left w:val="single" w:color="666666" w:sz="1"/>
              <w:bottom w:val="single" w:color="666666" w:sz="1"/>
              <w:right w:val="single" w:color="666666" w:sz="1"/>
            </w:tcBorders>
            <w:shd w:fill="E8E8E8" w:val="clear"/>
            <w:tcMar>
              <w:top w:type="dxa" w:w="60"/>
              <w:left w:type="dxa" w:w="80"/>
              <w:bottom w:type="dxa" w:w="60"/>
              <w:right w:type="dxa" w:w="80"/>
            </w:tcMar>
          </w:tcPr>
          <w:p>
            <w:r>
              <w:rPr>
                <w:rFonts w:ascii="Times New Roman" w:cs="Times New Roman" w:eastAsia="Times New Roman" w:hAnsi="Times New Roman"/>
                <w:b/>
                <w:bCs/>
                <w:sz w:val="20"/>
                <w:szCs w:val="20"/>
              </w:rPr>
              <w:t xml:space="preserve">理論角色</w:t>
            </w:r>
          </w:p>
        </w:tc>
        <w:tc>
          <w:tcPr>
            <w:tcW w:type="dxa" w:w="2000"/>
            <w:tcBorders>
              <w:top w:val="single" w:color="666666" w:sz="1"/>
              <w:left w:val="single" w:color="666666" w:sz="1"/>
              <w:bottom w:val="single" w:color="666666" w:sz="1"/>
              <w:right w:val="single" w:color="666666" w:sz="1"/>
            </w:tcBorders>
            <w:shd w:fill="E8E8E8" w:val="clear"/>
            <w:tcMar>
              <w:top w:type="dxa" w:w="60"/>
              <w:left w:type="dxa" w:w="80"/>
              <w:bottom w:type="dxa" w:w="60"/>
              <w:right w:type="dxa" w:w="80"/>
            </w:tcMar>
          </w:tcPr>
          <w:p>
            <w:r>
              <w:rPr>
                <w:rFonts w:ascii="Times New Roman" w:cs="Times New Roman" w:eastAsia="Times New Roman" w:hAnsi="Times New Roman"/>
                <w:b/>
                <w:bCs/>
                <w:sz w:val="20"/>
                <w:szCs w:val="20"/>
              </w:rPr>
              <w:t xml:space="preserve">測量層次／資料來源</w:t>
            </w:r>
          </w:p>
        </w:tc>
        <w:tc>
          <w:tcPr>
            <w:tcW w:type="dxa" w:w="2000"/>
            <w:tcBorders>
              <w:top w:val="single" w:color="666666" w:sz="1"/>
              <w:left w:val="single" w:color="666666" w:sz="1"/>
              <w:bottom w:val="single" w:color="666666" w:sz="1"/>
              <w:right w:val="single" w:color="666666" w:sz="1"/>
            </w:tcBorders>
            <w:shd w:fill="E8E8E8" w:val="clear"/>
            <w:tcMar>
              <w:top w:type="dxa" w:w="60"/>
              <w:left w:type="dxa" w:w="80"/>
              <w:bottom w:type="dxa" w:w="60"/>
              <w:right w:type="dxa" w:w="80"/>
            </w:tcMar>
          </w:tcPr>
          <w:p>
            <w:r>
              <w:rPr>
                <w:rFonts w:ascii="Times New Roman" w:cs="Times New Roman" w:eastAsia="Times New Roman" w:hAnsi="Times New Roman"/>
                <w:b/>
                <w:bCs/>
                <w:sz w:val="20"/>
                <w:szCs w:val="20"/>
              </w:rPr>
              <w:t xml:space="preserve">可能觀察指標</w:t>
            </w:r>
          </w:p>
        </w:tc>
        <w:tc>
          <w:tcPr>
            <w:tcW w:type="dxa" w:w="1826"/>
            <w:tcBorders>
              <w:top w:val="single" w:color="666666" w:sz="1"/>
              <w:left w:val="single" w:color="666666" w:sz="1"/>
              <w:bottom w:val="single" w:color="666666" w:sz="1"/>
              <w:right w:val="single" w:color="666666" w:sz="1"/>
            </w:tcBorders>
            <w:shd w:fill="E8E8E8" w:val="clear"/>
            <w:tcMar>
              <w:top w:type="dxa" w:w="60"/>
              <w:left w:type="dxa" w:w="80"/>
              <w:bottom w:type="dxa" w:w="60"/>
              <w:right w:type="dxa" w:w="80"/>
            </w:tcMar>
          </w:tcPr>
          <w:p>
            <w:r>
              <w:rPr>
                <w:rFonts w:ascii="Times New Roman" w:cs="Times New Roman" w:eastAsia="Times New Roman" w:hAnsi="Times New Roman"/>
                <w:b/>
                <w:bCs/>
                <w:sz w:val="20"/>
                <w:szCs w:val="20"/>
              </w:rPr>
              <w:t xml:space="preserve">預期方向</w:t>
            </w:r>
          </w:p>
        </w:tc>
      </w:tr>
      <w:tr>
        <w:tc>
          <w:tcPr>
            <w:tcW w:type="dxa" w:w="1600"/>
            <w:tcBorders>
              <w:top w:val="single" w:color="666666" w:sz="1"/>
              <w:left w:val="single" w:color="666666" w:sz="1"/>
              <w:bottom w:val="single" w:color="666666" w:sz="1"/>
              <w:right w:val="single" w:color="666666" w:sz="1"/>
            </w:tcBorders>
            <w:tcMar>
              <w:top w:type="dxa" w:w="60"/>
              <w:left w:type="dxa" w:w="80"/>
              <w:bottom w:type="dxa" w:w="60"/>
              <w:right w:type="dxa" w:w="80"/>
            </w:tcMar>
          </w:tcPr>
          <w:p>
            <w:r>
              <w:rPr>
                <w:rFonts w:ascii="Times New Roman" w:cs="Times New Roman" w:eastAsia="Times New Roman" w:hAnsi="Times New Roman"/>
                <w:sz w:val="20"/>
                <w:szCs w:val="20"/>
              </w:rPr>
              <w:t xml:space="preserve">個人咎責結構</w:t>
            </w:r>
          </w:p>
        </w:tc>
        <w:tc>
          <w:tcPr>
            <w:tcW w:type="dxa" w:w="1600"/>
            <w:tcBorders>
              <w:top w:val="single" w:color="666666" w:sz="1"/>
              <w:left w:val="single" w:color="666666" w:sz="1"/>
              <w:bottom w:val="single" w:color="666666" w:sz="1"/>
              <w:right w:val="single" w:color="666666" w:sz="1"/>
            </w:tcBorders>
            <w:tcMar>
              <w:top w:type="dxa" w:w="60"/>
              <w:left w:type="dxa" w:w="80"/>
              <w:bottom w:type="dxa" w:w="60"/>
              <w:right w:type="dxa" w:w="80"/>
            </w:tcMar>
          </w:tcPr>
          <w:p>
            <w:r>
              <w:rPr>
                <w:rFonts w:ascii="Times New Roman" w:cs="Times New Roman" w:eastAsia="Times New Roman" w:hAnsi="Times New Roman"/>
                <w:sz w:val="20"/>
                <w:szCs w:val="20"/>
              </w:rPr>
              <w:t xml:space="preserve">核心自變項</w:t>
            </w:r>
          </w:p>
        </w:tc>
        <w:tc>
          <w:tcPr>
            <w:tcW w:type="dxa" w:w="2000"/>
            <w:tcBorders>
              <w:top w:val="single" w:color="666666" w:sz="1"/>
              <w:left w:val="single" w:color="666666" w:sz="1"/>
              <w:bottom w:val="single" w:color="666666" w:sz="1"/>
              <w:right w:val="single" w:color="666666" w:sz="1"/>
            </w:tcBorders>
            <w:tcMar>
              <w:top w:type="dxa" w:w="60"/>
              <w:left w:type="dxa" w:w="80"/>
              <w:bottom w:type="dxa" w:w="60"/>
              <w:right w:type="dxa" w:w="80"/>
            </w:tcMar>
          </w:tcPr>
          <w:p>
            <w:r>
              <w:rPr>
                <w:rFonts w:ascii="Times New Roman" w:cs="Times New Roman" w:eastAsia="Times New Roman" w:hAnsi="Times New Roman"/>
                <w:sz w:val="20"/>
                <w:szCs w:val="20"/>
              </w:rPr>
              <w:t xml:space="preserve">知覺變項（問卷）</w:t>
            </w:r>
          </w:p>
        </w:tc>
        <w:tc>
          <w:tcPr>
            <w:tcW w:type="dxa" w:w="2000"/>
            <w:tcBorders>
              <w:top w:val="single" w:color="666666" w:sz="1"/>
              <w:left w:val="single" w:color="666666" w:sz="1"/>
              <w:bottom w:val="single" w:color="666666" w:sz="1"/>
              <w:right w:val="single" w:color="666666" w:sz="1"/>
            </w:tcBorders>
            <w:tcMar>
              <w:top w:type="dxa" w:w="60"/>
              <w:left w:type="dxa" w:w="80"/>
              <w:bottom w:type="dxa" w:w="60"/>
              <w:right w:type="dxa" w:w="80"/>
            </w:tcMar>
          </w:tcPr>
          <w:p>
            <w:r>
              <w:rPr>
                <w:rFonts w:ascii="Times New Roman" w:cs="Times New Roman" w:eastAsia="Times New Roman" w:hAnsi="Times New Roman"/>
                <w:sz w:val="20"/>
                <w:szCs w:val="20"/>
              </w:rPr>
              <w:t xml:space="preserve">推翻AI責任成本、考核壓力</w:t>
            </w:r>
          </w:p>
        </w:tc>
        <w:tc>
          <w:tcPr>
            <w:tcW w:type="dxa" w:w="1826"/>
            <w:tcBorders>
              <w:top w:val="single" w:color="666666" w:sz="1"/>
              <w:left w:val="single" w:color="666666" w:sz="1"/>
              <w:bottom w:val="single" w:color="666666" w:sz="1"/>
              <w:right w:val="single" w:color="666666" w:sz="1"/>
            </w:tcBorders>
            <w:tcMar>
              <w:top w:type="dxa" w:w="60"/>
              <w:left w:type="dxa" w:w="80"/>
              <w:bottom w:type="dxa" w:w="60"/>
              <w:right w:type="dxa" w:w="80"/>
            </w:tcMar>
          </w:tcPr>
          <w:p>
            <w:r>
              <w:rPr>
                <w:rFonts w:ascii="Times New Roman" w:cs="Times New Roman" w:eastAsia="Times New Roman" w:hAnsi="Times New Roman"/>
                <w:sz w:val="20"/>
                <w:szCs w:val="20"/>
              </w:rPr>
              <w:t xml:space="preserve">脫鉤增加</w:t>
            </w:r>
          </w:p>
        </w:tc>
      </w:tr>
      <w:tr>
        <w:tc>
          <w:tcPr>
            <w:tcW w:type="dxa" w:w="1600"/>
            <w:tcBorders>
              <w:top w:val="single" w:color="666666" w:sz="1"/>
              <w:left w:val="single" w:color="666666" w:sz="1"/>
              <w:bottom w:val="single" w:color="666666" w:sz="1"/>
              <w:right w:val="single" w:color="666666" w:sz="1"/>
            </w:tcBorders>
            <w:tcMar>
              <w:top w:type="dxa" w:w="60"/>
              <w:left w:type="dxa" w:w="80"/>
              <w:bottom w:type="dxa" w:w="60"/>
              <w:right w:type="dxa" w:w="80"/>
            </w:tcMar>
          </w:tcPr>
          <w:p>
            <w:r>
              <w:rPr>
                <w:rFonts w:ascii="Times New Roman" w:cs="Times New Roman" w:eastAsia="Times New Roman" w:hAnsi="Times New Roman"/>
                <w:sz w:val="20"/>
                <w:szCs w:val="20"/>
              </w:rPr>
              <w:t xml:space="preserve">程序密度</w:t>
            </w:r>
          </w:p>
        </w:tc>
        <w:tc>
          <w:tcPr>
            <w:tcW w:type="dxa" w:w="1600"/>
            <w:tcBorders>
              <w:top w:val="single" w:color="666666" w:sz="1"/>
              <w:left w:val="single" w:color="666666" w:sz="1"/>
              <w:bottom w:val="single" w:color="666666" w:sz="1"/>
              <w:right w:val="single" w:color="666666" w:sz="1"/>
            </w:tcBorders>
            <w:tcMar>
              <w:top w:type="dxa" w:w="60"/>
              <w:left w:type="dxa" w:w="80"/>
              <w:bottom w:type="dxa" w:w="60"/>
              <w:right w:type="dxa" w:w="80"/>
            </w:tcMar>
          </w:tcPr>
          <w:p>
            <w:r>
              <w:rPr>
                <w:rFonts w:ascii="Times New Roman" w:cs="Times New Roman" w:eastAsia="Times New Roman" w:hAnsi="Times New Roman"/>
                <w:sz w:val="20"/>
                <w:szCs w:val="20"/>
              </w:rPr>
              <w:t xml:space="preserve">核心自變項</w:t>
            </w:r>
          </w:p>
        </w:tc>
        <w:tc>
          <w:tcPr>
            <w:tcW w:type="dxa" w:w="2000"/>
            <w:tcBorders>
              <w:top w:val="single" w:color="666666" w:sz="1"/>
              <w:left w:val="single" w:color="666666" w:sz="1"/>
              <w:bottom w:val="single" w:color="666666" w:sz="1"/>
              <w:right w:val="single" w:color="666666" w:sz="1"/>
            </w:tcBorders>
            <w:tcMar>
              <w:top w:type="dxa" w:w="60"/>
              <w:left w:type="dxa" w:w="80"/>
              <w:bottom w:type="dxa" w:w="60"/>
              <w:right w:type="dxa" w:w="80"/>
            </w:tcMar>
          </w:tcPr>
          <w:p>
            <w:r>
              <w:rPr>
                <w:rFonts w:ascii="Times New Roman" w:cs="Times New Roman" w:eastAsia="Times New Roman" w:hAnsi="Times New Roman"/>
                <w:sz w:val="20"/>
                <w:szCs w:val="20"/>
              </w:rPr>
              <w:t xml:space="preserve">制度變項（法規＋SOP）</w:t>
            </w:r>
          </w:p>
        </w:tc>
        <w:tc>
          <w:tcPr>
            <w:tcW w:type="dxa" w:w="2000"/>
            <w:tcBorders>
              <w:top w:val="single" w:color="666666" w:sz="1"/>
              <w:left w:val="single" w:color="666666" w:sz="1"/>
              <w:bottom w:val="single" w:color="666666" w:sz="1"/>
              <w:right w:val="single" w:color="666666" w:sz="1"/>
            </w:tcBorders>
            <w:tcMar>
              <w:top w:type="dxa" w:w="60"/>
              <w:left w:type="dxa" w:w="80"/>
              <w:bottom w:type="dxa" w:w="60"/>
              <w:right w:type="dxa" w:w="80"/>
            </w:tcMar>
          </w:tcPr>
          <w:p>
            <w:r>
              <w:rPr>
                <w:rFonts w:ascii="Times New Roman" w:cs="Times New Roman" w:eastAsia="Times New Roman" w:hAnsi="Times New Roman"/>
                <w:sz w:val="20"/>
                <w:szCs w:val="20"/>
              </w:rPr>
              <w:t xml:space="preserve">表單、簽核、理由要求數量</w:t>
            </w:r>
          </w:p>
        </w:tc>
        <w:tc>
          <w:tcPr>
            <w:tcW w:type="dxa" w:w="1826"/>
            <w:tcBorders>
              <w:top w:val="single" w:color="666666" w:sz="1"/>
              <w:left w:val="single" w:color="666666" w:sz="1"/>
              <w:bottom w:val="single" w:color="666666" w:sz="1"/>
              <w:right w:val="single" w:color="666666" w:sz="1"/>
            </w:tcBorders>
            <w:tcMar>
              <w:top w:type="dxa" w:w="60"/>
              <w:left w:type="dxa" w:w="80"/>
              <w:bottom w:type="dxa" w:w="60"/>
              <w:right w:type="dxa" w:w="80"/>
            </w:tcMar>
          </w:tcPr>
          <w:p>
            <w:r>
              <w:rPr>
                <w:rFonts w:ascii="Times New Roman" w:cs="Times New Roman" w:eastAsia="Times New Roman" w:hAnsi="Times New Roman"/>
                <w:sz w:val="20"/>
                <w:szCs w:val="20"/>
              </w:rPr>
              <w:t xml:space="preserve">條件性影響</w:t>
            </w:r>
          </w:p>
        </w:tc>
      </w:tr>
      <w:tr>
        <w:tc>
          <w:tcPr>
            <w:tcW w:type="dxa" w:w="1600"/>
            <w:tcBorders>
              <w:top w:val="single" w:color="666666" w:sz="1"/>
              <w:left w:val="single" w:color="666666" w:sz="1"/>
              <w:bottom w:val="single" w:color="666666" w:sz="1"/>
              <w:right w:val="single" w:color="666666" w:sz="1"/>
            </w:tcBorders>
            <w:tcMar>
              <w:top w:type="dxa" w:w="60"/>
              <w:left w:type="dxa" w:w="80"/>
              <w:bottom w:type="dxa" w:w="60"/>
              <w:right w:type="dxa" w:w="80"/>
            </w:tcMar>
          </w:tcPr>
          <w:p>
            <w:r>
              <w:rPr>
                <w:rFonts w:ascii="Times New Roman" w:cs="Times New Roman" w:eastAsia="Times New Roman" w:hAnsi="Times New Roman"/>
                <w:sz w:val="20"/>
                <w:szCs w:val="20"/>
              </w:rPr>
              <w:t xml:space="preserve">異議保護</w:t>
            </w:r>
          </w:p>
        </w:tc>
        <w:tc>
          <w:tcPr>
            <w:tcW w:type="dxa" w:w="1600"/>
            <w:tcBorders>
              <w:top w:val="single" w:color="666666" w:sz="1"/>
              <w:left w:val="single" w:color="666666" w:sz="1"/>
              <w:bottom w:val="single" w:color="666666" w:sz="1"/>
              <w:right w:val="single" w:color="666666" w:sz="1"/>
            </w:tcBorders>
            <w:tcMar>
              <w:top w:type="dxa" w:w="60"/>
              <w:left w:type="dxa" w:w="80"/>
              <w:bottom w:type="dxa" w:w="60"/>
              <w:right w:type="dxa" w:w="80"/>
            </w:tcMar>
          </w:tcPr>
          <w:p>
            <w:r>
              <w:rPr>
                <w:rFonts w:ascii="Times New Roman" w:cs="Times New Roman" w:eastAsia="Times New Roman" w:hAnsi="Times New Roman"/>
                <w:sz w:val="20"/>
                <w:szCs w:val="20"/>
              </w:rPr>
              <w:t xml:space="preserve">調節變項</w:t>
            </w:r>
          </w:p>
        </w:tc>
        <w:tc>
          <w:tcPr>
            <w:tcW w:type="dxa" w:w="2000"/>
            <w:tcBorders>
              <w:top w:val="single" w:color="666666" w:sz="1"/>
              <w:left w:val="single" w:color="666666" w:sz="1"/>
              <w:bottom w:val="single" w:color="666666" w:sz="1"/>
              <w:right w:val="single" w:color="666666" w:sz="1"/>
            </w:tcBorders>
            <w:tcMar>
              <w:top w:type="dxa" w:w="60"/>
              <w:left w:type="dxa" w:w="80"/>
              <w:bottom w:type="dxa" w:w="60"/>
              <w:right w:type="dxa" w:w="80"/>
            </w:tcMar>
          </w:tcPr>
          <w:p>
            <w:r>
              <w:rPr>
                <w:rFonts w:ascii="Times New Roman" w:cs="Times New Roman" w:eastAsia="Times New Roman" w:hAnsi="Times New Roman"/>
                <w:sz w:val="20"/>
                <w:szCs w:val="20"/>
              </w:rPr>
              <w:t xml:space="preserve">制度＋實務</w:t>
            </w:r>
          </w:p>
        </w:tc>
        <w:tc>
          <w:tcPr>
            <w:tcW w:type="dxa" w:w="2000"/>
            <w:tcBorders>
              <w:top w:val="single" w:color="666666" w:sz="1"/>
              <w:left w:val="single" w:color="666666" w:sz="1"/>
              <w:bottom w:val="single" w:color="666666" w:sz="1"/>
              <w:right w:val="single" w:color="666666" w:sz="1"/>
            </w:tcBorders>
            <w:tcMar>
              <w:top w:type="dxa" w:w="60"/>
              <w:left w:type="dxa" w:w="80"/>
              <w:bottom w:type="dxa" w:w="60"/>
              <w:right w:type="dxa" w:w="80"/>
            </w:tcMar>
          </w:tcPr>
          <w:p>
            <w:r>
              <w:rPr>
                <w:rFonts w:ascii="Times New Roman" w:cs="Times New Roman" w:eastAsia="Times New Roman" w:hAnsi="Times New Roman"/>
                <w:sz w:val="20"/>
                <w:szCs w:val="20"/>
              </w:rPr>
              <w:t xml:space="preserve">保密通報、善意免責、外部覆核</w:t>
            </w:r>
          </w:p>
        </w:tc>
        <w:tc>
          <w:tcPr>
            <w:tcW w:type="dxa" w:w="1826"/>
            <w:tcBorders>
              <w:top w:val="single" w:color="666666" w:sz="1"/>
              <w:left w:val="single" w:color="666666" w:sz="1"/>
              <w:bottom w:val="single" w:color="666666" w:sz="1"/>
              <w:right w:val="single" w:color="666666" w:sz="1"/>
            </w:tcBorders>
            <w:tcMar>
              <w:top w:type="dxa" w:w="60"/>
              <w:left w:type="dxa" w:w="80"/>
              <w:bottom w:type="dxa" w:w="60"/>
              <w:right w:type="dxa" w:w="80"/>
            </w:tcMar>
          </w:tcPr>
          <w:p>
            <w:r>
              <w:rPr>
                <w:rFonts w:ascii="Times New Roman" w:cs="Times New Roman" w:eastAsia="Times New Roman" w:hAnsi="Times New Roman"/>
                <w:sz w:val="20"/>
                <w:szCs w:val="20"/>
              </w:rPr>
              <w:t xml:space="preserve">脫鉤減少</w:t>
            </w:r>
          </w:p>
        </w:tc>
      </w:tr>
      <w:tr>
        <w:tc>
          <w:tcPr>
            <w:tcW w:type="dxa" w:w="1600"/>
            <w:tcBorders>
              <w:top w:val="single" w:color="666666" w:sz="1"/>
              <w:left w:val="single" w:color="666666" w:sz="1"/>
              <w:bottom w:val="single" w:color="666666" w:sz="1"/>
              <w:right w:val="single" w:color="666666" w:sz="1"/>
            </w:tcBorders>
            <w:tcMar>
              <w:top w:type="dxa" w:w="60"/>
              <w:left w:type="dxa" w:w="80"/>
              <w:bottom w:type="dxa" w:w="60"/>
              <w:right w:type="dxa" w:w="80"/>
            </w:tcMar>
          </w:tcPr>
          <w:p>
            <w:r>
              <w:rPr>
                <w:rFonts w:ascii="Times New Roman" w:cs="Times New Roman" w:eastAsia="Times New Roman" w:hAnsi="Times New Roman"/>
                <w:sz w:val="20"/>
                <w:szCs w:val="20"/>
              </w:rPr>
              <w:t xml:space="preserve">審計模式</w:t>
            </w:r>
          </w:p>
        </w:tc>
        <w:tc>
          <w:tcPr>
            <w:tcW w:type="dxa" w:w="1600"/>
            <w:tcBorders>
              <w:top w:val="single" w:color="666666" w:sz="1"/>
              <w:left w:val="single" w:color="666666" w:sz="1"/>
              <w:bottom w:val="single" w:color="666666" w:sz="1"/>
              <w:right w:val="single" w:color="666666" w:sz="1"/>
            </w:tcBorders>
            <w:tcMar>
              <w:top w:type="dxa" w:w="60"/>
              <w:left w:type="dxa" w:w="80"/>
              <w:bottom w:type="dxa" w:w="60"/>
              <w:right w:type="dxa" w:w="80"/>
            </w:tcMar>
          </w:tcPr>
          <w:p>
            <w:r>
              <w:rPr>
                <w:rFonts w:ascii="Times New Roman" w:cs="Times New Roman" w:eastAsia="Times New Roman" w:hAnsi="Times New Roman"/>
                <w:sz w:val="20"/>
                <w:szCs w:val="20"/>
              </w:rPr>
              <w:t xml:space="preserve">調節變項</w:t>
            </w:r>
          </w:p>
        </w:tc>
        <w:tc>
          <w:tcPr>
            <w:tcW w:type="dxa" w:w="2000"/>
            <w:tcBorders>
              <w:top w:val="single" w:color="666666" w:sz="1"/>
              <w:left w:val="single" w:color="666666" w:sz="1"/>
              <w:bottom w:val="single" w:color="666666" w:sz="1"/>
              <w:right w:val="single" w:color="666666" w:sz="1"/>
            </w:tcBorders>
            <w:tcMar>
              <w:top w:type="dxa" w:w="60"/>
              <w:left w:type="dxa" w:w="80"/>
              <w:bottom w:type="dxa" w:w="60"/>
              <w:right w:type="dxa" w:w="80"/>
            </w:tcMar>
          </w:tcPr>
          <w:p>
            <w:r>
              <w:rPr>
                <w:rFonts w:ascii="Times New Roman" w:cs="Times New Roman" w:eastAsia="Times New Roman" w:hAnsi="Times New Roman"/>
                <w:sz w:val="20"/>
                <w:szCs w:val="20"/>
              </w:rPr>
              <w:t xml:space="preserve">制度變項</w:t>
            </w:r>
          </w:p>
        </w:tc>
        <w:tc>
          <w:tcPr>
            <w:tcW w:type="dxa" w:w="2000"/>
            <w:tcBorders>
              <w:top w:val="single" w:color="666666" w:sz="1"/>
              <w:left w:val="single" w:color="666666" w:sz="1"/>
              <w:bottom w:val="single" w:color="666666" w:sz="1"/>
              <w:right w:val="single" w:color="666666" w:sz="1"/>
            </w:tcBorders>
            <w:tcMar>
              <w:top w:type="dxa" w:w="60"/>
              <w:left w:type="dxa" w:w="80"/>
              <w:bottom w:type="dxa" w:w="60"/>
              <w:right w:type="dxa" w:w="80"/>
            </w:tcMar>
          </w:tcPr>
          <w:p>
            <w:r>
              <w:rPr>
                <w:rFonts w:ascii="Times New Roman" w:cs="Times New Roman" w:eastAsia="Times New Roman" w:hAnsi="Times New Roman"/>
                <w:sz w:val="20"/>
                <w:szCs w:val="20"/>
              </w:rPr>
              <w:t xml:space="preserve">合規審查或結果／風險審計</w:t>
            </w:r>
          </w:p>
        </w:tc>
        <w:tc>
          <w:tcPr>
            <w:tcW w:type="dxa" w:w="1826"/>
            <w:tcBorders>
              <w:top w:val="single" w:color="666666" w:sz="1"/>
              <w:left w:val="single" w:color="666666" w:sz="1"/>
              <w:bottom w:val="single" w:color="666666" w:sz="1"/>
              <w:right w:val="single" w:color="666666" w:sz="1"/>
            </w:tcBorders>
            <w:tcMar>
              <w:top w:type="dxa" w:w="60"/>
              <w:left w:type="dxa" w:w="80"/>
              <w:bottom w:type="dxa" w:w="60"/>
              <w:right w:type="dxa" w:w="80"/>
            </w:tcMar>
          </w:tcPr>
          <w:p>
            <w:r>
              <w:rPr>
                <w:rFonts w:ascii="Times New Roman" w:cs="Times New Roman" w:eastAsia="Times New Roman" w:hAnsi="Times New Roman"/>
                <w:sz w:val="20"/>
                <w:szCs w:val="20"/>
              </w:rPr>
              <w:t xml:space="preserve">實質審計降低脫鉤</w:t>
            </w:r>
          </w:p>
        </w:tc>
      </w:tr>
      <w:tr>
        <w:tc>
          <w:tcPr>
            <w:tcW w:type="dxa" w:w="1600"/>
            <w:tcBorders>
              <w:top w:val="single" w:color="666666" w:sz="1"/>
              <w:left w:val="single" w:color="666666" w:sz="1"/>
              <w:bottom w:val="single" w:color="666666" w:sz="1"/>
              <w:right w:val="single" w:color="666666" w:sz="1"/>
            </w:tcBorders>
            <w:tcMar>
              <w:top w:type="dxa" w:w="60"/>
              <w:left w:type="dxa" w:w="80"/>
              <w:bottom w:type="dxa" w:w="60"/>
              <w:right w:type="dxa" w:w="80"/>
            </w:tcMar>
          </w:tcPr>
          <w:p>
            <w:r>
              <w:rPr>
                <w:rFonts w:ascii="Times New Roman" w:cs="Times New Roman" w:eastAsia="Times New Roman" w:hAnsi="Times New Roman"/>
                <w:sz w:val="20"/>
                <w:szCs w:val="20"/>
              </w:rPr>
              <w:t xml:space="preserve">任務複雜度</w:t>
            </w:r>
          </w:p>
        </w:tc>
        <w:tc>
          <w:tcPr>
            <w:tcW w:type="dxa" w:w="1600"/>
            <w:tcBorders>
              <w:top w:val="single" w:color="666666" w:sz="1"/>
              <w:left w:val="single" w:color="666666" w:sz="1"/>
              <w:bottom w:val="single" w:color="666666" w:sz="1"/>
              <w:right w:val="single" w:color="666666" w:sz="1"/>
            </w:tcBorders>
            <w:tcMar>
              <w:top w:type="dxa" w:w="60"/>
              <w:left w:type="dxa" w:w="80"/>
              <w:bottom w:type="dxa" w:w="60"/>
              <w:right w:type="dxa" w:w="80"/>
            </w:tcMar>
          </w:tcPr>
          <w:p>
            <w:r>
              <w:rPr>
                <w:rFonts w:ascii="Times New Roman" w:cs="Times New Roman" w:eastAsia="Times New Roman" w:hAnsi="Times New Roman"/>
                <w:sz w:val="20"/>
                <w:szCs w:val="20"/>
              </w:rPr>
              <w:t xml:space="preserve">情境變項</w:t>
            </w:r>
          </w:p>
        </w:tc>
        <w:tc>
          <w:tcPr>
            <w:tcW w:type="dxa" w:w="2000"/>
            <w:tcBorders>
              <w:top w:val="single" w:color="666666" w:sz="1"/>
              <w:left w:val="single" w:color="666666" w:sz="1"/>
              <w:bottom w:val="single" w:color="666666" w:sz="1"/>
              <w:right w:val="single" w:color="666666" w:sz="1"/>
            </w:tcBorders>
            <w:tcMar>
              <w:top w:type="dxa" w:w="60"/>
              <w:left w:type="dxa" w:w="80"/>
              <w:bottom w:type="dxa" w:w="60"/>
              <w:right w:type="dxa" w:w="80"/>
            </w:tcMar>
          </w:tcPr>
          <w:p>
            <w:r>
              <w:rPr>
                <w:rFonts w:ascii="Times New Roman" w:cs="Times New Roman" w:eastAsia="Times New Roman" w:hAnsi="Times New Roman"/>
                <w:sz w:val="20"/>
                <w:szCs w:val="20"/>
              </w:rPr>
              <w:t xml:space="preserve">任務特徵（實驗／編碼）</w:t>
            </w:r>
          </w:p>
        </w:tc>
        <w:tc>
          <w:tcPr>
            <w:tcW w:type="dxa" w:w="2000"/>
            <w:tcBorders>
              <w:top w:val="single" w:color="666666" w:sz="1"/>
              <w:left w:val="single" w:color="666666" w:sz="1"/>
              <w:bottom w:val="single" w:color="666666" w:sz="1"/>
              <w:right w:val="single" w:color="666666" w:sz="1"/>
            </w:tcBorders>
            <w:tcMar>
              <w:top w:type="dxa" w:w="60"/>
              <w:left w:type="dxa" w:w="80"/>
              <w:bottom w:type="dxa" w:w="60"/>
              <w:right w:type="dxa" w:w="80"/>
            </w:tcMar>
          </w:tcPr>
          <w:p>
            <w:r>
              <w:rPr>
                <w:rFonts w:ascii="Times New Roman" w:cs="Times New Roman" w:eastAsia="Times New Roman" w:hAnsi="Times New Roman"/>
                <w:sz w:val="20"/>
                <w:szCs w:val="20"/>
              </w:rPr>
              <w:t xml:space="preserve">不確定性、資訊量、時間壓力</w:t>
            </w:r>
          </w:p>
        </w:tc>
        <w:tc>
          <w:tcPr>
            <w:tcW w:type="dxa" w:w="1826"/>
            <w:tcBorders>
              <w:top w:val="single" w:color="666666" w:sz="1"/>
              <w:left w:val="single" w:color="666666" w:sz="1"/>
              <w:bottom w:val="single" w:color="666666" w:sz="1"/>
              <w:right w:val="single" w:color="666666" w:sz="1"/>
            </w:tcBorders>
            <w:tcMar>
              <w:top w:type="dxa" w:w="60"/>
              <w:left w:type="dxa" w:w="80"/>
              <w:bottom w:type="dxa" w:w="60"/>
              <w:right w:type="dxa" w:w="80"/>
            </w:tcMar>
          </w:tcPr>
          <w:p>
            <w:r>
              <w:rPr>
                <w:rFonts w:ascii="Times New Roman" w:cs="Times New Roman" w:eastAsia="Times New Roman" w:hAnsi="Times New Roman"/>
                <w:sz w:val="20"/>
                <w:szCs w:val="20"/>
              </w:rPr>
              <w:t xml:space="preserve">預設錨定增加</w:t>
            </w:r>
          </w:p>
        </w:tc>
      </w:tr>
      <w:tr>
        <w:tc>
          <w:tcPr>
            <w:tcW w:type="dxa" w:w="1600"/>
            <w:tcBorders>
              <w:top w:val="single" w:color="666666" w:sz="1"/>
              <w:left w:val="single" w:color="666666" w:sz="1"/>
              <w:bottom w:val="single" w:color="666666" w:sz="1"/>
              <w:right w:val="single" w:color="666666" w:sz="1"/>
            </w:tcBorders>
            <w:tcMar>
              <w:top w:type="dxa" w:w="60"/>
              <w:left w:type="dxa" w:w="80"/>
              <w:bottom w:type="dxa" w:w="60"/>
              <w:right w:type="dxa" w:w="80"/>
            </w:tcMar>
          </w:tcPr>
          <w:p>
            <w:r>
              <w:rPr>
                <w:rFonts w:ascii="Times New Roman" w:cs="Times New Roman" w:eastAsia="Times New Roman" w:hAnsi="Times New Roman"/>
                <w:sz w:val="20"/>
                <w:szCs w:val="20"/>
              </w:rPr>
              <w:t xml:space="preserve">AI可解釋性</w:t>
            </w:r>
          </w:p>
        </w:tc>
        <w:tc>
          <w:tcPr>
            <w:tcW w:type="dxa" w:w="1600"/>
            <w:tcBorders>
              <w:top w:val="single" w:color="666666" w:sz="1"/>
              <w:left w:val="single" w:color="666666" w:sz="1"/>
              <w:bottom w:val="single" w:color="666666" w:sz="1"/>
              <w:right w:val="single" w:color="666666" w:sz="1"/>
            </w:tcBorders>
            <w:tcMar>
              <w:top w:type="dxa" w:w="60"/>
              <w:left w:type="dxa" w:w="80"/>
              <w:bottom w:type="dxa" w:w="60"/>
              <w:right w:type="dxa" w:w="80"/>
            </w:tcMar>
          </w:tcPr>
          <w:p>
            <w:r>
              <w:rPr>
                <w:rFonts w:ascii="Times New Roman" w:cs="Times New Roman" w:eastAsia="Times New Roman" w:hAnsi="Times New Roman"/>
                <w:sz w:val="20"/>
                <w:szCs w:val="20"/>
              </w:rPr>
              <w:t xml:space="preserve">能力條件</w:t>
            </w:r>
          </w:p>
        </w:tc>
        <w:tc>
          <w:tcPr>
            <w:tcW w:type="dxa" w:w="2000"/>
            <w:tcBorders>
              <w:top w:val="single" w:color="666666" w:sz="1"/>
              <w:left w:val="single" w:color="666666" w:sz="1"/>
              <w:bottom w:val="single" w:color="666666" w:sz="1"/>
              <w:right w:val="single" w:color="666666" w:sz="1"/>
            </w:tcBorders>
            <w:tcMar>
              <w:top w:type="dxa" w:w="60"/>
              <w:left w:type="dxa" w:w="80"/>
              <w:bottom w:type="dxa" w:w="60"/>
              <w:right w:type="dxa" w:w="80"/>
            </w:tcMar>
          </w:tcPr>
          <w:p>
            <w:r>
              <w:rPr>
                <w:rFonts w:ascii="Times New Roman" w:cs="Times New Roman" w:eastAsia="Times New Roman" w:hAnsi="Times New Roman"/>
                <w:sz w:val="20"/>
                <w:szCs w:val="20"/>
              </w:rPr>
              <w:t xml:space="preserve">系統特徵</w:t>
            </w:r>
          </w:p>
        </w:tc>
        <w:tc>
          <w:tcPr>
            <w:tcW w:type="dxa" w:w="2000"/>
            <w:tcBorders>
              <w:top w:val="single" w:color="666666" w:sz="1"/>
              <w:left w:val="single" w:color="666666" w:sz="1"/>
              <w:bottom w:val="single" w:color="666666" w:sz="1"/>
              <w:right w:val="single" w:color="666666" w:sz="1"/>
            </w:tcBorders>
            <w:tcMar>
              <w:top w:type="dxa" w:w="60"/>
              <w:left w:type="dxa" w:w="80"/>
              <w:bottom w:type="dxa" w:w="60"/>
              <w:right w:type="dxa" w:w="80"/>
            </w:tcMar>
          </w:tcPr>
          <w:p>
            <w:r>
              <w:rPr>
                <w:rFonts w:ascii="Times New Roman" w:cs="Times New Roman" w:eastAsia="Times New Roman" w:hAnsi="Times New Roman"/>
                <w:sz w:val="20"/>
                <w:szCs w:val="20"/>
              </w:rPr>
              <w:t xml:space="preserve">可理解性、錯誤提示</w:t>
            </w:r>
          </w:p>
        </w:tc>
        <w:tc>
          <w:tcPr>
            <w:tcW w:type="dxa" w:w="1826"/>
            <w:tcBorders>
              <w:top w:val="single" w:color="666666" w:sz="1"/>
              <w:left w:val="single" w:color="666666" w:sz="1"/>
              <w:bottom w:val="single" w:color="666666" w:sz="1"/>
              <w:right w:val="single" w:color="666666" w:sz="1"/>
            </w:tcBorders>
            <w:tcMar>
              <w:top w:type="dxa" w:w="60"/>
              <w:left w:type="dxa" w:w="80"/>
              <w:bottom w:type="dxa" w:w="60"/>
              <w:right w:type="dxa" w:w="80"/>
            </w:tcMar>
          </w:tcPr>
          <w:p>
            <w:r>
              <w:rPr>
                <w:rFonts w:ascii="Times New Roman" w:cs="Times New Roman" w:eastAsia="Times New Roman" w:hAnsi="Times New Roman"/>
                <w:sz w:val="20"/>
                <w:szCs w:val="20"/>
              </w:rPr>
              <w:t xml:space="preserve">實質覆核增加</w:t>
            </w:r>
          </w:p>
        </w:tc>
      </w:tr>
    </w:tbl>
    <w:p>
      <w:pPr>
        <w:pStyle w:val="Heading2"/>
        <w:spacing w:after="160" w:before="280"/>
      </w:pPr>
      <w:r>
        <w:rPr>
          <w:rFonts w:ascii="Times New Roman" w:cs="Times New Roman" w:eastAsia="Times New Roman" w:hAnsi="Times New Roman"/>
          <w:b/>
          <w:bCs/>
          <w:sz w:val="26"/>
          <w:szCs w:val="26"/>
        </w:rPr>
        <w:t xml:space="preserve">4.1　假說推導</w:t>
      </w:r>
    </w:p>
    <w:p>
      <w:pPr>
        <w:spacing w:after="120" w:before="0" w:line="360"/>
        <w:jc w:val="both"/>
      </w:pPr>
      <w:r>
        <w:rPr>
          <w:rFonts w:ascii="Times New Roman" w:cs="Times New Roman" w:eastAsia="Times New Roman" w:hAnsi="Times New Roman"/>
          <w:b/>
          <w:bCs/>
          <w:sz w:val="24"/>
          <w:szCs w:val="24"/>
        </w:rPr>
        <w:t xml:space="preserve">H1（程序密度的條件效果）：</w:t>
      </w:r>
      <w:r>
        <w:rPr>
          <w:rFonts w:ascii="Times New Roman" w:cs="Times New Roman" w:eastAsia="Times New Roman" w:hAnsi="Times New Roman"/>
          <w:sz w:val="24"/>
          <w:szCs w:val="24"/>
        </w:rPr>
        <w:t xml:space="preserve">程序密度對實質治理功能的影響受到咎責結構與異議保護的調節；在高咎責、低異議保護條件下，程序密度越高，形式—實質脫鉤程度越高。</w:t>
      </w:r>
    </w:p>
    <w:p>
      <w:pPr>
        <w:spacing w:after="120" w:before="0" w:line="360"/>
        <w:jc w:val="both"/>
      </w:pPr>
      <w:r>
        <w:rPr>
          <w:rFonts w:ascii="Times New Roman" w:cs="Times New Roman" w:eastAsia="Times New Roman" w:hAnsi="Times New Roman"/>
          <w:b/>
          <w:bCs/>
          <w:sz w:val="24"/>
          <w:szCs w:val="24"/>
        </w:rPr>
        <w:t xml:space="preserve">H2（AI輸出的實驗效果）：</w:t>
      </w:r>
      <w:r>
        <w:rPr>
          <w:rFonts w:ascii="Times New Roman" w:cs="Times New Roman" w:eastAsia="Times New Roman" w:hAnsi="Times New Roman"/>
          <w:sz w:val="24"/>
          <w:szCs w:val="24"/>
        </w:rPr>
        <w:t xml:space="preserve">在AI建議錯誤或不確定的情境中，AI輸出的存在將提高預設錨定與採納比例，並降低獨立查證與合理偏離行為。此一效果在事實認定階段預期強於效果裁量階段。</w:t>
      </w:r>
    </w:p>
    <w:p>
      <w:pPr>
        <w:spacing w:after="120" w:before="0" w:line="360"/>
        <w:jc w:val="both"/>
      </w:pPr>
      <w:r>
        <w:rPr>
          <w:rFonts w:ascii="Times New Roman" w:cs="Times New Roman" w:eastAsia="Times New Roman" w:hAnsi="Times New Roman"/>
          <w:b/>
          <w:bCs/>
          <w:sz w:val="24"/>
          <w:szCs w:val="24"/>
        </w:rPr>
        <w:t xml:space="preserve">H3（異議保護的調節效果）：</w:t>
      </w:r>
      <w:r>
        <w:rPr>
          <w:rFonts w:ascii="Times New Roman" w:cs="Times New Roman" w:eastAsia="Times New Roman" w:hAnsi="Times New Roman"/>
          <w:sz w:val="24"/>
          <w:szCs w:val="24"/>
        </w:rPr>
        <w:t xml:space="preserve">善意異議安全港越完善（定義為保密通報＋免責條款＋外部覆核三要件同時具備），咎責壓力對形式—實質脫鉤的負面影響越弱。</w:t>
      </w:r>
    </w:p>
    <w:p>
      <w:pPr>
        <w:spacing w:after="120" w:before="0" w:line="360"/>
        <w:jc w:val="both"/>
      </w:pPr>
      <w:r>
        <w:rPr>
          <w:rFonts w:ascii="Times New Roman" w:cs="Times New Roman" w:eastAsia="Times New Roman" w:hAnsi="Times New Roman"/>
          <w:b/>
          <w:bCs/>
          <w:sz w:val="24"/>
          <w:szCs w:val="24"/>
        </w:rPr>
        <w:t xml:space="preserve">H4（審計方式的調節效果）：</w:t>
      </w:r>
      <w:r>
        <w:rPr>
          <w:rFonts w:ascii="Times New Roman" w:cs="Times New Roman" w:eastAsia="Times New Roman" w:hAnsi="Times New Roman"/>
          <w:sz w:val="24"/>
          <w:szCs w:val="24"/>
        </w:rPr>
        <w:t xml:space="preserve">以實質治理結果、錯誤修正與權利影響為導向的審計，相較於單純形式合規審計，更能降低程序密度所造成的脫鉤效果。</w:t>
      </w:r>
    </w:p>
    <w:p>
      <w:pPr>
        <w:spacing w:after="120" w:before="0" w:line="360"/>
        <w:jc w:val="both"/>
      </w:pPr>
      <w:r>
        <w:rPr>
          <w:rFonts w:ascii="Times New Roman" w:cs="Times New Roman" w:eastAsia="Times New Roman" w:hAnsi="Times New Roman"/>
          <w:b/>
          <w:bCs/>
          <w:sz w:val="24"/>
          <w:szCs w:val="24"/>
        </w:rPr>
        <w:t xml:space="preserve">H5（任務情境的調節效果）：</w:t>
      </w:r>
      <w:r>
        <w:rPr>
          <w:rFonts w:ascii="Times New Roman" w:cs="Times New Roman" w:eastAsia="Times New Roman" w:hAnsi="Times New Roman"/>
          <w:sz w:val="24"/>
          <w:szCs w:val="24"/>
        </w:rPr>
        <w:t xml:space="preserve">在高複雜度、高緊急性及高資訊不確定性的任務中，預設錨定對實質治理功能的負面影響較強。</w:t>
      </w:r>
    </w:p>
    <w:p>
      <w:pPr>
        <w:spacing w:after="120" w:before="0" w:line="360"/>
        <w:jc w:val="both"/>
      </w:pPr>
      <w:r>
        <w:rPr>
          <w:rFonts w:ascii="Times New Roman" w:cs="Times New Roman" w:eastAsia="Times New Roman" w:hAnsi="Times New Roman"/>
          <w:b/>
          <w:bCs/>
          <w:sz w:val="24"/>
          <w:szCs w:val="24"/>
        </w:rPr>
        <w:t xml:space="preserve">H6（邊界條件的調節效果）：</w:t>
      </w:r>
      <w:r>
        <w:rPr>
          <w:rFonts w:ascii="Times New Roman" w:cs="Times New Roman" w:eastAsia="Times New Roman" w:hAnsi="Times New Roman"/>
          <w:sz w:val="24"/>
          <w:szCs w:val="24"/>
        </w:rPr>
        <w:t xml:space="preserve">在高專業認同、具備偏離權限且組織能承擔錯誤責任的環境中，程序密度對形式—實質脫鉤的正向效果（H1）將顯著減弱甚至消失；此三項條件建議操作化為承辦人專業年資與證照持有情形、機關內部規章是否明文賦予偏離裁量權、以及機關近三年是否曾對善意偏離之承辦人課責作為量化指標，並於文官情境實驗中以受試者專業年資與機關類型作為調節變項之操弄。H6與H1構成聯立關係：H1描述程序密度在一般條件下的效果方向，H6則界定此效果消失或反轉的邊界，兩者應在同一模型中以三階交互作用項（程序密度×咎責結構×專業認同／偏離權限）共同估計，而非分別視為獨立假說。</w:t>
      </w:r>
    </w:p>
    <w:p>
      <w:pPr>
        <w:pStyle w:val="Heading1"/>
        <w:spacing w:after="200" w:before="360"/>
      </w:pPr>
      <w:r>
        <w:rPr>
          <w:rFonts w:ascii="Times New Roman" w:cs="Times New Roman" w:eastAsia="Times New Roman" w:hAnsi="Times New Roman"/>
          <w:b/>
          <w:bCs/>
          <w:sz w:val="28"/>
          <w:szCs w:val="28"/>
        </w:rPr>
        <w:t xml:space="preserve">第五章　實證檢驗策略與操作化藍圖</w:t>
      </w:r>
    </w:p>
    <w:p>
      <w:pPr>
        <w:spacing w:after="120" w:before="0" w:line="360"/>
        <w:jc w:val="both"/>
      </w:pPr>
      <w:r>
        <w:rPr>
          <w:rFonts w:ascii="Times New Roman" w:cs="Times New Roman" w:eastAsia="Times New Roman" w:hAnsi="Times New Roman"/>
          <w:sz w:val="24"/>
          <w:szCs w:val="24"/>
        </w:rPr>
        <w:t xml:space="preserve">三階段藍圖如下。需注意真實AI建議與核定文對照資料可能面臨機密與個資限制；替代資料比較適合用於觀察「對外呈現的理由與制度痕跡」，不宜直接宣稱能測量完整的內部決策機制。此一限制應在研究報告中明確承認。就規模而言，三階段涉及的資料蒐集、倫理審查與樣本規模各異，預期無法在單一後續論文中一次完成；本文將其定位為系列後續研究的分工藍圖，三階段可能對應三篇獨立的實證論文（暫定為第027篇至第029篇），並不預設由同一研究產出單一篇幅完成全部驗證。</w:t>
      </w:r>
    </w:p>
    <w:p>
      <w:pPr>
        <w:pStyle w:val="Heading2"/>
        <w:spacing w:after="160" w:before="280"/>
      </w:pPr>
      <w:r>
        <w:rPr>
          <w:rFonts w:ascii="Times New Roman" w:cs="Times New Roman" w:eastAsia="Times New Roman" w:hAnsi="Times New Roman"/>
          <w:b/>
          <w:bCs/>
          <w:sz w:val="26"/>
          <w:szCs w:val="26"/>
        </w:rPr>
        <w:t xml:space="preserve">5.1　第一階段：公文文本分析</w:t>
      </w:r>
    </w:p>
    <w:p>
      <w:pPr>
        <w:spacing w:after="120" w:before="0" w:line="360"/>
        <w:jc w:val="both"/>
      </w:pPr>
      <w:r>
        <w:rPr>
          <w:rFonts w:ascii="Times New Roman" w:cs="Times New Roman" w:eastAsia="Times New Roman" w:hAnsi="Times New Roman"/>
          <w:sz w:val="24"/>
          <w:szCs w:val="24"/>
        </w:rPr>
        <w:t xml:space="preserve">實質理由不能只以文字長度、引用數量或是否出現特定詞語判定。建議建立分層編碼：</w:t>
      </w:r>
    </w:p>
    <w:p>
      <w:pPr>
        <w:pStyle w:val="ListParagraph"/>
        <w:numPr>
          <w:ilvl w:val="0"/>
          <w:numId w:val="3"/>
        </w:numPr>
        <w:spacing w:after="80" w:line="360"/>
      </w:pPr>
      <w:r>
        <w:rPr>
          <w:rFonts w:ascii="Times New Roman" w:cs="Times New Roman" w:eastAsia="Times New Roman" w:hAnsi="Times New Roman"/>
          <w:sz w:val="24"/>
          <w:szCs w:val="24"/>
        </w:rPr>
        <w:t xml:space="preserve">個案事實是否被具體引用。</w:t>
      </w:r>
    </w:p>
    <w:p>
      <w:pPr>
        <w:pStyle w:val="ListParagraph"/>
        <w:numPr>
          <w:ilvl w:val="0"/>
          <w:numId w:val="3"/>
        </w:numPr>
        <w:spacing w:after="80" w:line="360"/>
      </w:pPr>
      <w:r>
        <w:rPr>
          <w:rFonts w:ascii="Times New Roman" w:cs="Times New Roman" w:eastAsia="Times New Roman" w:hAnsi="Times New Roman"/>
          <w:sz w:val="24"/>
          <w:szCs w:val="24"/>
        </w:rPr>
        <w:t xml:space="preserve">AI建議是否被明確揭露。</w:t>
      </w:r>
    </w:p>
    <w:p>
      <w:pPr>
        <w:pStyle w:val="ListParagraph"/>
        <w:numPr>
          <w:ilvl w:val="0"/>
          <w:numId w:val="3"/>
        </w:numPr>
        <w:spacing w:after="80" w:line="360"/>
      </w:pPr>
      <w:r>
        <w:rPr>
          <w:rFonts w:ascii="Times New Roman" w:cs="Times New Roman" w:eastAsia="Times New Roman" w:hAnsi="Times New Roman"/>
          <w:sz w:val="24"/>
          <w:szCs w:val="24"/>
        </w:rPr>
        <w:t xml:space="preserve">是否檢驗AI輸入資料。</w:t>
      </w:r>
    </w:p>
    <w:p>
      <w:pPr>
        <w:pStyle w:val="ListParagraph"/>
        <w:numPr>
          <w:ilvl w:val="0"/>
          <w:numId w:val="3"/>
        </w:numPr>
        <w:spacing w:after="80" w:line="360"/>
      </w:pPr>
      <w:r>
        <w:rPr>
          <w:rFonts w:ascii="Times New Roman" w:cs="Times New Roman" w:eastAsia="Times New Roman" w:hAnsi="Times New Roman"/>
          <w:sz w:val="24"/>
          <w:szCs w:val="24"/>
        </w:rPr>
        <w:t xml:space="preserve">是否討論反證。</w:t>
      </w:r>
    </w:p>
    <w:p>
      <w:pPr>
        <w:pStyle w:val="ListParagraph"/>
        <w:numPr>
          <w:ilvl w:val="0"/>
          <w:numId w:val="3"/>
        </w:numPr>
        <w:spacing w:after="80" w:line="360"/>
      </w:pPr>
      <w:r>
        <w:rPr>
          <w:rFonts w:ascii="Times New Roman" w:cs="Times New Roman" w:eastAsia="Times New Roman" w:hAnsi="Times New Roman"/>
          <w:sz w:val="24"/>
          <w:szCs w:val="24"/>
        </w:rPr>
        <w:t xml:space="preserve">是否說明不確定性。</w:t>
      </w:r>
    </w:p>
    <w:p>
      <w:pPr>
        <w:pStyle w:val="ListParagraph"/>
        <w:numPr>
          <w:ilvl w:val="0"/>
          <w:numId w:val="3"/>
        </w:numPr>
        <w:spacing w:after="80" w:line="360"/>
      </w:pPr>
      <w:r>
        <w:rPr>
          <w:rFonts w:ascii="Times New Roman" w:cs="Times New Roman" w:eastAsia="Times New Roman" w:hAnsi="Times New Roman"/>
          <w:sz w:val="24"/>
          <w:szCs w:val="24"/>
        </w:rPr>
        <w:t xml:space="preserve">是否說明採納、修正或偏離AI建議的理由。</w:t>
      </w:r>
    </w:p>
    <w:p>
      <w:pPr>
        <w:pStyle w:val="ListParagraph"/>
        <w:numPr>
          <w:ilvl w:val="0"/>
          <w:numId w:val="3"/>
        </w:numPr>
        <w:spacing w:after="80" w:line="360"/>
      </w:pPr>
      <w:r>
        <w:rPr>
          <w:rFonts w:ascii="Times New Roman" w:cs="Times New Roman" w:eastAsia="Times New Roman" w:hAnsi="Times New Roman"/>
          <w:sz w:val="24"/>
          <w:szCs w:val="24"/>
        </w:rPr>
        <w:t xml:space="preserve">理由是否連結法律要件與個案事實。</w:t>
      </w:r>
    </w:p>
    <w:p>
      <w:pPr>
        <w:pStyle w:val="ListParagraph"/>
        <w:numPr>
          <w:ilvl w:val="0"/>
          <w:numId w:val="3"/>
        </w:numPr>
        <w:spacing w:after="80" w:line="360"/>
      </w:pPr>
      <w:r>
        <w:rPr>
          <w:rFonts w:ascii="Times New Roman" w:cs="Times New Roman" w:eastAsia="Times New Roman" w:hAnsi="Times New Roman"/>
          <w:sz w:val="24"/>
          <w:szCs w:val="24"/>
        </w:rPr>
        <w:t xml:space="preserve">是否存在模板複製或無意義重複。</w:t>
      </w:r>
    </w:p>
    <w:p>
      <w:pPr>
        <w:spacing w:after="120" w:before="0" w:line="360"/>
        <w:jc w:val="both"/>
      </w:pPr>
      <w:r>
        <w:rPr>
          <w:rFonts w:ascii="Times New Roman" w:cs="Times New Roman" w:eastAsia="Times New Roman" w:hAnsi="Times New Roman"/>
          <w:sz w:val="24"/>
          <w:szCs w:val="24"/>
        </w:rPr>
        <w:t xml:space="preserve">最好提供編碼手冊、編碼範例、編碼者一致性指標（例如Cohen’s kappa或Krippendorff’s alpha）。可採人工編碼與NLP分類器的混合方法：先抽樣人工編碼、建立一致性、再使用NLP擴大分析、以人工複核測試模型準確度。</w:t>
      </w:r>
    </w:p>
    <w:p>
      <w:pPr>
        <w:spacing w:after="120" w:before="0" w:line="360"/>
        <w:jc w:val="both"/>
      </w:pPr>
      <w:r>
        <w:rPr>
          <w:rFonts w:ascii="Times New Roman" w:cs="Times New Roman" w:eastAsia="Times New Roman" w:hAnsi="Times New Roman"/>
          <w:sz w:val="24"/>
          <w:szCs w:val="24"/>
        </w:rPr>
        <w:t xml:space="preserve">資料可得性方面，政府內部擬稿或涉及AI風險評估的簽核文稿，常屬內部準備作業文件，可能受到《政府資訊公開法》相關限制。因此，除爭取去識別化的內部行政資料外，可優先以「去識別化之訴願決定書與行政訴訟判決書」作為補充或替代資料源。法院與訴願機關之公開文書中，常會附錄原處分機關之處分理由或風險分數摘要，足以觀察形式理由與實質心證之間的落差。此外，亦可採用已去識別的監察院調查報告、審計部報告作為替代語料。
在系統性資料蒐集完成前，本文亦可利用第025篇既有（雖證據力有限，多屬B–C級與D級推論）之三案例材料，對假說進行風格化（stylized）初步檢視，以銜接理論與既有案例觀察，而非讓兩篇論文的抽象命題與案例敘事完全平行發展：以025篇韓國「深偽下架＋治安預測」案例為例，其緊急授權與高風險演算法部署之場域特徵，若對應本文H5（任務情境的調節效果），預期應觀察到較強的預設錨定傾向；而025篇日本「補助金＋福祉資格」案例中，個人承辦人員之核章流程與避責誘因，則較貼近H1與H6的檢驗場域（可留意該場域是否具備高專業認同或偏離權限之邊界條件特徵）。此類初步比對僅具啟發性質，不能取代第一階段之正式文本分析，但有助於讀者理解假說與既有案例觀察之間的對應關係，並可作為第一階段編碼架構設計時的參考起點。</w:t>
      </w:r>
    </w:p>
    <w:p>
      <w:pPr>
        <w:pStyle w:val="Heading2"/>
        <w:spacing w:after="160" w:before="280"/>
      </w:pPr>
      <w:r>
        <w:rPr>
          <w:rFonts w:ascii="Times New Roman" w:cs="Times New Roman" w:eastAsia="Times New Roman" w:hAnsi="Times New Roman"/>
          <w:b/>
          <w:bCs/>
          <w:sz w:val="26"/>
          <w:szCs w:val="26"/>
        </w:rPr>
        <w:t xml:space="preserve">5.2　第二階段：文官情境實驗</w:t>
      </w:r>
    </w:p>
    <w:p>
      <w:pPr>
        <w:spacing w:after="120" w:before="0" w:line="360"/>
        <w:jc w:val="both"/>
      </w:pPr>
      <w:r>
        <w:rPr>
          <w:rFonts w:ascii="Times New Roman" w:cs="Times New Roman" w:eastAsia="Times New Roman" w:hAnsi="Times New Roman"/>
          <w:sz w:val="24"/>
          <w:szCs w:val="24"/>
        </w:rPr>
        <w:t xml:space="preserve">建議採用2×2或3×2實驗設計，例如：高／低究責壓力、有／無異議安全港、AI建議正確／錯誤／不確定。至少需要控制：AI建議的正確率、信心程度、可解釋性、案件難度、受試者專業年資、對AI的既有信任、任務屬於事實認定還是效果裁量。否則觀察到的「採納AI」可能只是因為AI建議看起來合理，而不是避責或錨定造成。</w:t>
      </w:r>
    </w:p>
    <w:p>
      <w:pPr>
        <w:spacing w:after="120" w:before="0" w:line="360"/>
        <w:jc w:val="both"/>
      </w:pPr>
      <w:r>
        <w:rPr>
          <w:rFonts w:ascii="Times New Roman" w:cs="Times New Roman" w:eastAsia="Times New Roman" w:hAnsi="Times New Roman"/>
          <w:sz w:val="24"/>
          <w:szCs w:val="24"/>
        </w:rPr>
        <w:t xml:space="preserve">主要依變項可包括：採納AI建議的比例、推翻AI建議的比例、查閱補充資料的時間、理由個別化程度、對推翻AI責任的主觀評估。實驗可進一步區分「事實認定情境」與「效果裁量情境」，以檢驗路徑B與路徑A在不同階段的相對強度。</w:t>
      </w:r>
    </w:p>
    <w:p>
      <w:pPr>
        <w:spacing w:after="120" w:before="0" w:line="360"/>
        <w:jc w:val="both"/>
      </w:pPr>
      <w:r>
        <w:rPr>
          <w:rFonts w:ascii="Times New Roman" w:cs="Times New Roman" w:eastAsia="Times New Roman" w:hAnsi="Times New Roman"/>
          <w:sz w:val="24"/>
          <w:szCs w:val="24"/>
        </w:rPr>
        <w:t xml:space="preserve">樣本設計上，以薦任六職等以下承辦人為主有一定合理性，因第一線承辦人直接面對AI輸出與簽核壓力。但需說明：排除主管可能低估主管在系統部署與責任分配中的作用。較佳設計是把承辦人與主管分為兩組，並比較其對偏離AI建議、責任風險與異議安全港的反應，以檢驗「承辦人避責」與「主管責任配置」的差異。另可將「主管是否可見異議者」作為操弄變項，以檢驗隱性職涯懲罰的邊界條件。</w:t>
      </w:r>
    </w:p>
    <w:p>
      <w:pPr>
        <w:pStyle w:val="Heading2"/>
        <w:spacing w:after="160" w:before="280"/>
      </w:pPr>
      <w:r>
        <w:rPr>
          <w:rFonts w:ascii="Times New Roman" w:cs="Times New Roman" w:eastAsia="Times New Roman" w:hAnsi="Times New Roman"/>
          <w:b/>
          <w:bCs/>
          <w:sz w:val="26"/>
          <w:szCs w:val="26"/>
        </w:rPr>
        <w:t xml:space="preserve">5.3　第三階段：質性訪談</w:t>
      </w:r>
    </w:p>
    <w:p>
      <w:pPr>
        <w:spacing w:after="120" w:before="0" w:line="360"/>
        <w:jc w:val="both"/>
      </w:pPr>
      <w:r>
        <w:rPr>
          <w:rFonts w:ascii="Times New Roman" w:cs="Times New Roman" w:eastAsia="Times New Roman" w:hAnsi="Times New Roman"/>
          <w:sz w:val="24"/>
          <w:szCs w:val="24"/>
        </w:rPr>
        <w:t xml:space="preserve">訪談對象建議涵蓋：第一線承辦人、主管與核稿人員、資訊或資料治理人員、法制人員、政風／主計或審計人員、申訴與救濟機關人員、系統開發或採購承辦人員。訪談問題應直接對應兩條機制路徑，並特別探詢「隱性職涯懲罰」（即使法律上免責，仍可能影響考績或主管印象）是否削弱安全港的實際效果，以及何種組織文化（高權力距離、主管裁量權大、缺乏輪調）下該懲罰會被活化。</w:t>
      </w:r>
    </w:p>
    <w:p>
      <w:pPr>
        <w:pStyle w:val="Heading1"/>
        <w:spacing w:after="200" w:before="360"/>
      </w:pPr>
      <w:r>
        <w:rPr>
          <w:rFonts w:ascii="Times New Roman" w:cs="Times New Roman" w:eastAsia="Times New Roman" w:hAnsi="Times New Roman"/>
          <w:b/>
          <w:bCs/>
          <w:sz w:val="28"/>
          <w:szCs w:val="28"/>
        </w:rPr>
        <w:t xml:space="preserve">第六章　「逆轉脫鉤」的理論回應</w:t>
      </w:r>
    </w:p>
    <w:p>
      <w:pPr>
        <w:pStyle w:val="Heading2"/>
        <w:spacing w:after="160" w:before="280"/>
      </w:pPr>
      <w:r>
        <w:rPr>
          <w:rFonts w:ascii="Times New Roman" w:cs="Times New Roman" w:eastAsia="Times New Roman" w:hAnsi="Times New Roman"/>
          <w:b/>
          <w:bCs/>
          <w:sz w:val="26"/>
          <w:szCs w:val="26"/>
        </w:rPr>
        <w:t xml:space="preserve">6.1　逆轉脫鉤的三個理論條件</w:t>
      </w:r>
    </w:p>
    <w:p>
      <w:pPr>
        <w:spacing w:after="120" w:before="0" w:line="360"/>
        <w:jc w:val="both"/>
      </w:pPr>
      <w:r>
        <w:rPr>
          <w:rFonts w:ascii="Times New Roman" w:cs="Times New Roman" w:eastAsia="Times New Roman" w:hAnsi="Times New Roman"/>
          <w:sz w:val="24"/>
          <w:szCs w:val="24"/>
        </w:rPr>
        <w:t xml:space="preserve">必須同時降低異議成本、重塑組織誘因與能力、建立動態責任分流與退出機制。組織心理安全感（Edmondson, 1999）與異議功能（Sunstein, 2005）為安全港與同儕審議提供理論支撐。以下各節所稱「異議安全港」為簡稱，其完整內涵沿用第025篇之「善意異議責任安全港」，並可進一步參照第024篇第4.4節之考核保障／加給保障／法律責任判斷三層細分設計；三篇之間僅為敘述詳簡程度不同，並非三套不同的安全港設計。</w:t>
      </w:r>
    </w:p>
    <w:p>
      <w:pPr>
        <w:pStyle w:val="Heading2"/>
        <w:spacing w:after="160" w:before="280"/>
      </w:pPr>
      <w:r>
        <w:rPr>
          <w:rFonts w:ascii="Times New Roman" w:cs="Times New Roman" w:eastAsia="Times New Roman" w:hAnsi="Times New Roman"/>
          <w:b/>
          <w:bCs/>
          <w:sz w:val="26"/>
          <w:szCs w:val="26"/>
        </w:rPr>
        <w:t xml:space="preserve">6.2　與雙機制直接對應的制度工具</w:t>
      </w:r>
    </w:p>
    <w:p>
      <w:pPr>
        <w:spacing w:after="120" w:before="0" w:line="360"/>
        <w:jc w:val="both"/>
      </w:pPr>
      <w:r>
        <w:rPr>
          <w:rFonts w:ascii="Times New Roman" w:cs="Times New Roman" w:eastAsia="Times New Roman" w:hAnsi="Times New Roman"/>
          <w:sz w:val="24"/>
          <w:szCs w:val="24"/>
        </w:rPr>
        <w:t xml:space="preserve">為避免文章從理論論文轉向政策白皮書，本章僅保留與雙機制直接對應的制度工具，並區分其來源：路徑A之工具承繼自第025篇既有設計，路徑B之工具則為本篇新提出、025篇並未涵蓋之補充機制：</w:t>
      </w:r>
    </w:p>
    <w:p>
      <w:pPr>
        <w:pStyle w:val="ListParagraph"/>
        <w:numPr>
          <w:ilvl w:val="0"/>
          <w:numId w:val="3"/>
        </w:numPr>
        <w:spacing w:after="80" w:line="360"/>
      </w:pPr>
      <w:r>
        <w:rPr>
          <w:rFonts w:ascii="Times New Roman" w:cs="Times New Roman" w:eastAsia="Times New Roman" w:hAnsi="Times New Roman"/>
          <w:sz w:val="24"/>
          <w:szCs w:val="24"/>
        </w:rPr>
        <w:t xml:space="preserve">路徑A（避責驅動，承繼第025篇）：異議安全港（含匿名／保密通報與外部審查）與責任分流，以降低個人偏離成本。</w:t>
      </w:r>
    </w:p>
    <w:p>
      <w:pPr>
        <w:pStyle w:val="ListParagraph"/>
        <w:numPr>
          <w:ilvl w:val="0"/>
          <w:numId w:val="3"/>
        </w:numPr>
        <w:spacing w:after="80" w:line="360"/>
      </w:pPr>
      <w:r>
        <w:rPr>
          <w:rFonts w:ascii="Times New Roman" w:cs="Times New Roman" w:eastAsia="Times New Roman" w:hAnsi="Times New Roman"/>
          <w:sz w:val="24"/>
          <w:szCs w:val="24"/>
        </w:rPr>
        <w:t xml:space="preserve">路徑B（預設錨定，本篇新提出）：獨立查證清單、反錨定設計與延遲確認，以打破AI輸出作為判斷起點的認知慣性；此三項工具025篇未曾涵蓋，屬本篇針對預設錨定機制之理論補充。</w:t>
      </w:r>
    </w:p>
    <w:p>
      <w:pPr>
        <w:pStyle w:val="ListParagraph"/>
        <w:numPr>
          <w:ilvl w:val="0"/>
          <w:numId w:val="3"/>
        </w:numPr>
        <w:spacing w:after="80" w:line="360"/>
      </w:pPr>
      <w:r>
        <w:rPr>
          <w:rFonts w:ascii="Times New Roman" w:cs="Times New Roman" w:eastAsia="Times New Roman" w:hAnsi="Times New Roman"/>
          <w:sz w:val="24"/>
          <w:szCs w:val="24"/>
        </w:rPr>
        <w:t xml:space="preserve">共同條件（承繼第025篇並延伸）：實質審計（結果／風險導向，對應025篇之成文法合致性審計矩陣）與系統退出機制（對應025篇之風險分級失效條款），確保人工監督具有實際作用。025篇另提出之限定範圍第二意見程序，在本篇路徑B之獨立查證清單與延遲確認機制中部分吸收其功能（高風險或重大分歧案件仍可另行啟動），惟兩者定位並非完全等同，後續研究應進一步釐清其銜接關係。</w:t>
      </w:r>
    </w:p>
    <w:p>
      <w:pPr>
        <w:spacing w:after="120" w:before="0" w:line="360"/>
        <w:jc w:val="both"/>
      </w:pPr>
      <w:r>
        <w:rPr>
          <w:rFonts w:ascii="Times New Roman" w:cs="Times New Roman" w:eastAsia="Times New Roman" w:hAnsi="Times New Roman"/>
          <w:sz w:val="24"/>
          <w:szCs w:val="24"/>
        </w:rPr>
        <w:t xml:space="preserve">即使設置善意異議安全港，第一線文官仍可能擔憂「雖然免除法律責任，但會影響考績或主管印象」的隱性職涯懲罰。此隱性懲罰在高權力距離、主管裁量權大、缺乏輪調的機關預期較強。因此，安全港機制必須搭配匿名或保密通報條款以及跨機關／外部審查設計。</w:t>
      </w:r>
    </w:p>
    <w:p>
      <w:pPr>
        <w:spacing w:after="120" w:before="0" w:line="360"/>
        <w:jc w:val="both"/>
      </w:pPr>
      <w:r>
        <w:rPr>
          <w:rFonts w:ascii="Times New Roman" w:cs="Times New Roman" w:eastAsia="Times New Roman" w:hAnsi="Times New Roman"/>
          <w:sz w:val="24"/>
          <w:szCs w:val="24"/>
        </w:rPr>
        <w:t xml:space="preserve">需說明的是，第024篇與第025篇目前均屬同系列理論提案性質之未出版手稿，尚未經過獨立資料檢驗；本文對其效力的再詮釋屬理論推演層次，實際成效仍待第五章所提出之三階段實證策略加以檢驗。</w:t>
      </w:r>
    </w:p>
    <w:p>
      <w:pPr>
        <w:pStyle w:val="Heading2"/>
        <w:spacing w:after="160" w:before="280"/>
      </w:pPr>
      <w:r>
        <w:rPr>
          <w:rFonts w:ascii="Times New Roman" w:cs="Times New Roman" w:eastAsia="Times New Roman" w:hAnsi="Times New Roman"/>
          <w:b/>
          <w:bCs/>
          <w:sz w:val="26"/>
          <w:szCs w:val="26"/>
        </w:rPr>
        <w:t xml:space="preserve">6.3　雙循環模型對比</w:t>
      </w:r>
    </w:p>
    <w:p>
      <w:pPr>
        <w:spacing w:after="120" w:before="0" w:line="360"/>
        <w:jc w:val="both"/>
      </w:pPr>
      <w:r>
        <w:rPr>
          <w:rFonts w:ascii="Times New Roman" w:cs="Times New Roman" w:eastAsia="Times New Roman" w:hAnsi="Times New Roman"/>
          <w:b/>
          <w:bCs/>
          <w:sz w:val="24"/>
          <w:szCs w:val="24"/>
        </w:rPr>
        <w:t xml:space="preserve">惡性脫鉤循環：</w:t>
      </w:r>
      <w:r>
        <w:rPr>
          <w:rFonts w:ascii="Times New Roman" w:cs="Times New Roman" w:eastAsia="Times New Roman" w:hAnsi="Times New Roman"/>
          <w:sz w:val="24"/>
          <w:szCs w:val="24"/>
        </w:rPr>
        <w:t xml:space="preserve">外部壓力 → 避責誘因升高 → 採納AI預設 → 形式簽核＋罐頭理由 → 實質功能脫鉤 → 誤判合規完備 → 繼續疊加形式關卡。</w:t>
      </w:r>
    </w:p>
    <w:p>
      <w:pPr>
        <w:spacing w:after="120" w:before="0" w:line="360"/>
        <w:jc w:val="both"/>
      </w:pPr>
      <w:r>
        <w:rPr>
          <w:rFonts w:ascii="Times New Roman" w:cs="Times New Roman" w:eastAsia="Times New Roman" w:hAnsi="Times New Roman"/>
          <w:b/>
          <w:bCs/>
          <w:sz w:val="24"/>
          <w:szCs w:val="24"/>
        </w:rPr>
        <w:t xml:space="preserve">良性復原循環：</w:t>
      </w:r>
      <w:r>
        <w:rPr>
          <w:rFonts w:ascii="Times New Roman" w:cs="Times New Roman" w:eastAsia="Times New Roman" w:hAnsi="Times New Roman"/>
          <w:sz w:val="24"/>
          <w:szCs w:val="24"/>
        </w:rPr>
        <w:t xml:space="preserve">注入安全港（含匿名／保密與外部審查）、獨立查證與反錨定設計、實質審計與退出機制 → 實質功能復原 → 系統獲實質修正。</w:t>
      </w:r>
    </w:p>
    <w:p>
      <w:pPr>
        <w:pStyle w:val="Heading1"/>
        <w:spacing w:after="200" w:before="360"/>
      </w:pPr>
      <w:r>
        <w:rPr>
          <w:rFonts w:ascii="Times New Roman" w:cs="Times New Roman" w:eastAsia="Times New Roman" w:hAnsi="Times New Roman"/>
          <w:b/>
          <w:bCs/>
          <w:sz w:val="28"/>
          <w:szCs w:val="28"/>
        </w:rPr>
        <w:t xml:space="preserve">第七章　結論與研究邊界</w:t>
      </w:r>
    </w:p>
    <w:p>
      <w:pPr>
        <w:pStyle w:val="Heading2"/>
        <w:spacing w:after="160" w:before="280"/>
      </w:pPr>
      <w:r>
        <w:rPr>
          <w:rFonts w:ascii="Times New Roman" w:cs="Times New Roman" w:eastAsia="Times New Roman" w:hAnsi="Times New Roman"/>
          <w:b/>
          <w:bCs/>
          <w:sz w:val="26"/>
          <w:szCs w:val="26"/>
        </w:rPr>
        <w:t xml:space="preserve">7.1　理論總結與貢獻</w:t>
      </w:r>
    </w:p>
    <w:p>
      <w:pPr>
        <w:spacing w:after="120" w:before="0" w:line="360"/>
        <w:jc w:val="both"/>
      </w:pPr>
      <w:r>
        <w:rPr>
          <w:rFonts w:ascii="Times New Roman" w:cs="Times New Roman" w:eastAsia="Times New Roman" w:hAnsi="Times New Roman"/>
          <w:sz w:val="24"/>
          <w:szCs w:val="24"/>
        </w:rPr>
        <w:t xml:space="preserve">本文的核心命題不是程序保障本身必然削弱治理，而是單向度增加形式程序，若未同步改善文官的資訊能力、異議權限、責任分配與組織誘因，可能使程序保障產生反效果。形式保障只有在能夠支持獨立查證、允許合理偏離並促成錯誤修正時，才可能轉化為實質治理能力。</w:t>
      </w:r>
    </w:p>
    <w:p>
      <w:pPr>
        <w:spacing w:after="120" w:before="0" w:line="360"/>
        <w:jc w:val="both"/>
      </w:pPr>
      <w:r>
        <w:rPr>
          <w:rFonts w:ascii="Times New Roman" w:cs="Times New Roman" w:eastAsia="Times New Roman" w:hAnsi="Times New Roman"/>
          <w:sz w:val="24"/>
          <w:szCs w:val="24"/>
        </w:rPr>
        <w:t xml:space="preserve">本文明確列出三項理論貢獻：</w:t>
      </w:r>
    </w:p>
    <w:p>
      <w:pPr>
        <w:pStyle w:val="ListParagraph"/>
        <w:numPr>
          <w:ilvl w:val="0"/>
          <w:numId w:val="4"/>
        </w:numPr>
        <w:spacing w:after="80" w:line="360"/>
      </w:pPr>
      <w:r>
        <w:rPr>
          <w:rFonts w:ascii="Times New Roman" w:cs="Times New Roman" w:eastAsia="Times New Roman" w:hAnsi="Times New Roman"/>
          <w:sz w:val="24"/>
          <w:szCs w:val="24"/>
        </w:rPr>
        <w:t xml:space="preserve">將制度脫鉤理論延伸至第一線文官的責任防禦行為，提出「防禦性脫鉤」作為區別於組織性脫鉤、策略性脫鉤與單純自動化偏誤的概念。</w:t>
      </w:r>
    </w:p>
    <w:p>
      <w:pPr>
        <w:pStyle w:val="ListParagraph"/>
        <w:numPr>
          <w:ilvl w:val="0"/>
          <w:numId w:val="4"/>
        </w:numPr>
        <w:spacing w:after="80" w:line="360"/>
      </w:pPr>
      <w:r>
        <w:rPr>
          <w:rFonts w:ascii="Times New Roman" w:cs="Times New Roman" w:eastAsia="Times New Roman" w:hAnsi="Times New Roman"/>
          <w:sz w:val="24"/>
          <w:szCs w:val="24"/>
        </w:rPr>
        <w:t xml:space="preserve">區分避責驅動與預設錨定兩種不同機制，並建立多層次因果模型，說明組織咎責結構如何透過個人知覺影響行為結果。</w:t>
      </w:r>
    </w:p>
    <w:p>
      <w:pPr>
        <w:pStyle w:val="ListParagraph"/>
        <w:numPr>
          <w:ilvl w:val="0"/>
          <w:numId w:val="4"/>
        </w:numPr>
        <w:spacing w:after="120" w:line="360"/>
      </w:pPr>
      <w:r>
        <w:rPr>
          <w:rFonts w:ascii="Times New Roman" w:cs="Times New Roman" w:eastAsia="Times New Roman" w:hAnsi="Times New Roman"/>
          <w:sz w:val="24"/>
          <w:szCs w:val="24"/>
        </w:rPr>
        <w:t xml:space="preserve">建立形式保障、實質監督與制度性問責的連結模型，並明確標示邊界條件：在高專業認同、具備偏離權限且組織能承擔錯誤責任的環境中，程序密度未必導致防禦性脫鉤。</w:t>
      </w:r>
    </w:p>
    <w:p>
      <w:pPr>
        <w:pStyle w:val="Heading2"/>
        <w:spacing w:after="160" w:before="280"/>
      </w:pPr>
      <w:r>
        <w:rPr>
          <w:rFonts w:ascii="Times New Roman" w:cs="Times New Roman" w:eastAsia="Times New Roman" w:hAnsi="Times New Roman"/>
          <w:b/>
          <w:bCs/>
          <w:sz w:val="26"/>
          <w:szCs w:val="26"/>
        </w:rPr>
        <w:t xml:space="preserve">7.2　政策與實務意涵</w:t>
      </w:r>
    </w:p>
    <w:p>
      <w:pPr>
        <w:spacing w:after="120" w:before="0" w:line="360"/>
        <w:jc w:val="both"/>
      </w:pPr>
      <w:r>
        <w:rPr>
          <w:rFonts w:ascii="Times New Roman" w:cs="Times New Roman" w:eastAsia="Times New Roman" w:hAnsi="Times New Roman"/>
          <w:sz w:val="24"/>
          <w:szCs w:val="24"/>
        </w:rPr>
        <w:t xml:space="preserve">政策上不應只要求「由人員最終核准」，而應要求該人員具備足夠的任務與法律專業、讀懂模型輸出及限制的能力、查閱原始資料的權限、拒絕／修改或停止使用系統的權力、足夠時間進行獨立判斷，以及不因善意偏離而承擔不成比例的責任（包括隱性職涯懲罰）。這與歐盟《人工智慧法》第14條的制度方向一致（作為比較參照），並進一步指出：若僅將「有效監督」解釋為形式程序的增加，反而可能製造防禦性脫鉤。</w:t>
      </w:r>
    </w:p>
    <w:p>
      <w:pPr>
        <w:pStyle w:val="Heading2"/>
        <w:spacing w:after="160" w:before="280"/>
      </w:pPr>
      <w:r>
        <w:rPr>
          <w:rFonts w:ascii="Times New Roman" w:cs="Times New Roman" w:eastAsia="Times New Roman" w:hAnsi="Times New Roman"/>
          <w:b/>
          <w:bCs/>
          <w:sz w:val="26"/>
          <w:szCs w:val="26"/>
        </w:rPr>
        <w:t xml:space="preserve">7.3　研究限制與未來方向</w:t>
      </w:r>
    </w:p>
    <w:p>
      <w:pPr>
        <w:spacing w:after="120" w:before="0" w:line="360"/>
        <w:jc w:val="both"/>
      </w:pPr>
      <w:r>
        <w:rPr>
          <w:rFonts w:ascii="Times New Roman" w:cs="Times New Roman" w:eastAsia="Times New Roman" w:hAnsi="Times New Roman"/>
          <w:sz w:val="24"/>
          <w:szCs w:val="24"/>
        </w:rPr>
        <w:t xml:space="preserve">本篇側重理論建構，尚未包含大規模微觀資料。模型較適用於成文法傳統深厚、半自動化處分業務之官僚體系。後續可落實實證藍圖，並與臺灣自動化行政及公務員法進一步對話。特別是在事實認定與效果裁量階段的路徑差異、隱性職涯懲罰的邊界條件，以及高專業認同機關的反例，值得後續實證優先檢驗。替代資料僅能觀察對外呈現的理由與制度痕跡，無法完整測量內部決策機制，此一限制應在實證設計中持續正視。另需說明，本篇大量援引第014、024、025篇之論點，惟該三篇目前均屬同系列未出版手稿、尚未經同儕審查。若本篇先行投稿，審稿人可能質疑其論證基礎尚未經外部檢驗；建議於投稿前將014、024、025篇以工作論文或預印本形式公開（如機構典藏、SSRN或個人研究網頁），並於投稿信與稿件中提供穩定連結，以利審稿人查核系列一致性與理論來源。</w:t>
      </w:r>
    </w:p>
    <w:p>
      <w:pPr>
        <w:pStyle w:val="Heading1"/>
        <w:spacing w:after="200" w:before="360"/>
      </w:pPr>
      <w:r>
        <w:rPr>
          <w:rFonts w:ascii="Times New Roman" w:cs="Times New Roman" w:eastAsia="Times New Roman" w:hAnsi="Times New Roman"/>
          <w:b/>
          <w:bCs/>
          <w:sz w:val="28"/>
          <w:szCs w:val="28"/>
        </w:rPr>
        <w:t xml:space="preserve">參考文獻</w:t>
      </w:r>
    </w:p>
    <w:p>
      <w:pPr>
        <w:spacing w:after="80" w:before="0" w:line="360"/>
        <w:jc w:val="both"/>
      </w:pPr>
      <w:r>
        <w:rPr>
          <w:rFonts w:ascii="Times New Roman" w:cs="Times New Roman" w:eastAsia="Times New Roman" w:hAnsi="Times New Roman"/>
          <w:sz w:val="24"/>
          <w:szCs w:val="24"/>
        </w:rPr>
        <w:t xml:space="preserve">Alkhatib, A., &amp; Bernstein, M. (2019). Street-level algorithms: A theory at the gaps between policy and decisions. In Proceedings of the 2019 CHI Conference on Human Factors in Computing Systems (pp. 1–13). ACM.</w:t>
      </w:r>
    </w:p>
    <w:p>
      <w:pPr>
        <w:spacing w:after="80" w:before="0" w:line="360"/>
        <w:jc w:val="both"/>
      </w:pPr>
      <w:r>
        <w:rPr>
          <w:rFonts w:ascii="Times New Roman" w:cs="Times New Roman" w:eastAsia="Times New Roman" w:hAnsi="Times New Roman"/>
          <w:sz w:val="24"/>
          <w:szCs w:val="24"/>
        </w:rPr>
        <w:t xml:space="preserve">Bromley, P., &amp; Powell, W. W. (2012). From decoupling to policy-practice gaps: Institutionalization in organizations. The Academy of Management Annals, 6(1), 483–540.</w:t>
      </w:r>
    </w:p>
    <w:p>
      <w:pPr>
        <w:spacing w:after="80" w:before="0" w:line="360"/>
        <w:jc w:val="both"/>
      </w:pPr>
      <w:r>
        <w:rPr>
          <w:rFonts w:ascii="Times New Roman" w:cs="Times New Roman" w:eastAsia="Times New Roman" w:hAnsi="Times New Roman"/>
          <w:sz w:val="24"/>
          <w:szCs w:val="24"/>
        </w:rPr>
        <w:t xml:space="preserve">Citron, D. K. (2008). Technological due process. Washington University Law Review, 85(6), 1249–1313.</w:t>
      </w:r>
    </w:p>
    <w:p>
      <w:pPr>
        <w:spacing w:after="80" w:before="0" w:line="360"/>
        <w:jc w:val="both"/>
      </w:pPr>
      <w:r>
        <w:rPr>
          <w:rFonts w:ascii="Times New Roman" w:cs="Times New Roman" w:eastAsia="Times New Roman" w:hAnsi="Times New Roman"/>
          <w:sz w:val="24"/>
          <w:szCs w:val="24"/>
        </w:rPr>
        <w:t xml:space="preserve">Edmondson, A. (1999). Psychological safety and learning behavior in work teams. Administrative Science Quarterly, 44(2), 350–383.</w:t>
      </w:r>
    </w:p>
    <w:p>
      <w:pPr>
        <w:spacing w:after="80" w:before="0" w:line="360"/>
        <w:jc w:val="both"/>
      </w:pPr>
      <w:r>
        <w:rPr>
          <w:rFonts w:ascii="Times New Roman" w:cs="Times New Roman" w:eastAsia="Times New Roman" w:hAnsi="Times New Roman"/>
          <w:sz w:val="24"/>
          <w:szCs w:val="24"/>
        </w:rPr>
        <w:t xml:space="preserve">Green, B. (2022). The flaws of policies requiring human oversight of government algorithms. Computer Law &amp; Security Review, 45, 105681. https://doi.org/10.1016/j.clsr.2022.105681</w:t>
      </w:r>
    </w:p>
    <w:p>
      <w:pPr>
        <w:spacing w:after="80" w:before="0" w:line="360"/>
        <w:jc w:val="both"/>
      </w:pPr>
      <w:r>
        <w:rPr>
          <w:rFonts w:ascii="Times New Roman" w:cs="Times New Roman" w:eastAsia="Times New Roman" w:hAnsi="Times New Roman"/>
          <w:sz w:val="24"/>
          <w:szCs w:val="24"/>
        </w:rPr>
        <w:t xml:space="preserve">Hood, C. (2002). The risk game and the blame game. Government and Opposition, 37(1), 15–37.</w:t>
      </w:r>
    </w:p>
    <w:p>
      <w:pPr>
        <w:spacing w:after="80" w:before="0" w:line="360"/>
        <w:jc w:val="both"/>
      </w:pPr>
      <w:r>
        <w:rPr>
          <w:rFonts w:ascii="Times New Roman" w:cs="Times New Roman" w:eastAsia="Times New Roman" w:hAnsi="Times New Roman"/>
          <w:sz w:val="24"/>
          <w:szCs w:val="24"/>
        </w:rPr>
        <w:t xml:space="preserve">Hood, C. (2011). The blame game: Spin, bureaucracy, and self-preservation in government. Princeton University Press.</w:t>
      </w:r>
    </w:p>
    <w:p>
      <w:pPr>
        <w:spacing w:after="80" w:before="0" w:line="360"/>
        <w:jc w:val="both"/>
      </w:pPr>
      <w:r>
        <w:rPr>
          <w:rFonts w:ascii="Times New Roman" w:cs="Times New Roman" w:eastAsia="Times New Roman" w:hAnsi="Times New Roman"/>
          <w:sz w:val="24"/>
          <w:szCs w:val="24"/>
        </w:rPr>
        <w:t xml:space="preserve">Lipsky, M. (1980). Street-level bureaucracy: Dilemmas of the individual in public services. Russell Sage Foundation.</w:t>
      </w:r>
    </w:p>
    <w:p>
      <w:pPr>
        <w:spacing w:after="80" w:before="0" w:line="360"/>
        <w:jc w:val="both"/>
      </w:pPr>
      <w:r>
        <w:rPr>
          <w:rFonts w:ascii="Times New Roman" w:cs="Times New Roman" w:eastAsia="Times New Roman" w:hAnsi="Times New Roman"/>
          <w:sz w:val="24"/>
          <w:szCs w:val="24"/>
        </w:rPr>
        <w:t xml:space="preserve">Lu, L. ［盧建旭］. (2026a, manuscript). AI鑲嵌式公共行政理論壓力測試（第014篇）. 同系列研究.</w:t>
      </w:r>
    </w:p>
    <w:p>
      <w:pPr>
        <w:spacing w:after="80" w:before="0" w:line="360"/>
        <w:jc w:val="both"/>
      </w:pPr>
      <w:r>
        <w:rPr>
          <w:rFonts w:ascii="Times New Roman" w:cs="Times New Roman" w:eastAsia="Times New Roman" w:hAnsi="Times New Roman"/>
          <w:sz w:val="24"/>
          <w:szCs w:val="24"/>
        </w:rPr>
        <w:t xml:space="preserve">Lu, L. ［盧建旭］. (2026b, manuscript). AI治理下文官薪酬與考核制度具體化（第024篇）. 同系列研究.</w:t>
      </w:r>
    </w:p>
    <w:p>
      <w:pPr>
        <w:spacing w:after="80" w:before="0" w:line="360"/>
        <w:jc w:val="both"/>
      </w:pPr>
      <w:r>
        <w:rPr>
          <w:rFonts w:ascii="Times New Roman" w:cs="Times New Roman" w:eastAsia="Times New Roman" w:hAnsi="Times New Roman"/>
          <w:sz w:val="24"/>
          <w:szCs w:val="24"/>
        </w:rPr>
        <w:t xml:space="preserve">Lu, L. ［盧建旭］. (2026c, manuscript). AI鑲嵌式公共行政的東亞制度壓力測試（第025篇）. 同系列研究.</w:t>
      </w:r>
    </w:p>
    <w:p>
      <w:pPr>
        <w:spacing w:after="80" w:before="0" w:line="360"/>
        <w:jc w:val="both"/>
      </w:pPr>
      <w:r>
        <w:rPr>
          <w:rFonts w:ascii="Times New Roman" w:cs="Times New Roman" w:eastAsia="Times New Roman" w:hAnsi="Times New Roman"/>
          <w:sz w:val="24"/>
          <w:szCs w:val="24"/>
        </w:rPr>
        <w:t xml:space="preserve">Maynard-Moody, S., &amp; Musheno, M. (2003). Cops, teachers, counselors: Stories from the front lines of public service. University of Michigan Press.</w:t>
      </w:r>
    </w:p>
    <w:p>
      <w:pPr>
        <w:spacing w:after="80" w:before="0" w:line="360"/>
        <w:jc w:val="both"/>
      </w:pPr>
      <w:r>
        <w:rPr>
          <w:rFonts w:ascii="Times New Roman" w:cs="Times New Roman" w:eastAsia="Times New Roman" w:hAnsi="Times New Roman"/>
          <w:sz w:val="24"/>
          <w:szCs w:val="24"/>
        </w:rPr>
        <w:t xml:space="preserve">Meyer, J. W., &amp; Rowan, B. (1977). Institutionalized organizations: Formal structure as myth and ceremony. American Journal of Sociology, 83(2), 340–363.</w:t>
      </w:r>
    </w:p>
    <w:p>
      <w:pPr>
        <w:spacing w:after="80" w:before="0" w:line="360"/>
        <w:jc w:val="both"/>
      </w:pPr>
      <w:r>
        <w:rPr>
          <w:rFonts w:ascii="Times New Roman" w:cs="Times New Roman" w:eastAsia="Times New Roman" w:hAnsi="Times New Roman"/>
          <w:sz w:val="24"/>
          <w:szCs w:val="24"/>
        </w:rPr>
        <w:t xml:space="preserve">Parasuraman, R., &amp; Manzey, D. H. (2010). Complacency and bias in human use of automation. Human Factors, 52(3), 381–410.</w:t>
      </w:r>
    </w:p>
    <w:p>
      <w:pPr>
        <w:spacing w:after="80" w:before="0" w:line="360"/>
        <w:jc w:val="both"/>
      </w:pPr>
      <w:r>
        <w:rPr>
          <w:rFonts w:ascii="Times New Roman" w:cs="Times New Roman" w:eastAsia="Times New Roman" w:hAnsi="Times New Roman"/>
          <w:sz w:val="24"/>
          <w:szCs w:val="24"/>
        </w:rPr>
        <w:t xml:space="preserve">Power, M. (1997). The audit society: Rituals of verification. Oxford University Press.</w:t>
      </w:r>
    </w:p>
    <w:p>
      <w:pPr>
        <w:spacing w:after="80" w:before="0" w:line="360"/>
        <w:jc w:val="both"/>
      </w:pPr>
      <w:r>
        <w:rPr>
          <w:rFonts w:ascii="Times New Roman" w:cs="Times New Roman" w:eastAsia="Times New Roman" w:hAnsi="Times New Roman"/>
          <w:sz w:val="24"/>
          <w:szCs w:val="24"/>
        </w:rPr>
        <w:t xml:space="preserve">Regulation (EU) 2024/1689 (Artificial Intelligence Act). Official Journal of the European Union.</w:t>
      </w:r>
    </w:p>
    <w:p>
      <w:pPr>
        <w:spacing w:after="80" w:before="0" w:line="360"/>
        <w:jc w:val="both"/>
      </w:pPr>
      <w:r>
        <w:rPr>
          <w:rFonts w:ascii="Times New Roman" w:cs="Times New Roman" w:eastAsia="Times New Roman" w:hAnsi="Times New Roman"/>
          <w:sz w:val="24"/>
          <w:szCs w:val="24"/>
        </w:rPr>
        <w:t xml:space="preserve">Skitka, L. J., Mosier, K. L., &amp; Burdick, M. (1999). Does automation bias decision-making? International Journal of Human-Computer Studies, 51(5), 991–1006.</w:t>
      </w:r>
    </w:p>
    <w:p>
      <w:pPr>
        <w:spacing w:after="80" w:before="0" w:line="360"/>
        <w:jc w:val="both"/>
      </w:pPr>
      <w:r>
        <w:rPr>
          <w:rFonts w:ascii="Times New Roman" w:cs="Times New Roman" w:eastAsia="Times New Roman" w:hAnsi="Times New Roman"/>
          <w:sz w:val="24"/>
          <w:szCs w:val="24"/>
        </w:rPr>
        <w:t xml:space="preserve">Sunstein, C. R. (2005). Why societies need dissent. Harvard University Press.</w:t>
      </w:r>
    </w:p>
    <w:p>
      <w:pPr>
        <w:spacing w:after="80" w:before="0" w:line="360"/>
        <w:jc w:val="both"/>
      </w:pPr>
      <w:r>
        <w:rPr>
          <w:rFonts w:ascii="Times New Roman" w:cs="Times New Roman" w:eastAsia="Times New Roman" w:hAnsi="Times New Roman"/>
          <w:sz w:val="24"/>
          <w:szCs w:val="24"/>
        </w:rPr>
        <w:t xml:space="preserve">Tversky, A., &amp; Kahneman, D. (1974). Judgment under uncertainty: Heuristics and biases. Science, 185(4157), 1124–1131.</w:t>
      </w:r>
    </w:p>
    <w:p>
      <w:pPr>
        <w:spacing w:after="80" w:before="0" w:line="360"/>
        <w:jc w:val="both"/>
      </w:pPr>
      <w:r>
        <w:rPr>
          <w:rFonts w:ascii="Times New Roman" w:cs="Times New Roman" w:eastAsia="Times New Roman" w:hAnsi="Times New Roman"/>
          <w:sz w:val="24"/>
          <w:szCs w:val="24"/>
        </w:rPr>
        <w:t xml:space="preserve">Weaver, R. K. (1986). The politics of blame avoidance. Journal of Public Policy, 6(4), 371–398.</w:t>
      </w:r>
    </w:p>
    <w:p>
      <w:pPr>
        <w:spacing w:after="80" w:before="0" w:line="360"/>
        <w:jc w:val="both"/>
      </w:pPr>
      <w:r>
        <w:rPr>
          <w:rFonts w:ascii="Times New Roman" w:cs="Times New Roman" w:eastAsia="Times New Roman" w:hAnsi="Times New Roman"/>
          <w:sz w:val="24"/>
          <w:szCs w:val="24"/>
        </w:rPr>
        <w:t xml:space="preserve">Young, M. M., Bullock, J. B., &amp; Lecy, J. D. (2019). Artificial discretion as a tool of governance. Perspectives on Public Management and Governance, 2(4), 301–313.</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Times New Roman" w:cs="Times New Roman" w:eastAsia="Times New Roman" w:hAnsi="Times New Roman"/>
        <w:sz w:val="18"/>
        <w:szCs w:val="18"/>
      </w:rPr>
      <w:t xml:space="preserve">第 </w:t>
    </w:r>
    <w:r>
      <w:rPr>
        <w:rFonts w:ascii="Times New Roman" w:cs="Times New Roman" w:eastAsia="Times New Roman" w:hAnsi="Times New Roman"/>
        <w:sz w:val="18"/>
        <w:szCs w:val="18"/>
      </w:rPr>
      <w:fldChar w:fldCharType="begin"/>
      <w:instrText xml:space="preserve">PAGE</w:instrText>
      <w:fldChar w:fldCharType="separate"/>
      <w:fldChar w:fldCharType="end"/>
    </w:r>
    <w:r>
      <w:rPr>
        <w:rFonts w:ascii="Times New Roman" w:cs="Times New Roman" w:eastAsia="Times New Roman" w:hAnsi="Times New Roman"/>
        <w:sz w:val="18"/>
        <w:szCs w:val="18"/>
      </w:rPr>
      <w:t xml:space="preserve"> 頁</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Times New Roman" w:cs="Times New Roman" w:eastAsia="Times New Roman" w:hAnsi="Times New Roman"/>
        <w:color w:val="666666"/>
        <w:sz w:val="18"/>
        <w:szCs w:val="18"/>
      </w:rPr>
      <w:t xml:space="preserve">形式保障與實質治理功能脫鉤的機制與條件｜修訂版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abstractNum w:abstractNumId="4" w15:restartNumberingAfterBreak="0">
    <w:multiLevelType w:val="hybridMultilevel"/>
    <w:lvl w:ilvl="0" w15:tentative="1">
      <w:start w:val="1"/>
      <w:numFmt w:val="decimal"/>
      <w:lvlText w:val="%1."/>
      <w:lvlJc w:val="left"/>
      <w:pPr>
        <w:ind w:left="720" w:hanging="360"/>
      </w:pPr>
    </w:lvl>
  </w:abstractNum>
  <w:abstractNum w:abstractNumId="5"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 w:numId="4">
    <w:abstractNumId w:val="4"/>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60"/>
      <w:outlineLvl w:val="0"/>
    </w:pPr>
    <w:rPr>
      <w:rFonts w:ascii="Times New Roman" w:cs="Times New Roman" w:eastAsia="Times New Roman" w:hAnsi="Times New Roman"/>
      <w:b/>
      <w:bCs/>
      <w:sz w:val="28"/>
      <w:szCs w:val="28"/>
    </w:rPr>
  </w:style>
  <w:style w:type="paragraph" w:styleId="Heading2">
    <w:name w:val="Heading 2"/>
    <w:basedOn w:val="Normal"/>
    <w:next w:val="Normal"/>
    <w:qFormat/>
    <w:pPr>
      <w:spacing w:after="160" w:before="280"/>
      <w:outlineLvl w:val="1"/>
    </w:pPr>
    <w:rPr>
      <w:rFonts w:ascii="Times New Roman" w:cs="Times New Roman" w:eastAsia="Times New Roman" w:hAnsi="Times New Roman"/>
      <w:b/>
      <w:bCs/>
      <w:sz w:val="26"/>
      <w:szCs w:val="26"/>
    </w:rPr>
  </w:style>
  <w:style w:type="paragraph" w:styleId="Heading3">
    <w:name w:val="Heading 3"/>
    <w:basedOn w:val="Normal"/>
    <w:next w:val="Normal"/>
    <w:qFormat/>
    <w:pPr>
      <w:spacing w:after="120" w:before="200"/>
      <w:outlineLvl w:val="2"/>
    </w:pPr>
    <w:rPr>
      <w:rFonts w:ascii="Times New Roman" w:cs="Times New Roman" w:eastAsia="Times New Roman" w:hAnsi="Times New Roman"/>
      <w:b/>
      <w:bCs/>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2026-08-21T15:56:23.080Z</dcterms:created>
  <dcterms:modified xsi:type="dcterms:W3CDTF">2026-08-21T15:56:23.081Z</dcterms:modified>
</cp:coreProperties>
</file>

<file path=docProps/custom.xml><?xml version="1.0" encoding="utf-8"?>
<Properties xmlns="http://schemas.openxmlformats.org/officeDocument/2006/custom-properties" xmlns:vt="http://schemas.openxmlformats.org/officeDocument/2006/docPropsVTypes"/>
</file>