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2B62" w:rsidRDefault="00ED3EB0">
      <w:pPr>
        <w:spacing w:after="0" w:line="360" w:lineRule="auto" w:before="0"/>
        <w:ind/>
        <w:jc w:val="center"/>
      </w:pPr>
      <w:proofErr w:type="spellStart"/>
      <w:r>
        <w:rPr>
          <w:rFonts w:eastAsia="標楷體" w:ascii="Times New Roman" w:hAnsi="Times New Roman"/>
          <w:b/>
          <w:bCs/>
          <w:sz w:val="32"/>
          <w:szCs w:val="28"/>
        </w:rPr>
        <w:t>AI鑲嵌式公共行政的東亞制度壓力測試</w:t>
      </w:r>
      <w:proofErr w:type="spellEnd"/>
    </w:p>
    <w:p w:rsidR="005C2B62" w:rsidRDefault="00ED3EB0">
      <w:pPr>
        <w:spacing w:after="0" w:line="480" w:lineRule="auto" w:before="0"/>
        <w:ind w:firstLine="720"/>
        <w:jc w:val="both"/>
      </w:pPr>
      <w:proofErr w:type="spellStart"/>
      <w:r>
        <w:rPr>
          <w:rFonts w:eastAsia="標楷體" w:ascii="Times New Roman" w:hAnsi="Times New Roman"/>
          <w:b w:val="0"/>
          <w:sz w:val="24"/>
          <w:szCs w:val="24"/>
        </w:rPr>
        <w:t>台灣、日本與韓國政策場域群的制度診斷</w:t>
      </w:r>
      <w:proofErr w:type="spellEnd"/>
    </w:p>
    <w:p w:rsidR="005C2B62" w:rsidRDefault="00ED3EB0">
      <w:pPr>
        <w:spacing w:after="0" w:line="480" w:lineRule="auto" w:before="0"/>
        <w:ind w:firstLine="720"/>
        <w:jc w:val="both"/>
      </w:pPr>
      <w:r>
        <w:rPr>
          <w:rFonts w:eastAsia="標楷體" w:ascii="Times New Roman" w:hAnsi="Times New Roman"/>
          <w:b w:val="0"/>
          <w:i/>
          <w:iCs/>
          <w:sz w:val="24"/>
          <w:szCs w:val="20"/>
        </w:rPr>
        <w:t>——檢驗第014篇框架的解釋力，並辨識「形式保障與實質治理功能脫鉤」的風險機制</w:t>
      </w:r>
    </w:p>
    <w:p w:rsidR="005C2B62" w:rsidRDefault="00ED3EB0">
      <w:pPr>
        <w:spacing w:after="0" w:line="480" w:lineRule="auto" w:before="0"/>
        <w:ind w:firstLine="720"/>
        <w:jc w:val="both"/>
      </w:pPr>
      <w:r>
        <w:rPr>
          <w:rFonts w:eastAsia="標楷體" w:ascii="Times New Roman" w:hAnsi="Times New Roman"/>
          <w:b w:val="0"/>
          <w:sz w:val="24"/>
          <w:szCs w:val="18"/>
        </w:rPr>
        <w:t xml:space="preserve">Lancelot </w:t>
      </w:r>
      <w:proofErr w:type="spellStart"/>
      <w:r>
        <w:rPr>
          <w:rFonts w:eastAsia="標楷體" w:ascii="Times New Roman" w:hAnsi="Times New Roman"/>
          <w:b w:val="0"/>
          <w:sz w:val="24"/>
          <w:szCs w:val="18"/>
        </w:rPr>
        <w:t>Lu（盧建旭</w:t>
      </w:r>
      <w:proofErr w:type="spellEnd"/>
      <w:r>
        <w:rPr>
          <w:rFonts w:eastAsia="標楷體" w:ascii="Times New Roman" w:hAnsi="Times New Roman"/>
          <w:b w:val="0"/>
          <w:sz w:val="24"/>
          <w:szCs w:val="18"/>
        </w:rPr>
        <w:t>）｜AI治理研究系列｜第025篇｜探索性概念研究／修訂稿｜2026年8月</w:t>
      </w:r>
    </w:p>
    <w:p w:rsidR="005C2B62" w:rsidRDefault="00ED3EB0">
      <w:pPr>
        <w:pStyle w:val="1"/>
        <w:spacing w:line="480" w:lineRule="auto" w:before="240" w:after="0"/>
        <w:ind/>
        <w:jc w:val="center"/>
      </w:pPr>
      <w:proofErr w:type="spellStart"/>
      <w:r>
        <w:rPr>
          <w:rFonts w:ascii="Times New Roman" w:hAnsi="Times New Roman" w:eastAsia="標楷體"/>
          <w:b/>
          <w:sz w:val="28"/>
        </w:rPr>
        <w:t>摘要</w:t>
      </w:r>
      <w:proofErr w:type="spellEnd"/>
    </w:p>
    <w:p w:rsidR="005C2B62" w:rsidRPr="009F3E2C" w:rsidRDefault="00ED3EB0" w:rsidP="009F3E2C">
      <w:pPr>
        <w:spacing w:line="480" w:lineRule="auto" w:before="0" w:after="0"/>
        <w:ind w:firstLine="720"/>
        <w:jc w:val="both"/>
      </w:pPr>
      <w:r w:rsidRPr="009F3E2C">
        <w:rPr>
          <w:rFonts w:ascii="Times New Roman" w:hAnsi="Times New Roman" w:eastAsia="標楷體"/>
          <w:b w:val="0"/>
          <w:sz w:val="24"/>
        </w:rPr>
        <w:t>既有</w:t>
      </w:r>
      <w:r w:rsidRPr="009F3E2C">
        <w:rPr>
          <w:rFonts w:ascii="Times New Roman" w:hAnsi="Times New Roman" w:eastAsia="標楷體"/>
          <w:b w:val="0"/>
          <w:sz w:val="24"/>
        </w:rPr>
        <w:t>AI</w:t>
      </w:r>
      <w:r w:rsidRPr="009F3E2C">
        <w:rPr>
          <w:rFonts w:ascii="Times New Roman" w:hAnsi="Times New Roman" w:eastAsia="標楷體"/>
          <w:b w:val="0"/>
          <w:sz w:val="24"/>
        </w:rPr>
        <w:t>公共行政文獻高度依賴西方經典案例</w:t>
      </w:r>
      <w:proofErr w:type="gramStart"/>
      <w:r w:rsidRPr="009F3E2C">
        <w:rPr>
          <w:rFonts w:ascii="Times New Roman" w:hAnsi="Times New Roman" w:eastAsia="標楷體"/>
          <w:b w:val="0"/>
          <w:sz w:val="24"/>
        </w:rPr>
        <w:t>（</w:t>
      </w:r>
      <w:proofErr w:type="spellStart"/>
      <w:proofErr w:type="gramEnd"/>
      <w:r w:rsidRPr="009F3E2C">
        <w:rPr>
          <w:rFonts w:ascii="Times New Roman" w:hAnsi="Times New Roman" w:eastAsia="標楷體"/>
          <w:b w:val="0"/>
          <w:sz w:val="24"/>
        </w:rPr>
        <w:t>SyRI</w:t>
      </w:r>
      <w:proofErr w:type="spellEnd"/>
      <w:r w:rsidRPr="009F3E2C">
        <w:rPr>
          <w:rFonts w:ascii="Times New Roman" w:hAnsi="Times New Roman" w:eastAsia="標楷體"/>
          <w:b w:val="0"/>
          <w:sz w:val="24"/>
        </w:rPr>
        <w:t>，</w:t>
      </w:r>
      <w:r w:rsidRPr="009F3E2C">
        <w:rPr>
          <w:rFonts w:ascii="Times New Roman" w:hAnsi="Times New Roman" w:eastAsia="標楷體"/>
          <w:b w:val="0"/>
          <w:sz w:val="24"/>
        </w:rPr>
        <w:t>NJCM et al. v. The Dutch State, 2020</w:t>
      </w:r>
      <w:r w:rsidRPr="009F3E2C">
        <w:rPr>
          <w:rFonts w:ascii="Times New Roman" w:hAnsi="Times New Roman" w:eastAsia="標楷體"/>
          <w:b w:val="0"/>
          <w:sz w:val="24"/>
        </w:rPr>
        <w:t>；</w:t>
      </w:r>
      <w:proofErr w:type="spellStart"/>
      <w:r w:rsidRPr="009F3E2C">
        <w:rPr>
          <w:rFonts w:ascii="Times New Roman" w:hAnsi="Times New Roman" w:eastAsia="標楷體"/>
          <w:b w:val="0"/>
          <w:sz w:val="24"/>
        </w:rPr>
        <w:t>Robodebt</w:t>
      </w:r>
      <w:proofErr w:type="spellEnd"/>
      <w:r w:rsidRPr="009F3E2C">
        <w:rPr>
          <w:rFonts w:ascii="Times New Roman" w:hAnsi="Times New Roman" w:eastAsia="標楷體"/>
          <w:b w:val="0"/>
          <w:sz w:val="24"/>
        </w:rPr>
        <w:t>，</w:t>
      </w:r>
      <w:r w:rsidRPr="009F3E2C">
        <w:rPr>
          <w:rFonts w:ascii="Times New Roman" w:hAnsi="Times New Roman" w:eastAsia="標楷體"/>
          <w:b w:val="0"/>
          <w:sz w:val="24"/>
        </w:rPr>
        <w:t xml:space="preserve">Royal Commission into the </w:t>
      </w:r>
      <w:proofErr w:type="spellStart"/>
      <w:r w:rsidRPr="009F3E2C">
        <w:rPr>
          <w:rFonts w:ascii="Times New Roman" w:hAnsi="Times New Roman" w:eastAsia="標楷體"/>
          <w:b w:val="0"/>
          <w:sz w:val="24"/>
        </w:rPr>
        <w:t>Robodebt</w:t>
      </w:r>
      <w:proofErr w:type="spellEnd"/>
      <w:r w:rsidRPr="009F3E2C">
        <w:rPr>
          <w:rFonts w:ascii="Times New Roman" w:hAnsi="Times New Roman" w:eastAsia="標楷體"/>
          <w:b w:val="0"/>
          <w:sz w:val="24"/>
        </w:rPr>
        <w:t xml:space="preserve"> Scheme, 2023</w:t>
      </w:r>
      <w:r w:rsidRPr="009F3E2C">
        <w:rPr>
          <w:rFonts w:ascii="Times New Roman" w:hAnsi="Times New Roman" w:eastAsia="標楷體"/>
          <w:b w:val="0"/>
          <w:sz w:val="24"/>
        </w:rPr>
        <w:t>；</w:t>
      </w:r>
      <w:proofErr w:type="spellStart"/>
      <w:r w:rsidRPr="009F3E2C">
        <w:rPr>
          <w:rFonts w:ascii="Times New Roman" w:hAnsi="Times New Roman" w:eastAsia="標楷體"/>
          <w:b w:val="0"/>
          <w:sz w:val="24"/>
        </w:rPr>
        <w:t>PredPol</w:t>
      </w:r>
      <w:proofErr w:type="spellEnd"/>
      <w:r w:rsidRPr="009F3E2C">
        <w:rPr>
          <w:rFonts w:ascii="Times New Roman" w:hAnsi="Times New Roman" w:eastAsia="標楷體"/>
          <w:b w:val="0"/>
          <w:sz w:val="24"/>
        </w:rPr>
        <w:t>），多聚焦於人工裁量移除、責任稀釋或程序正義直接侵害（</w:t>
      </w:r>
      <w:proofErr w:type="spellStart"/>
      <w:r w:rsidRPr="009F3E2C">
        <w:rPr>
          <w:rFonts w:ascii="Times New Roman" w:hAnsi="Times New Roman" w:eastAsia="標楷體"/>
          <w:b w:val="0"/>
          <w:sz w:val="24"/>
        </w:rPr>
        <w:t>Bovens</w:t>
      </w:r>
      <w:proofErr w:type="spellEnd"/>
      <w:r w:rsidRPr="009F3E2C">
        <w:rPr>
          <w:rFonts w:ascii="Times New Roman" w:hAnsi="Times New Roman" w:eastAsia="標楷體"/>
          <w:b w:val="0"/>
          <w:sz w:val="24"/>
        </w:rPr>
        <w:t xml:space="preserve"> &amp; </w:t>
      </w:r>
      <w:proofErr w:type="spellStart"/>
      <w:r w:rsidRPr="009F3E2C">
        <w:rPr>
          <w:rFonts w:ascii="Times New Roman" w:hAnsi="Times New Roman" w:eastAsia="標楷體"/>
          <w:b w:val="0"/>
          <w:sz w:val="24"/>
        </w:rPr>
        <w:t>Zouridis</w:t>
      </w:r>
      <w:proofErr w:type="spellEnd"/>
      <w:r w:rsidRPr="009F3E2C">
        <w:rPr>
          <w:rFonts w:ascii="Times New Roman" w:hAnsi="Times New Roman" w:eastAsia="標楷體"/>
          <w:b w:val="0"/>
          <w:sz w:val="24"/>
        </w:rPr>
        <w:t>, 2002; Young et al., 2019</w:t>
      </w:r>
      <w:r w:rsidRPr="009F3E2C">
        <w:rPr>
          <w:rFonts w:ascii="Times New Roman" w:hAnsi="Times New Roman" w:eastAsia="標楷體"/>
          <w:b w:val="0"/>
          <w:sz w:val="24"/>
        </w:rPr>
        <w:t>）。本文以台灣、日本、韓國三個異質政策場域為壓力測試對象，檢驗第</w:t>
      </w:r>
      <w:r w:rsidRPr="009F3E2C">
        <w:rPr>
          <w:rFonts w:ascii="Times New Roman" w:hAnsi="Times New Roman" w:eastAsia="標楷體"/>
          <w:b w:val="0"/>
          <w:sz w:val="24"/>
        </w:rPr>
        <w:t>014</w:t>
      </w:r>
      <w:r w:rsidRPr="009F3E2C">
        <w:rPr>
          <w:rFonts w:ascii="Times New Roman" w:hAnsi="Times New Roman" w:eastAsia="標楷體"/>
          <w:b w:val="0"/>
          <w:sz w:val="24"/>
        </w:rPr>
        <w:t>篇</w:t>
      </w:r>
      <w:r w:rsidRPr="009F3E2C">
        <w:rPr>
          <w:rFonts w:ascii="Times New Roman" w:hAnsi="Times New Roman" w:eastAsia="標楷體"/>
          <w:b w:val="0"/>
          <w:sz w:val="24"/>
        </w:rPr>
        <w:t>25-3-3-4-7</w:t>
      </w:r>
      <w:r w:rsidRPr="009F3E2C">
        <w:rPr>
          <w:rFonts w:ascii="Times New Roman" w:hAnsi="Times New Roman" w:eastAsia="標楷體"/>
          <w:b w:val="0"/>
          <w:sz w:val="24"/>
        </w:rPr>
        <w:t>架構的解釋力，並延伸探討緊</w:t>
      </w:r>
      <w:r w:rsidRPr="009F3E2C">
        <w:rPr>
          <w:rFonts w:ascii="Times New Roman" w:hAnsi="Times New Roman" w:eastAsia="標楷體"/>
          <w:b w:val="0"/>
          <w:sz w:val="24"/>
        </w:rPr>
        <w:t>急治理情境與快速部署需求下的程序張力。</w:t>
      </w:r>
    </w:p>
    <w:p w:rsidR="005C2B62" w:rsidRDefault="00ED3EB0">
      <w:pPr>
        <w:spacing w:after="0" w:line="480" w:lineRule="auto" w:before="0"/>
        <w:ind w:firstLine="720"/>
        <w:jc w:val="both"/>
      </w:pPr>
      <w:r>
        <w:rPr>
          <w:rFonts w:eastAsia="標楷體" w:ascii="Times New Roman" w:hAnsi="Times New Roman"/>
          <w:b w:val="0"/>
          <w:sz w:val="24"/>
        </w:rPr>
        <w:t xml:space="preserve">核心命題：AI行政的制度風險，未必表現為程序與人工裁量的直接消失，而可能表現為形式保障持續存在、實質治理功能卻逐步弱化。本文將此現象概念化為「形式保障與實質治理功能脫鉤」，並在所分析的政策場域中辨識三種表現型態：形式合法／實質黑箱、人工形式保留／判斷功能弱化、緊急治理下的程序壓縮。三者可能在特定條件下形成「認知安全緊急性 → </w:t>
      </w:r>
      <w:proofErr w:type="spellStart"/>
      <w:r>
        <w:rPr>
          <w:rFonts w:eastAsia="標楷體" w:ascii="Times New Roman" w:hAnsi="Times New Roman"/>
          <w:b w:val="0"/>
          <w:sz w:val="24"/>
        </w:rPr>
        <w:t>責任避險</w:t>
      </w:r>
      <w:proofErr w:type="spellEnd"/>
      <w:r>
        <w:rPr>
          <w:rFonts w:eastAsia="標楷體" w:ascii="Times New Roman" w:hAnsi="Times New Roman"/>
          <w:b w:val="0"/>
          <w:sz w:val="24"/>
        </w:rPr>
        <w:t xml:space="preserve"> → </w:t>
      </w:r>
      <w:proofErr w:type="spellStart"/>
      <w:r>
        <w:rPr>
          <w:rFonts w:eastAsia="標楷體" w:ascii="Times New Roman" w:hAnsi="Times New Roman"/>
          <w:b w:val="0"/>
          <w:sz w:val="24"/>
        </w:rPr>
        <w:t>形式合法／實質黑箱」的強化循環，但此循環目前定位為可檢驗的分析命題與理想型模型，而非已獲實證的單一因果鏈</w:t>
      </w:r>
      <w:proofErr w:type="spellEnd"/>
      <w:r>
        <w:rPr>
          <w:rFonts w:eastAsia="標楷體" w:ascii="Times New Roman" w:hAnsi="Times New Roman"/>
          <w:b w:val="0"/>
          <w:sz w:val="24"/>
        </w:rPr>
        <w:t>。</w:t>
      </w:r>
    </w:p>
    <w:p w:rsidR="005C2B62" w:rsidRDefault="00ED3EB0">
      <w:pPr>
        <w:spacing w:after="0" w:line="480" w:lineRule="auto" w:before="0"/>
        <w:ind w:firstLine="720"/>
        <w:jc w:val="both"/>
      </w:pPr>
      <w:r>
        <w:rPr>
          <w:rFonts w:eastAsia="標楷體" w:ascii="Times New Roman" w:hAnsi="Times New Roman"/>
          <w:b w:val="0"/>
          <w:sz w:val="24"/>
        </w:rPr>
        <w:t>研究設計明確定位為「異</w:t>
      </w:r>
      <w:r>
        <w:rPr>
          <w:rFonts w:eastAsia="標楷體" w:ascii="Times New Roman" w:hAnsi="Times New Roman"/>
          <w:b w:val="0"/>
          <w:sz w:val="24"/>
        </w:rPr>
        <w:t>質政策場域的概念複現與機制辨識」，而非嚴格相似系統跨國比較。分析單位為政策場域／制度情境，而非國家本身。資料以2020–2026年已公開官方文件為主，並嚴格區分【文件證據】、【制度推論】與【規範判斷】，以及證據強度分級。本文不主張三國制度同質。據此提出成文法合致性審計矩陣、善意異議責任安全港、限定範圍第二意見程序、非對稱簡化紀錄，以及風險分級失效條款等規範性設計規格。結論屬初步類型辨識與探索性概念研究。</w:t>
      </w:r>
    </w:p>
    <w:p w:rsidR="005C2B62" w:rsidRDefault="00ED3EB0">
      <w:pPr>
        <w:spacing w:after="0" w:line="480" w:lineRule="auto" w:before="0"/>
        <w:ind w:firstLine="720"/>
        <w:jc w:val="both"/>
      </w:pPr>
      <w:proofErr w:type="spellStart"/>
      <w:r>
        <w:rPr>
          <w:rFonts w:eastAsia="標楷體" w:ascii="Times New Roman" w:hAnsi="Times New Roman"/>
          <w:b w:val="0"/>
          <w:bCs/>
          <w:sz w:val="24"/>
        </w:rPr>
        <w:t>關鍵字：</w:t>
      </w:r>
      <w:r>
        <w:rPr>
          <w:rFonts w:eastAsia="標楷體" w:ascii="Times New Roman" w:hAnsi="Times New Roman"/>
          <w:b w:val="0"/>
          <w:sz w:val="24"/>
        </w:rPr>
        <w:t>演算法治理；形式</w:t>
      </w:r>
      <w:proofErr w:type="spellEnd"/>
      <w:r>
        <w:rPr>
          <w:rFonts w:eastAsia="標楷體" w:ascii="Times New Roman" w:hAnsi="Times New Roman"/>
          <w:b w:val="0"/>
          <w:sz w:val="24"/>
        </w:rPr>
        <w:t>—</w:t>
      </w:r>
      <w:proofErr w:type="spellStart"/>
      <w:r>
        <w:rPr>
          <w:rFonts w:eastAsia="標楷體" w:ascii="Times New Roman" w:hAnsi="Times New Roman"/>
          <w:b w:val="0"/>
          <w:sz w:val="24"/>
        </w:rPr>
        <w:t>實質脫鉤；責任避險；緊急治理；街頭官僚；系統層級官僚；東亞公共行政；制度設計</w:t>
      </w:r>
      <w:proofErr w:type="spellEnd"/>
    </w:p>
    <w:p w:rsidR="005C2B62" w:rsidRDefault="00ED3EB0">
      <w:pPr>
        <w:pStyle w:val="1"/>
        <w:spacing w:line="480" w:lineRule="auto" w:before="240" w:after="0"/>
        <w:ind/>
        <w:jc w:val="left"/>
      </w:pPr>
      <w:proofErr w:type="spellStart"/>
      <w:r>
        <w:rPr>
          <w:rFonts w:ascii="Times New Roman" w:hAnsi="Times New Roman" w:eastAsia="標楷體"/>
          <w:b/>
          <w:sz w:val="28"/>
        </w:rPr>
        <w:t>第一章</w:t>
      </w:r>
      <w:proofErr w:type="spellEnd"/>
      <w:r>
        <w:rPr>
          <w:rFonts w:ascii="Times New Roman" w:hAnsi="Times New Roman" w:eastAsia="標楷體"/>
          <w:b/>
          <w:sz w:val="28"/>
        </w:rPr>
        <w:t xml:space="preserve">　</w:t>
      </w:r>
      <w:proofErr w:type="spellStart"/>
      <w:r>
        <w:rPr>
          <w:rFonts w:ascii="Times New Roman" w:hAnsi="Times New Roman" w:eastAsia="標楷體"/>
          <w:b/>
          <w:sz w:val="28"/>
        </w:rPr>
        <w:t>緒論</w:t>
      </w:r>
      <w:proofErr w:type="spellEnd"/>
    </w:p>
    <w:p w:rsidR="005C2B62" w:rsidRDefault="00ED3EB0">
      <w:pPr>
        <w:pStyle w:val="2"/>
        <w:spacing w:line="480" w:lineRule="auto" w:before="120" w:after="0"/>
        <w:ind/>
        <w:jc w:val="both"/>
      </w:pPr>
      <w:r>
        <w:rPr>
          <w:rFonts w:ascii="Times New Roman" w:hAnsi="Times New Roman" w:eastAsia="標楷體"/>
          <w:b/>
          <w:sz w:val="24"/>
        </w:rPr>
        <w:t xml:space="preserve">1.1　</w:t>
      </w:r>
      <w:proofErr w:type="spellStart"/>
      <w:r>
        <w:rPr>
          <w:rFonts w:ascii="Times New Roman" w:hAnsi="Times New Roman" w:eastAsia="標楷體"/>
          <w:b/>
          <w:sz w:val="24"/>
        </w:rPr>
        <w:t>問題意識與研究定位</w:t>
      </w:r>
      <w:proofErr w:type="spellEnd"/>
    </w:p>
    <w:p w:rsidR="005C2B62" w:rsidRDefault="00ED3EB0">
      <w:pPr>
        <w:spacing w:after="0" w:line="480" w:lineRule="auto" w:before="0"/>
        <w:ind w:firstLine="720"/>
        <w:jc w:val="both"/>
      </w:pPr>
      <w:bookmarkStart w:id="0" w:name="_GoBack"/>
      <w:proofErr w:type="spellStart"/>
      <w:r>
        <w:rPr>
          <w:rFonts w:eastAsia="標楷體" w:ascii="Times New Roman" w:hAnsi="Times New Roman"/>
          <w:b w:val="0"/>
          <w:sz w:val="24"/>
        </w:rPr>
        <w:t>既有文獻多以西方經典案例為基礎，強調事後救濟、責任稀釋或人工裁量移除（Bovens</w:t>
      </w:r>
      <w:proofErr w:type="spellEnd"/>
      <w:r>
        <w:rPr>
          <w:rFonts w:eastAsia="標楷體" w:ascii="Times New Roman" w:hAnsi="Times New Roman"/>
          <w:b w:val="0"/>
          <w:sz w:val="24"/>
        </w:rPr>
        <w:t xml:space="preserve"> &amp; </w:t>
      </w:r>
      <w:proofErr w:type="spellStart"/>
      <w:r>
        <w:rPr>
          <w:rFonts w:eastAsia="標楷體" w:ascii="Times New Roman" w:hAnsi="Times New Roman"/>
          <w:b w:val="0"/>
          <w:sz w:val="24"/>
        </w:rPr>
        <w:t>Zouridis</w:t>
      </w:r>
      <w:proofErr w:type="spellEnd"/>
      <w:r>
        <w:rPr>
          <w:rFonts w:eastAsia="標楷體" w:ascii="Times New Roman" w:hAnsi="Times New Roman"/>
          <w:b w:val="0"/>
          <w:sz w:val="24"/>
        </w:rPr>
        <w:t xml:space="preserve">, 2002; Young et al., 2019）。Veale and Brass (2019) </w:t>
      </w:r>
      <w:proofErr w:type="spellStart"/>
      <w:r>
        <w:rPr>
          <w:rFonts w:eastAsia="標楷體" w:ascii="Times New Roman" w:hAnsi="Times New Roman"/>
          <w:b w:val="0"/>
          <w:sz w:val="24"/>
        </w:rPr>
        <w:t>進一步指出，當公共管理引入機器學習時，文官的組織誘因與責任歸屬會出現新的模糊地帶。制度學派的脫鉤理論（Meyer</w:t>
      </w:r>
      <w:proofErr w:type="spellEnd"/>
      <w:r>
        <w:rPr>
          <w:rFonts w:eastAsia="標楷體" w:ascii="Times New Roman" w:hAnsi="Times New Roman"/>
          <w:b w:val="0"/>
          <w:sz w:val="24"/>
        </w:rPr>
        <w:t xml:space="preserve"> &amp; Rowan, 1977; Bromley &amp; Powell, 2012）則提醒：組織可能維持形式結構以回應合法性壓力，同時使實質活動與形式要求分離</w:t>
      </w:r>
      <w:r>
        <w:rPr>
          <w:rFonts w:eastAsia="標楷體" w:ascii="Times New Roman" w:hAnsi="Times New Roman"/>
          <w:b w:val="0"/>
          <w:sz w:val="24"/>
        </w:rPr>
        <w:t>。本文將此一組織理論直覺延伸至AI鑲嵌式公共行政，主張風險可能表現為「形式人工仍在場、實質判斷功能弱化」。</w:t>
      </w:r>
    </w:p>
    <w:bookmarkEnd w:id="0"/>
    <w:p w:rsidR="005C2B62" w:rsidRDefault="00ED3EB0">
      <w:pPr>
        <w:spacing w:after="0" w:line="480" w:lineRule="auto" w:before="0"/>
        <w:ind w:firstLine="720"/>
        <w:jc w:val="both"/>
      </w:pPr>
      <w:r>
        <w:rPr>
          <w:rFonts w:eastAsia="標楷體" w:ascii="Times New Roman" w:hAnsi="Times New Roman"/>
          <w:b w:val="0"/>
          <w:sz w:val="24"/>
        </w:rPr>
        <w:lastRenderedPageBreak/>
        <w:t>本文明確定位為探索性概念研究與初步類型辨識，而非已完成的實證比較研究或出版定稿。研究目的不是比較哪個國家較優，而是檢驗同一種「形式保障—實質功能脫鉤」機制是否在不同制度與政策場域中呈現。</w:t>
      </w:r>
    </w:p>
    <w:p w:rsidR="005C2B62" w:rsidRDefault="00ED3EB0">
      <w:pPr>
        <w:pStyle w:val="2"/>
        <w:spacing w:line="480" w:lineRule="auto" w:before="120" w:after="0"/>
        <w:ind/>
        <w:jc w:val="both"/>
      </w:pPr>
      <w:r>
        <w:rPr>
          <w:rFonts w:ascii="Times New Roman" w:hAnsi="Times New Roman" w:eastAsia="標楷體"/>
          <w:b/>
          <w:sz w:val="24"/>
        </w:rPr>
        <w:t xml:space="preserve">1.2　</w:t>
      </w:r>
      <w:proofErr w:type="spellStart"/>
      <w:r>
        <w:rPr>
          <w:rFonts w:ascii="Times New Roman" w:hAnsi="Times New Roman" w:eastAsia="標楷體"/>
          <w:b/>
          <w:sz w:val="24"/>
        </w:rPr>
        <w:t>研究問題</w:t>
      </w:r>
      <w:proofErr w:type="spellEnd"/>
    </w:p>
    <w:p w:rsidR="005C2B62" w:rsidRDefault="00ED3EB0">
      <w:pPr>
        <w:pStyle w:val="a4"/>
        <w:numPr>
          <w:ilvl w:val="0"/>
          <w:numId w:val="2"/>
        </w:numPr>
        <w:spacing w:after="0" w:line="480" w:lineRule="auto" w:before="0"/>
        <w:ind w:firstLine="720"/>
        <w:jc w:val="both"/>
      </w:pPr>
      <w:r>
        <w:rPr>
          <w:rFonts w:eastAsia="標楷體" w:ascii="Times New Roman" w:hAnsi="Times New Roman"/>
          <w:b w:val="0"/>
          <w:sz w:val="24"/>
        </w:rPr>
        <w:t>第014篇框架在本文所分析的政策場域中是否仍具解釋力？</w:t>
      </w:r>
    </w:p>
    <w:p w:rsidR="005C2B62" w:rsidRDefault="00ED3EB0">
      <w:pPr>
        <w:pStyle w:val="a4"/>
        <w:numPr>
          <w:ilvl w:val="0"/>
          <w:numId w:val="2"/>
        </w:numPr>
        <w:spacing w:after="0" w:line="480" w:lineRule="auto" w:before="0"/>
        <w:ind w:firstLine="720"/>
        <w:jc w:val="both"/>
      </w:pPr>
      <w:proofErr w:type="spellStart"/>
      <w:r>
        <w:rPr>
          <w:rFonts w:eastAsia="標楷體" w:ascii="Times New Roman" w:hAnsi="Times New Roman"/>
          <w:b w:val="0"/>
          <w:sz w:val="24"/>
        </w:rPr>
        <w:t>這些場域映射出哪些較少被西方經典案例明確概念化的斷裂型態？其概念層次與相互關係為何</w:t>
      </w:r>
      <w:proofErr w:type="spellEnd"/>
      <w:r>
        <w:rPr>
          <w:rFonts w:eastAsia="標楷體" w:ascii="Times New Roman" w:hAnsi="Times New Roman"/>
          <w:b w:val="0"/>
          <w:sz w:val="24"/>
        </w:rPr>
        <w:t>？</w:t>
      </w:r>
    </w:p>
    <w:p w:rsidR="005C2B62" w:rsidRDefault="00ED3EB0">
      <w:pPr>
        <w:pStyle w:val="a4"/>
        <w:numPr>
          <w:ilvl w:val="0"/>
          <w:numId w:val="2"/>
        </w:numPr>
        <w:spacing w:after="0" w:line="480" w:lineRule="auto" w:before="0"/>
        <w:ind w:firstLine="720"/>
        <w:jc w:val="both"/>
      </w:pPr>
      <w:proofErr w:type="spellStart"/>
      <w:r>
        <w:rPr>
          <w:rFonts w:eastAsia="標楷體" w:ascii="Times New Roman" w:hAnsi="Times New Roman"/>
          <w:b w:val="0"/>
          <w:sz w:val="24"/>
        </w:rPr>
        <w:t>這些斷裂對架構調校與制度設計提出哪些可操作的規範性建議</w:t>
      </w:r>
      <w:proofErr w:type="spellEnd"/>
      <w:r>
        <w:rPr>
          <w:rFonts w:eastAsia="標楷體" w:ascii="Times New Roman" w:hAnsi="Times New Roman"/>
          <w:b w:val="0"/>
          <w:sz w:val="24"/>
        </w:rPr>
        <w:t>？</w:t>
      </w:r>
    </w:p>
    <w:p w:rsidR="005C2B62" w:rsidRDefault="00ED3EB0">
      <w:pPr>
        <w:pStyle w:val="2"/>
        <w:spacing w:line="480" w:lineRule="auto" w:before="120" w:after="0"/>
        <w:ind/>
        <w:jc w:val="both"/>
      </w:pPr>
      <w:r>
        <w:rPr>
          <w:rFonts w:ascii="Times New Roman" w:hAnsi="Times New Roman" w:eastAsia="標楷體"/>
          <w:b/>
          <w:sz w:val="24"/>
        </w:rPr>
        <w:t xml:space="preserve">1.3　</w:t>
      </w:r>
      <w:proofErr w:type="spellStart"/>
      <w:r>
        <w:rPr>
          <w:rFonts w:ascii="Times New Roman" w:hAnsi="Times New Roman" w:eastAsia="標楷體"/>
          <w:b/>
          <w:sz w:val="24"/>
        </w:rPr>
        <w:t>研究設計：分析單位、案例選擇與資料限制</w:t>
      </w:r>
      <w:proofErr w:type="spellEnd"/>
    </w:p>
    <w:p w:rsidR="005C2B62" w:rsidRDefault="00ED3EB0">
      <w:pPr>
        <w:pStyle w:val="3"/>
        <w:spacing w:line="480" w:lineRule="auto" w:before="120" w:after="0"/>
        <w:ind/>
        <w:jc w:val="both"/>
      </w:pPr>
      <w:r>
        <w:rPr>
          <w:rFonts w:ascii="Times New Roman" w:hAnsi="Times New Roman" w:eastAsia="標楷體"/>
          <w:b/>
          <w:sz w:val="24"/>
        </w:rPr>
        <w:t xml:space="preserve">1.3.1　</w:t>
      </w:r>
      <w:proofErr w:type="spellStart"/>
      <w:r>
        <w:rPr>
          <w:rFonts w:ascii="Times New Roman" w:hAnsi="Times New Roman" w:eastAsia="標楷體"/>
          <w:b/>
          <w:sz w:val="24"/>
        </w:rPr>
        <w:t>分析單位與案例選擇邏輯</w:t>
      </w:r>
      <w:proofErr w:type="spellEnd"/>
    </w:p>
    <w:p w:rsidR="005C2B62" w:rsidRDefault="00ED3EB0">
      <w:pPr>
        <w:spacing w:after="0" w:line="480" w:lineRule="auto" w:before="0"/>
        <w:ind w:firstLine="720"/>
        <w:jc w:val="both"/>
      </w:pPr>
      <w:r>
        <w:rPr>
          <w:rFonts w:eastAsia="標楷體" w:ascii="Times New Roman" w:hAnsi="Times New Roman"/>
          <w:b w:val="0"/>
          <w:sz w:val="24"/>
        </w:rPr>
        <w:t>最小分析單位為「政策場域／制度情境」，而非國家。每個場域包含：行政決策者層級、AI系統功能（分類、排序、預測、推薦或自動執行）、AI輸出是否具有法律或事實上的決定效果、人工覆核位於流程何處、申訴與責任歸屬如何運作。</w:t>
      </w:r>
    </w:p>
    <w:p w:rsidR="005C2B62" w:rsidRDefault="00ED3EB0">
      <w:pPr>
        <w:spacing w:after="0" w:line="480" w:lineRule="auto" w:before="0"/>
        <w:ind w:firstLine="720"/>
        <w:jc w:val="both"/>
      </w:pPr>
      <w:proofErr w:type="spellStart"/>
      <w:r>
        <w:rPr>
          <w:rFonts w:eastAsia="標楷體" w:ascii="Times New Roman" w:hAnsi="Times New Roman"/>
          <w:b w:val="0"/>
          <w:sz w:val="24"/>
        </w:rPr>
        <w:t>案例選擇採「異質政策場域的概念複現」策略（Scheme</w:t>
      </w:r>
      <w:proofErr w:type="spellEnd"/>
      <w:r>
        <w:rPr>
          <w:rFonts w:eastAsia="標楷體" w:ascii="Times New Roman" w:hAnsi="Times New Roman"/>
          <w:b w:val="0"/>
          <w:sz w:val="24"/>
        </w:rPr>
        <w:t xml:space="preserve"> B）：保留台灣（詐欺偵測＋深偽處置）、日本（補助金＋福祉資格）、韓國（深偽下架＋治安預測）三組異質場域，以檢驗同一脫鉤機制是否在不同政策領域、風險類型與決</w:t>
      </w:r>
      <w:r>
        <w:rPr>
          <w:rFonts w:eastAsia="標楷體" w:ascii="Times New Roman" w:hAnsi="Times New Roman"/>
          <w:b w:val="0"/>
          <w:sz w:val="24"/>
        </w:rPr>
        <w:t>策後果中重複出現。本文不主張嚴格相似系統比較，也不主張三國制度同質；觀察到的差異可能同時來自政策領域與制度安排，需在後續研究中進一步分離。</w:t>
      </w:r>
    </w:p>
    <w:tbl>
      <w:tblPr>
        <w:tblW w:w="9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00"/>
        <w:gridCol w:w="1582"/>
        <w:gridCol w:w="1760"/>
        <w:gridCol w:w="1580"/>
        <w:gridCol w:w="1762"/>
        <w:gridCol w:w="1222"/>
      </w:tblGrid>
      <w:tr w:rsidR="005C2B62">
        <w:tblPrEx>
          <w:tblCellMar>
            <w:top w:w="0" w:type="dxa"/>
            <w:bottom w:w="0" w:type="dxa"/>
          </w:tblCellMar>
        </w:tblPrEx>
        <w:tc>
          <w:tcPr>
            <w:tcW w:w="1600" w:type="dxa"/>
            <w:tcBorders>
              <w:top w:val="single" w:sz="1" w:space="0" w:color="666666"/>
              <w:left w:val="single" w:sz="1" w:space="0" w:color="666666"/>
              <w:bottom w:val="single" w:sz="1" w:space="0" w:color="666666"/>
              <w:right w:val="single" w:sz="1" w:space="0" w:color="666666"/>
            </w:tcBorders>
            <w:shd w:val="clear" w:color="auto" w:fill="E8E8E8"/>
            <w:tcMar>
              <w:top w:w="50" w:type="dxa"/>
              <w:left w:w="70" w:type="dxa"/>
              <w:bottom w:w="50" w:type="dxa"/>
              <w:right w:w="70" w:type="dxa"/>
            </w:tcMar>
          </w:tcPr>
          <w:p w:rsidR="005C2B62" w:rsidRDefault="00ED3EB0">
            <w:pPr>
              <w:spacing w:line="360" w:lineRule="auto" w:before="0" w:after="0"/>
            </w:pPr>
            <w:proofErr w:type="spellStart"/>
            <w:r>
              <w:rPr>
                <w:rFonts w:eastAsia="標楷體" w:ascii="Times New Roman" w:hAnsi="Times New Roman"/>
                <w:b/>
                <w:bCs/>
                <w:sz w:val="21"/>
                <w:szCs w:val="18"/>
              </w:rPr>
              <w:t>案例</w:t>
            </w:r>
            <w:proofErr w:type="spellEnd"/>
          </w:p>
        </w:tc>
        <w:tc>
          <w:tcPr>
            <w:tcW w:w="1500" w:type="dxa"/>
            <w:tcBorders>
              <w:top w:val="single" w:sz="1" w:space="0" w:color="666666"/>
              <w:left w:val="single" w:sz="1" w:space="0" w:color="666666"/>
              <w:bottom w:val="single" w:sz="1" w:space="0" w:color="666666"/>
              <w:right w:val="single" w:sz="1" w:space="0" w:color="666666"/>
            </w:tcBorders>
            <w:shd w:val="clear" w:color="auto" w:fill="E8E8E8"/>
            <w:tcMar>
              <w:top w:w="50" w:type="dxa"/>
              <w:left w:w="70" w:type="dxa"/>
              <w:bottom w:w="50" w:type="dxa"/>
              <w:right w:w="70" w:type="dxa"/>
            </w:tcMar>
          </w:tcPr>
          <w:p w:rsidR="005C2B62" w:rsidRDefault="00ED3EB0">
            <w:pPr>
              <w:spacing w:line="360" w:lineRule="auto" w:before="0" w:after="0"/>
            </w:pPr>
            <w:proofErr w:type="spellStart"/>
            <w:r>
              <w:rPr>
                <w:rFonts w:eastAsia="標楷體" w:ascii="Times New Roman" w:hAnsi="Times New Roman"/>
                <w:b/>
                <w:bCs/>
                <w:sz w:val="21"/>
                <w:szCs w:val="18"/>
              </w:rPr>
              <w:t>行政層級（概括</w:t>
            </w:r>
            <w:proofErr w:type="spellEnd"/>
            <w:r>
              <w:rPr>
                <w:rFonts w:eastAsia="標楷體" w:ascii="Times New Roman" w:hAnsi="Times New Roman"/>
                <w:b/>
                <w:bCs/>
                <w:sz w:val="21"/>
                <w:szCs w:val="18"/>
              </w:rPr>
              <w:t>）</w:t>
            </w:r>
          </w:p>
        </w:tc>
        <w:tc>
          <w:tcPr>
            <w:tcW w:w="1600" w:type="dxa"/>
            <w:tcBorders>
              <w:top w:val="single" w:sz="1" w:space="0" w:color="666666"/>
              <w:left w:val="single" w:sz="1" w:space="0" w:color="666666"/>
              <w:bottom w:val="single" w:sz="1" w:space="0" w:color="666666"/>
              <w:right w:val="single" w:sz="1" w:space="0" w:color="666666"/>
            </w:tcBorders>
            <w:shd w:val="clear" w:color="auto" w:fill="E8E8E8"/>
            <w:tcMar>
              <w:top w:w="50" w:type="dxa"/>
              <w:left w:w="70" w:type="dxa"/>
              <w:bottom w:w="50" w:type="dxa"/>
              <w:right w:w="70" w:type="dxa"/>
            </w:tcMar>
          </w:tcPr>
          <w:p w:rsidR="005C2B62" w:rsidRDefault="00ED3EB0">
            <w:pPr>
              <w:spacing w:line="360" w:lineRule="auto" w:before="0" w:after="0"/>
            </w:pPr>
            <w:proofErr w:type="spellStart"/>
            <w:r>
              <w:rPr>
                <w:rFonts w:eastAsia="標楷體" w:ascii="Times New Roman" w:hAnsi="Times New Roman"/>
                <w:b/>
                <w:bCs/>
                <w:sz w:val="21"/>
                <w:szCs w:val="18"/>
              </w:rPr>
              <w:t>AI功能類型</w:t>
            </w:r>
            <w:proofErr w:type="spellEnd"/>
          </w:p>
        </w:tc>
        <w:tc>
          <w:tcPr>
            <w:tcW w:w="1500" w:type="dxa"/>
            <w:tcBorders>
              <w:top w:val="single" w:sz="1" w:space="0" w:color="666666"/>
              <w:left w:val="single" w:sz="1" w:space="0" w:color="666666"/>
              <w:bottom w:val="single" w:sz="1" w:space="0" w:color="666666"/>
              <w:right w:val="single" w:sz="1" w:space="0" w:color="666666"/>
            </w:tcBorders>
            <w:shd w:val="clear" w:color="auto" w:fill="E8E8E8"/>
            <w:tcMar>
              <w:top w:w="50" w:type="dxa"/>
              <w:left w:w="70" w:type="dxa"/>
              <w:bottom w:w="50" w:type="dxa"/>
              <w:right w:w="70" w:type="dxa"/>
            </w:tcMar>
          </w:tcPr>
          <w:p w:rsidR="005C2B62" w:rsidRDefault="00ED3EB0">
            <w:pPr>
              <w:spacing w:line="360" w:lineRule="auto" w:before="0" w:after="0"/>
            </w:pPr>
            <w:proofErr w:type="spellStart"/>
            <w:r>
              <w:rPr>
                <w:rFonts w:eastAsia="標楷體" w:ascii="Times New Roman" w:hAnsi="Times New Roman"/>
                <w:b/>
                <w:bCs/>
                <w:sz w:val="21"/>
                <w:szCs w:val="18"/>
              </w:rPr>
              <w:t>決策階段</w:t>
            </w:r>
            <w:proofErr w:type="spellEnd"/>
          </w:p>
        </w:tc>
        <w:tc>
          <w:tcPr>
            <w:tcW w:w="1600" w:type="dxa"/>
            <w:tcBorders>
              <w:top w:val="single" w:sz="1" w:space="0" w:color="666666"/>
              <w:left w:val="single" w:sz="1" w:space="0" w:color="666666"/>
              <w:bottom w:val="single" w:sz="1" w:space="0" w:color="666666"/>
              <w:right w:val="single" w:sz="1" w:space="0" w:color="666666"/>
            </w:tcBorders>
            <w:shd w:val="clear" w:color="auto" w:fill="E8E8E8"/>
            <w:tcMar>
              <w:top w:w="50" w:type="dxa"/>
              <w:left w:w="70" w:type="dxa"/>
              <w:bottom w:w="50" w:type="dxa"/>
              <w:right w:w="70" w:type="dxa"/>
            </w:tcMar>
          </w:tcPr>
          <w:p w:rsidR="005C2B62" w:rsidRDefault="00ED3EB0">
            <w:pPr>
              <w:spacing w:line="360" w:lineRule="auto" w:before="0" w:after="0"/>
            </w:pPr>
            <w:proofErr w:type="spellStart"/>
            <w:r>
              <w:rPr>
                <w:rFonts w:eastAsia="標楷體" w:ascii="Times New Roman" w:hAnsi="Times New Roman"/>
                <w:b/>
                <w:bCs/>
                <w:sz w:val="21"/>
                <w:szCs w:val="18"/>
              </w:rPr>
              <w:t>受影響權利（可能</w:t>
            </w:r>
            <w:proofErr w:type="spellEnd"/>
            <w:r>
              <w:rPr>
                <w:rFonts w:eastAsia="標楷體" w:ascii="Times New Roman" w:hAnsi="Times New Roman"/>
                <w:b/>
                <w:bCs/>
                <w:sz w:val="21"/>
                <w:szCs w:val="18"/>
              </w:rPr>
              <w:t>）</w:t>
            </w:r>
          </w:p>
        </w:tc>
        <w:tc>
          <w:tcPr>
            <w:tcW w:w="1586" w:type="dxa"/>
            <w:tcBorders>
              <w:top w:val="single" w:sz="1" w:space="0" w:color="666666"/>
              <w:left w:val="single" w:sz="1" w:space="0" w:color="666666"/>
              <w:bottom w:val="single" w:sz="1" w:space="0" w:color="666666"/>
              <w:right w:val="single" w:sz="1" w:space="0" w:color="666666"/>
            </w:tcBorders>
            <w:shd w:val="clear" w:color="auto" w:fill="E8E8E8"/>
            <w:tcMar>
              <w:top w:w="50" w:type="dxa"/>
              <w:left w:w="70" w:type="dxa"/>
              <w:bottom w:w="50" w:type="dxa"/>
              <w:right w:w="70" w:type="dxa"/>
            </w:tcMar>
          </w:tcPr>
          <w:p w:rsidR="005C2B62" w:rsidRDefault="00ED3EB0">
            <w:pPr>
              <w:spacing w:line="360" w:lineRule="auto" w:before="0" w:after="0"/>
            </w:pPr>
            <w:proofErr w:type="spellStart"/>
            <w:r>
              <w:rPr>
                <w:rFonts w:eastAsia="標楷體" w:ascii="Times New Roman" w:hAnsi="Times New Roman"/>
                <w:b/>
                <w:bCs/>
                <w:sz w:val="21"/>
                <w:szCs w:val="18"/>
              </w:rPr>
              <w:t>證據類型現況</w:t>
            </w:r>
            <w:proofErr w:type="spellEnd"/>
          </w:p>
        </w:tc>
      </w:tr>
      <w:tr w:rsidR="005C2B62">
        <w:tblPrEx>
          <w:tblCellMar>
            <w:top w:w="0" w:type="dxa"/>
            <w:bottom w:w="0" w:type="dxa"/>
          </w:tblCellMar>
        </w:tblPrEx>
        <w:tc>
          <w:tcPr>
            <w:tcW w:w="1600" w:type="dxa"/>
            <w:tcBorders>
              <w:top w:val="single" w:sz="1" w:space="0" w:color="666666"/>
              <w:left w:val="single" w:sz="1" w:space="0" w:color="666666"/>
              <w:bottom w:val="single" w:sz="1" w:space="0" w:color="666666"/>
              <w:right w:val="single" w:sz="1" w:space="0" w:color="666666"/>
            </w:tcBorders>
            <w:tcMar>
              <w:top w:w="50" w:type="dxa"/>
              <w:left w:w="70" w:type="dxa"/>
              <w:bottom w:w="50" w:type="dxa"/>
              <w:right w:w="70" w:type="dxa"/>
            </w:tcMar>
          </w:tcPr>
          <w:p w:rsidR="005C2B62" w:rsidRDefault="00ED3EB0">
            <w:pPr>
              <w:spacing w:line="360" w:lineRule="auto" w:before="0" w:after="0"/>
            </w:pPr>
            <w:proofErr w:type="spellStart"/>
            <w:r>
              <w:rPr>
                <w:rFonts w:eastAsia="標楷體" w:ascii="Times New Roman" w:hAnsi="Times New Roman"/>
                <w:sz w:val="21"/>
                <w:szCs w:val="18"/>
              </w:rPr>
              <w:t>台灣：詐欺偵測＋深偽處置</w:t>
            </w:r>
            <w:proofErr w:type="spellEnd"/>
          </w:p>
        </w:tc>
        <w:tc>
          <w:tcPr>
            <w:tcW w:w="1500" w:type="dxa"/>
            <w:tcBorders>
              <w:top w:val="single" w:sz="1" w:space="0" w:color="666666"/>
              <w:left w:val="single" w:sz="1" w:space="0" w:color="666666"/>
              <w:bottom w:val="single" w:sz="1" w:space="0" w:color="666666"/>
              <w:right w:val="single" w:sz="1" w:space="0" w:color="666666"/>
            </w:tcBorders>
            <w:tcMar>
              <w:top w:w="50" w:type="dxa"/>
              <w:left w:w="70" w:type="dxa"/>
              <w:bottom w:w="50" w:type="dxa"/>
              <w:right w:w="70" w:type="dxa"/>
            </w:tcMar>
          </w:tcPr>
          <w:p w:rsidR="005C2B62" w:rsidRDefault="00ED3EB0">
            <w:pPr>
              <w:spacing w:line="360" w:lineRule="auto" w:before="0" w:after="0"/>
            </w:pPr>
            <w:proofErr w:type="spellStart"/>
            <w:r>
              <w:rPr>
                <w:rFonts w:eastAsia="標楷體" w:ascii="Times New Roman" w:hAnsi="Times New Roman"/>
                <w:sz w:val="21"/>
                <w:szCs w:val="18"/>
              </w:rPr>
              <w:t>跨部會／中央</w:t>
            </w:r>
            <w:proofErr w:type="spellEnd"/>
          </w:p>
        </w:tc>
        <w:tc>
          <w:tcPr>
            <w:tcW w:w="1600" w:type="dxa"/>
            <w:tcBorders>
              <w:top w:val="single" w:sz="1" w:space="0" w:color="666666"/>
              <w:left w:val="single" w:sz="1" w:space="0" w:color="666666"/>
              <w:bottom w:val="single" w:sz="1" w:space="0" w:color="666666"/>
              <w:right w:val="single" w:sz="1" w:space="0" w:color="666666"/>
            </w:tcBorders>
            <w:tcMar>
              <w:top w:w="50" w:type="dxa"/>
              <w:left w:w="70" w:type="dxa"/>
              <w:bottom w:w="50" w:type="dxa"/>
              <w:right w:w="70" w:type="dxa"/>
            </w:tcMar>
          </w:tcPr>
          <w:p w:rsidR="005C2B62" w:rsidRDefault="00ED3EB0">
            <w:pPr>
              <w:spacing w:line="360" w:lineRule="auto" w:before="0" w:after="0"/>
            </w:pPr>
            <w:proofErr w:type="spellStart"/>
            <w:r>
              <w:rPr>
                <w:rFonts w:eastAsia="標楷體" w:ascii="Times New Roman" w:hAnsi="Times New Roman"/>
                <w:sz w:val="21"/>
                <w:szCs w:val="18"/>
              </w:rPr>
              <w:t>偵測、分類、聯防</w:t>
            </w:r>
            <w:proofErr w:type="spellEnd"/>
          </w:p>
        </w:tc>
        <w:tc>
          <w:tcPr>
            <w:tcW w:w="1500" w:type="dxa"/>
            <w:tcBorders>
              <w:top w:val="single" w:sz="1" w:space="0" w:color="666666"/>
              <w:left w:val="single" w:sz="1" w:space="0" w:color="666666"/>
              <w:bottom w:val="single" w:sz="1" w:space="0" w:color="666666"/>
              <w:right w:val="single" w:sz="1" w:space="0" w:color="666666"/>
            </w:tcBorders>
            <w:tcMar>
              <w:top w:w="50" w:type="dxa"/>
              <w:left w:w="70" w:type="dxa"/>
              <w:bottom w:w="50" w:type="dxa"/>
              <w:right w:w="70" w:type="dxa"/>
            </w:tcMar>
          </w:tcPr>
          <w:p w:rsidR="005C2B62" w:rsidRDefault="00ED3EB0">
            <w:pPr>
              <w:spacing w:line="360" w:lineRule="auto" w:before="0" w:after="0"/>
            </w:pPr>
            <w:proofErr w:type="spellStart"/>
            <w:r>
              <w:rPr>
                <w:rFonts w:eastAsia="標楷體" w:ascii="Times New Roman" w:hAnsi="Times New Roman"/>
                <w:sz w:val="21"/>
                <w:szCs w:val="18"/>
              </w:rPr>
              <w:t>偵測／轉介／限制</w:t>
            </w:r>
            <w:proofErr w:type="spellEnd"/>
          </w:p>
        </w:tc>
        <w:tc>
          <w:tcPr>
            <w:tcW w:w="1600" w:type="dxa"/>
            <w:tcBorders>
              <w:top w:val="single" w:sz="1" w:space="0" w:color="666666"/>
              <w:left w:val="single" w:sz="1" w:space="0" w:color="666666"/>
              <w:bottom w:val="single" w:sz="1" w:space="0" w:color="666666"/>
              <w:right w:val="single" w:sz="1" w:space="0" w:color="666666"/>
            </w:tcBorders>
            <w:tcMar>
              <w:top w:w="50" w:type="dxa"/>
              <w:left w:w="70" w:type="dxa"/>
              <w:bottom w:w="50" w:type="dxa"/>
              <w:right w:w="70" w:type="dxa"/>
            </w:tcMar>
          </w:tcPr>
          <w:p w:rsidR="005C2B62" w:rsidRDefault="00ED3EB0">
            <w:pPr>
              <w:spacing w:line="360" w:lineRule="auto" w:before="0" w:after="0"/>
            </w:pPr>
            <w:proofErr w:type="spellStart"/>
            <w:r>
              <w:rPr>
                <w:rFonts w:eastAsia="標楷體" w:ascii="Times New Roman" w:hAnsi="Times New Roman"/>
                <w:sz w:val="21"/>
                <w:szCs w:val="18"/>
              </w:rPr>
              <w:t>財產、程序權</w:t>
            </w:r>
            <w:proofErr w:type="spellEnd"/>
          </w:p>
        </w:tc>
        <w:tc>
          <w:tcPr>
            <w:tcW w:w="1586" w:type="dxa"/>
            <w:tcBorders>
              <w:top w:val="single" w:sz="1" w:space="0" w:color="666666"/>
              <w:left w:val="single" w:sz="1" w:space="0" w:color="666666"/>
              <w:bottom w:val="single" w:sz="1" w:space="0" w:color="666666"/>
              <w:right w:val="single" w:sz="1" w:space="0" w:color="666666"/>
            </w:tcBorders>
            <w:tcMar>
              <w:top w:w="50" w:type="dxa"/>
              <w:left w:w="70" w:type="dxa"/>
              <w:bottom w:w="50" w:type="dxa"/>
              <w:right w:w="70" w:type="dxa"/>
            </w:tcMar>
          </w:tcPr>
          <w:p w:rsidR="005C2B62" w:rsidRDefault="00ED3EB0">
            <w:pPr>
              <w:spacing w:line="360" w:lineRule="auto" w:before="0" w:after="0"/>
            </w:pPr>
            <w:r>
              <w:rPr>
                <w:rFonts w:eastAsia="標楷體" w:ascii="Times New Roman" w:hAnsi="Times New Roman"/>
                <w:sz w:val="21"/>
                <w:szCs w:val="18"/>
              </w:rPr>
              <w:t>B–</w:t>
            </w:r>
            <w:proofErr w:type="spellStart"/>
            <w:r>
              <w:rPr>
                <w:rFonts w:eastAsia="標楷體" w:ascii="Times New Roman" w:hAnsi="Times New Roman"/>
                <w:sz w:val="21"/>
                <w:szCs w:val="18"/>
              </w:rPr>
              <w:t>C級為主</w:t>
            </w:r>
            <w:proofErr w:type="spellEnd"/>
          </w:p>
        </w:tc>
      </w:tr>
      <w:tr w:rsidR="005C2B62">
        <w:tblPrEx>
          <w:tblCellMar>
            <w:top w:w="0" w:type="dxa"/>
            <w:bottom w:w="0" w:type="dxa"/>
          </w:tblCellMar>
        </w:tblPrEx>
        <w:tc>
          <w:tcPr>
            <w:tcW w:w="1600" w:type="dxa"/>
            <w:tcBorders>
              <w:top w:val="single" w:sz="1" w:space="0" w:color="666666"/>
              <w:left w:val="single" w:sz="1" w:space="0" w:color="666666"/>
              <w:bottom w:val="single" w:sz="1" w:space="0" w:color="666666"/>
              <w:right w:val="single" w:sz="1" w:space="0" w:color="666666"/>
            </w:tcBorders>
            <w:tcMar>
              <w:top w:w="50" w:type="dxa"/>
              <w:left w:w="70" w:type="dxa"/>
              <w:bottom w:w="50" w:type="dxa"/>
              <w:right w:w="70" w:type="dxa"/>
            </w:tcMar>
          </w:tcPr>
          <w:p w:rsidR="005C2B62" w:rsidRDefault="00ED3EB0">
            <w:pPr>
              <w:spacing w:line="360" w:lineRule="auto" w:before="0" w:after="0"/>
            </w:pPr>
            <w:proofErr w:type="spellStart"/>
            <w:r>
              <w:rPr>
                <w:rFonts w:eastAsia="標楷體" w:ascii="Times New Roman" w:hAnsi="Times New Roman"/>
                <w:sz w:val="21"/>
                <w:szCs w:val="18"/>
              </w:rPr>
              <w:t>日本：補助金＋福祉資格</w:t>
            </w:r>
            <w:proofErr w:type="spellEnd"/>
          </w:p>
        </w:tc>
        <w:tc>
          <w:tcPr>
            <w:tcW w:w="1500" w:type="dxa"/>
            <w:tcBorders>
              <w:top w:val="single" w:sz="1" w:space="0" w:color="666666"/>
              <w:left w:val="single" w:sz="1" w:space="0" w:color="666666"/>
              <w:bottom w:val="single" w:sz="1" w:space="0" w:color="666666"/>
              <w:right w:val="single" w:sz="1" w:space="0" w:color="666666"/>
            </w:tcBorders>
            <w:tcMar>
              <w:top w:w="50" w:type="dxa"/>
              <w:left w:w="70" w:type="dxa"/>
              <w:bottom w:w="50" w:type="dxa"/>
              <w:right w:w="70" w:type="dxa"/>
            </w:tcMar>
          </w:tcPr>
          <w:p w:rsidR="005C2B62" w:rsidRDefault="00ED3EB0">
            <w:pPr>
              <w:spacing w:line="360" w:lineRule="auto" w:before="0" w:after="0"/>
            </w:pPr>
            <w:proofErr w:type="spellStart"/>
            <w:r>
              <w:rPr>
                <w:rFonts w:eastAsia="標楷體" w:ascii="Times New Roman" w:hAnsi="Times New Roman"/>
                <w:sz w:val="21"/>
                <w:szCs w:val="18"/>
              </w:rPr>
              <w:t>中央／地方承辦</w:t>
            </w:r>
            <w:proofErr w:type="spellEnd"/>
          </w:p>
        </w:tc>
        <w:tc>
          <w:tcPr>
            <w:tcW w:w="1600" w:type="dxa"/>
            <w:tcBorders>
              <w:top w:val="single" w:sz="1" w:space="0" w:color="666666"/>
              <w:left w:val="single" w:sz="1" w:space="0" w:color="666666"/>
              <w:bottom w:val="single" w:sz="1" w:space="0" w:color="666666"/>
              <w:right w:val="single" w:sz="1" w:space="0" w:color="666666"/>
            </w:tcBorders>
            <w:tcMar>
              <w:top w:w="50" w:type="dxa"/>
              <w:left w:w="70" w:type="dxa"/>
              <w:bottom w:w="50" w:type="dxa"/>
              <w:right w:w="70" w:type="dxa"/>
            </w:tcMar>
          </w:tcPr>
          <w:p w:rsidR="005C2B62" w:rsidRDefault="00ED3EB0">
            <w:pPr>
              <w:spacing w:line="360" w:lineRule="auto" w:before="0" w:after="0"/>
            </w:pPr>
            <w:proofErr w:type="spellStart"/>
            <w:r>
              <w:rPr>
                <w:rFonts w:eastAsia="標楷體" w:ascii="Times New Roman" w:hAnsi="Times New Roman"/>
                <w:sz w:val="21"/>
                <w:szCs w:val="18"/>
              </w:rPr>
              <w:t>審查輔助、風險分類</w:t>
            </w:r>
            <w:proofErr w:type="spellEnd"/>
          </w:p>
        </w:tc>
        <w:tc>
          <w:tcPr>
            <w:tcW w:w="1500" w:type="dxa"/>
            <w:tcBorders>
              <w:top w:val="single" w:sz="1" w:space="0" w:color="666666"/>
              <w:left w:val="single" w:sz="1" w:space="0" w:color="666666"/>
              <w:bottom w:val="single" w:sz="1" w:space="0" w:color="666666"/>
              <w:right w:val="single" w:sz="1" w:space="0" w:color="666666"/>
            </w:tcBorders>
            <w:tcMar>
              <w:top w:w="50" w:type="dxa"/>
              <w:left w:w="70" w:type="dxa"/>
              <w:bottom w:w="50" w:type="dxa"/>
              <w:right w:w="70" w:type="dxa"/>
            </w:tcMar>
          </w:tcPr>
          <w:p w:rsidR="005C2B62" w:rsidRDefault="00ED3EB0">
            <w:pPr>
              <w:spacing w:line="360" w:lineRule="auto" w:before="0" w:after="0"/>
            </w:pPr>
            <w:proofErr w:type="spellStart"/>
            <w:r>
              <w:rPr>
                <w:rFonts w:eastAsia="標楷體" w:ascii="Times New Roman" w:hAnsi="Times New Roman"/>
                <w:sz w:val="21"/>
                <w:szCs w:val="18"/>
              </w:rPr>
              <w:t>初審／准駁</w:t>
            </w:r>
            <w:proofErr w:type="spellEnd"/>
          </w:p>
        </w:tc>
        <w:tc>
          <w:tcPr>
            <w:tcW w:w="1600" w:type="dxa"/>
            <w:tcBorders>
              <w:top w:val="single" w:sz="1" w:space="0" w:color="666666"/>
              <w:left w:val="single" w:sz="1" w:space="0" w:color="666666"/>
              <w:bottom w:val="single" w:sz="1" w:space="0" w:color="666666"/>
              <w:right w:val="single" w:sz="1" w:space="0" w:color="666666"/>
            </w:tcBorders>
            <w:tcMar>
              <w:top w:w="50" w:type="dxa"/>
              <w:left w:w="70" w:type="dxa"/>
              <w:bottom w:w="50" w:type="dxa"/>
              <w:right w:w="70" w:type="dxa"/>
            </w:tcMar>
          </w:tcPr>
          <w:p w:rsidR="005C2B62" w:rsidRDefault="00ED3EB0">
            <w:pPr>
              <w:spacing w:line="360" w:lineRule="auto" w:before="0" w:after="0"/>
            </w:pPr>
            <w:proofErr w:type="spellStart"/>
            <w:r>
              <w:rPr>
                <w:rFonts w:eastAsia="標楷體" w:ascii="Times New Roman" w:hAnsi="Times New Roman"/>
                <w:sz w:val="21"/>
                <w:szCs w:val="18"/>
              </w:rPr>
              <w:t>財產、平等</w:t>
            </w:r>
            <w:proofErr w:type="spellEnd"/>
          </w:p>
        </w:tc>
        <w:tc>
          <w:tcPr>
            <w:tcW w:w="1586" w:type="dxa"/>
            <w:tcBorders>
              <w:top w:val="single" w:sz="1" w:space="0" w:color="666666"/>
              <w:left w:val="single" w:sz="1" w:space="0" w:color="666666"/>
              <w:bottom w:val="single" w:sz="1" w:space="0" w:color="666666"/>
              <w:right w:val="single" w:sz="1" w:space="0" w:color="666666"/>
            </w:tcBorders>
            <w:tcMar>
              <w:top w:w="50" w:type="dxa"/>
              <w:left w:w="70" w:type="dxa"/>
              <w:bottom w:w="50" w:type="dxa"/>
              <w:right w:w="70" w:type="dxa"/>
            </w:tcMar>
          </w:tcPr>
          <w:p w:rsidR="005C2B62" w:rsidRDefault="00ED3EB0">
            <w:pPr>
              <w:spacing w:line="360" w:lineRule="auto" w:before="0" w:after="0"/>
            </w:pPr>
            <w:r>
              <w:rPr>
                <w:rFonts w:eastAsia="標楷體" w:ascii="Times New Roman" w:hAnsi="Times New Roman"/>
                <w:sz w:val="21"/>
                <w:szCs w:val="18"/>
              </w:rPr>
              <w:t>B–</w:t>
            </w:r>
            <w:proofErr w:type="spellStart"/>
            <w:r>
              <w:rPr>
                <w:rFonts w:eastAsia="標楷體" w:ascii="Times New Roman" w:hAnsi="Times New Roman"/>
                <w:sz w:val="21"/>
                <w:szCs w:val="18"/>
              </w:rPr>
              <w:t>C級為主</w:t>
            </w:r>
            <w:proofErr w:type="spellEnd"/>
          </w:p>
        </w:tc>
      </w:tr>
      <w:tr w:rsidR="005C2B62">
        <w:tblPrEx>
          <w:tblCellMar>
            <w:top w:w="0" w:type="dxa"/>
            <w:bottom w:w="0" w:type="dxa"/>
          </w:tblCellMar>
        </w:tblPrEx>
        <w:tc>
          <w:tcPr>
            <w:tcW w:w="1600" w:type="dxa"/>
            <w:tcBorders>
              <w:top w:val="single" w:sz="1" w:space="0" w:color="666666"/>
              <w:left w:val="single" w:sz="1" w:space="0" w:color="666666"/>
              <w:bottom w:val="single" w:sz="1" w:space="0" w:color="666666"/>
              <w:right w:val="single" w:sz="1" w:space="0" w:color="666666"/>
            </w:tcBorders>
            <w:tcMar>
              <w:top w:w="50" w:type="dxa"/>
              <w:left w:w="70" w:type="dxa"/>
              <w:bottom w:w="50" w:type="dxa"/>
              <w:right w:w="70" w:type="dxa"/>
            </w:tcMar>
          </w:tcPr>
          <w:p w:rsidR="005C2B62" w:rsidRDefault="00ED3EB0">
            <w:pPr>
              <w:spacing w:line="360" w:lineRule="auto" w:before="0" w:after="0"/>
            </w:pPr>
            <w:proofErr w:type="spellStart"/>
            <w:r>
              <w:rPr>
                <w:rFonts w:eastAsia="標楷體" w:ascii="Times New Roman" w:hAnsi="Times New Roman"/>
                <w:sz w:val="21"/>
                <w:szCs w:val="18"/>
              </w:rPr>
              <w:t>韓國：深偽下架＋治安預測</w:t>
            </w:r>
            <w:proofErr w:type="spellEnd"/>
          </w:p>
        </w:tc>
        <w:tc>
          <w:tcPr>
            <w:tcW w:w="1500" w:type="dxa"/>
            <w:tcBorders>
              <w:top w:val="single" w:sz="1" w:space="0" w:color="666666"/>
              <w:left w:val="single" w:sz="1" w:space="0" w:color="666666"/>
              <w:bottom w:val="single" w:sz="1" w:space="0" w:color="666666"/>
              <w:right w:val="single" w:sz="1" w:space="0" w:color="666666"/>
            </w:tcBorders>
            <w:tcMar>
              <w:top w:w="50" w:type="dxa"/>
              <w:left w:w="70" w:type="dxa"/>
              <w:bottom w:w="50" w:type="dxa"/>
              <w:right w:w="70" w:type="dxa"/>
            </w:tcMar>
          </w:tcPr>
          <w:p w:rsidR="005C2B62" w:rsidRDefault="00ED3EB0">
            <w:pPr>
              <w:spacing w:line="360" w:lineRule="auto" w:before="0" w:after="0"/>
            </w:pPr>
            <w:proofErr w:type="spellStart"/>
            <w:r>
              <w:rPr>
                <w:rFonts w:eastAsia="標楷體" w:ascii="Times New Roman" w:hAnsi="Times New Roman"/>
                <w:sz w:val="21"/>
                <w:szCs w:val="18"/>
              </w:rPr>
              <w:t>中央／執法機關</w:t>
            </w:r>
            <w:proofErr w:type="spellEnd"/>
          </w:p>
        </w:tc>
        <w:tc>
          <w:tcPr>
            <w:tcW w:w="1600" w:type="dxa"/>
            <w:tcBorders>
              <w:top w:val="single" w:sz="1" w:space="0" w:color="666666"/>
              <w:left w:val="single" w:sz="1" w:space="0" w:color="666666"/>
              <w:bottom w:val="single" w:sz="1" w:space="0" w:color="666666"/>
              <w:right w:val="single" w:sz="1" w:space="0" w:color="666666"/>
            </w:tcBorders>
            <w:tcMar>
              <w:top w:w="50" w:type="dxa"/>
              <w:left w:w="70" w:type="dxa"/>
              <w:bottom w:w="50" w:type="dxa"/>
              <w:right w:w="70" w:type="dxa"/>
            </w:tcMar>
          </w:tcPr>
          <w:p w:rsidR="005C2B62" w:rsidRDefault="00ED3EB0">
            <w:pPr>
              <w:spacing w:line="360" w:lineRule="auto" w:before="0" w:after="0"/>
            </w:pPr>
            <w:proofErr w:type="spellStart"/>
            <w:r>
              <w:rPr>
                <w:rFonts w:eastAsia="標楷體" w:ascii="Times New Roman" w:hAnsi="Times New Roman"/>
                <w:sz w:val="21"/>
                <w:szCs w:val="18"/>
              </w:rPr>
              <w:t>內容偵測、預測</w:t>
            </w:r>
            <w:proofErr w:type="spellEnd"/>
          </w:p>
        </w:tc>
        <w:tc>
          <w:tcPr>
            <w:tcW w:w="1500" w:type="dxa"/>
            <w:tcBorders>
              <w:top w:val="single" w:sz="1" w:space="0" w:color="666666"/>
              <w:left w:val="single" w:sz="1" w:space="0" w:color="666666"/>
              <w:bottom w:val="single" w:sz="1" w:space="0" w:color="666666"/>
              <w:right w:val="single" w:sz="1" w:space="0" w:color="666666"/>
            </w:tcBorders>
            <w:tcMar>
              <w:top w:w="50" w:type="dxa"/>
              <w:left w:w="70" w:type="dxa"/>
              <w:bottom w:w="50" w:type="dxa"/>
              <w:right w:w="70" w:type="dxa"/>
            </w:tcMar>
          </w:tcPr>
          <w:p w:rsidR="005C2B62" w:rsidRDefault="00ED3EB0">
            <w:pPr>
              <w:spacing w:line="360" w:lineRule="auto" w:before="0" w:after="0"/>
            </w:pPr>
            <w:proofErr w:type="spellStart"/>
            <w:r>
              <w:rPr>
                <w:rFonts w:eastAsia="標楷體" w:ascii="Times New Roman" w:hAnsi="Times New Roman"/>
                <w:sz w:val="21"/>
                <w:szCs w:val="18"/>
              </w:rPr>
              <w:t>標記／移除／部署</w:t>
            </w:r>
            <w:proofErr w:type="spellEnd"/>
          </w:p>
        </w:tc>
        <w:tc>
          <w:tcPr>
            <w:tcW w:w="1600" w:type="dxa"/>
            <w:tcBorders>
              <w:top w:val="single" w:sz="1" w:space="0" w:color="666666"/>
              <w:left w:val="single" w:sz="1" w:space="0" w:color="666666"/>
              <w:bottom w:val="single" w:sz="1" w:space="0" w:color="666666"/>
              <w:right w:val="single" w:sz="1" w:space="0" w:color="666666"/>
            </w:tcBorders>
            <w:tcMar>
              <w:top w:w="50" w:type="dxa"/>
              <w:left w:w="70" w:type="dxa"/>
              <w:bottom w:w="50" w:type="dxa"/>
              <w:right w:w="70" w:type="dxa"/>
            </w:tcMar>
          </w:tcPr>
          <w:p w:rsidR="005C2B62" w:rsidRDefault="00ED3EB0">
            <w:pPr>
              <w:spacing w:line="360" w:lineRule="auto" w:before="0" w:after="0"/>
            </w:pPr>
            <w:proofErr w:type="spellStart"/>
            <w:r>
              <w:rPr>
                <w:rFonts w:eastAsia="標楷體" w:ascii="Times New Roman" w:hAnsi="Times New Roman"/>
                <w:sz w:val="21"/>
                <w:szCs w:val="18"/>
              </w:rPr>
              <w:t>表意、隱私、安全</w:t>
            </w:r>
            <w:proofErr w:type="spellEnd"/>
          </w:p>
        </w:tc>
        <w:tc>
          <w:tcPr>
            <w:tcW w:w="1586" w:type="dxa"/>
            <w:tcBorders>
              <w:top w:val="single" w:sz="1" w:space="0" w:color="666666"/>
              <w:left w:val="single" w:sz="1" w:space="0" w:color="666666"/>
              <w:bottom w:val="single" w:sz="1" w:space="0" w:color="666666"/>
              <w:right w:val="single" w:sz="1" w:space="0" w:color="666666"/>
            </w:tcBorders>
            <w:tcMar>
              <w:top w:w="50" w:type="dxa"/>
              <w:left w:w="70" w:type="dxa"/>
              <w:bottom w:w="50" w:type="dxa"/>
              <w:right w:w="70" w:type="dxa"/>
            </w:tcMar>
          </w:tcPr>
          <w:p w:rsidR="005C2B62" w:rsidRDefault="00ED3EB0">
            <w:pPr>
              <w:spacing w:line="360" w:lineRule="auto" w:before="0" w:after="0"/>
            </w:pPr>
            <w:r>
              <w:rPr>
                <w:rFonts w:eastAsia="標楷體" w:ascii="Times New Roman" w:hAnsi="Times New Roman"/>
                <w:sz w:val="21"/>
                <w:szCs w:val="18"/>
              </w:rPr>
              <w:t>B–</w:t>
            </w:r>
            <w:proofErr w:type="spellStart"/>
            <w:r>
              <w:rPr>
                <w:rFonts w:eastAsia="標楷體" w:ascii="Times New Roman" w:hAnsi="Times New Roman"/>
                <w:sz w:val="21"/>
                <w:szCs w:val="18"/>
              </w:rPr>
              <w:t>C級＋OECD</w:t>
            </w:r>
            <w:proofErr w:type="spellEnd"/>
          </w:p>
        </w:tc>
      </w:tr>
    </w:tbl>
    <w:p w:rsidR="005C2B62" w:rsidRDefault="00ED3EB0">
      <w:pPr>
        <w:spacing w:after="0" w:line="480" w:lineRule="auto" w:before="0"/>
        <w:ind w:firstLine="720"/>
        <w:jc w:val="both"/>
      </w:pPr>
      <w:r>
        <w:rPr>
          <w:rFonts w:eastAsia="標楷體" w:ascii="Times New Roman" w:hAnsi="Times New Roman"/>
          <w:b w:val="0"/>
          <w:sz w:val="24"/>
        </w:rPr>
        <w:t>若系統名稱或實際部署細節不可公開，本文明確承認資料限制，不以政策口號代替系統證據。後續研究應補充A級證據（法律條文、法院判決、正式稽核報告、行政決定紀錄）。</w:t>
      </w:r>
    </w:p>
    <w:p w:rsidR="005C2B62" w:rsidRDefault="00ED3EB0">
      <w:pPr>
        <w:pStyle w:val="3"/>
        <w:spacing w:line="480" w:lineRule="auto" w:before="120" w:after="0"/>
        <w:ind/>
        <w:jc w:val="both"/>
      </w:pPr>
      <w:r>
        <w:rPr>
          <w:rFonts w:ascii="Times New Roman" w:hAnsi="Times New Roman" w:eastAsia="標楷體"/>
          <w:b/>
          <w:sz w:val="24"/>
        </w:rPr>
        <w:t xml:space="preserve">1.3.2　</w:t>
      </w:r>
      <w:proofErr w:type="spellStart"/>
      <w:r>
        <w:rPr>
          <w:rFonts w:ascii="Times New Roman" w:hAnsi="Times New Roman" w:eastAsia="標楷體"/>
          <w:b/>
          <w:sz w:val="24"/>
        </w:rPr>
        <w:t>證據強度分級與語氣規範</w:t>
      </w:r>
      <w:proofErr w:type="spellEnd"/>
    </w:p>
    <w:p w:rsidR="005C2B62" w:rsidRDefault="00ED3EB0">
      <w:pPr>
        <w:spacing w:after="0" w:line="480" w:lineRule="auto" w:before="0"/>
        <w:ind w:firstLine="720"/>
        <w:jc w:val="both"/>
      </w:pPr>
      <w:proofErr w:type="spellStart"/>
      <w:r>
        <w:rPr>
          <w:rFonts w:eastAsia="標楷體" w:ascii="Times New Roman" w:hAnsi="Times New Roman"/>
          <w:b w:val="0"/>
          <w:sz w:val="24"/>
        </w:rPr>
        <w:t>資料區分為四級</w:t>
      </w:r>
      <w:proofErr w:type="spellEnd"/>
      <w:r>
        <w:rPr>
          <w:rFonts w:eastAsia="標楷體" w:ascii="Times New Roman" w:hAnsi="Times New Roman"/>
          <w:b w:val="0"/>
          <w:sz w:val="24"/>
        </w:rPr>
        <w:t>：</w:t>
      </w:r>
    </w:p>
    <w:p w:rsidR="005C2B62" w:rsidRDefault="00ED3EB0">
      <w:pPr>
        <w:pStyle w:val="a4"/>
        <w:numPr>
          <w:ilvl w:val="0"/>
          <w:numId w:val="3"/>
        </w:numPr>
        <w:spacing w:after="0" w:line="480" w:lineRule="auto" w:before="0"/>
        <w:ind w:firstLine="720"/>
        <w:jc w:val="both"/>
      </w:pPr>
      <w:proofErr w:type="spellStart"/>
      <w:r>
        <w:rPr>
          <w:rFonts w:eastAsia="標楷體" w:ascii="Times New Roman" w:hAnsi="Times New Roman"/>
          <w:b w:val="0"/>
          <w:sz w:val="24"/>
        </w:rPr>
        <w:t>A級：法律條文、法院判決、正式稽核報告、行政決定紀錄</w:t>
      </w:r>
      <w:proofErr w:type="spellEnd"/>
      <w:r>
        <w:rPr>
          <w:rFonts w:eastAsia="標楷體" w:ascii="Times New Roman" w:hAnsi="Times New Roman"/>
          <w:b w:val="0"/>
          <w:sz w:val="24"/>
        </w:rPr>
        <w:t xml:space="preserve"> → </w:t>
      </w:r>
      <w:proofErr w:type="spellStart"/>
      <w:r>
        <w:rPr>
          <w:rFonts w:eastAsia="標楷體" w:ascii="Times New Roman" w:hAnsi="Times New Roman"/>
          <w:b w:val="0"/>
          <w:sz w:val="24"/>
        </w:rPr>
        <w:t>可支持「已建立</w:t>
      </w:r>
      <w:proofErr w:type="spellEnd"/>
      <w:r>
        <w:rPr>
          <w:rFonts w:eastAsia="標楷體" w:ascii="Times New Roman" w:hAnsi="Times New Roman"/>
          <w:b w:val="0"/>
          <w:sz w:val="24"/>
        </w:rPr>
        <w:t>」「</w:t>
      </w:r>
      <w:proofErr w:type="spellStart"/>
      <w:r>
        <w:rPr>
          <w:rFonts w:eastAsia="標楷體" w:ascii="Times New Roman" w:hAnsi="Times New Roman"/>
          <w:b w:val="0"/>
          <w:sz w:val="24"/>
        </w:rPr>
        <w:t>明文規定</w:t>
      </w:r>
      <w:proofErr w:type="spellEnd"/>
      <w:r>
        <w:rPr>
          <w:rFonts w:eastAsia="標楷體" w:ascii="Times New Roman" w:hAnsi="Times New Roman"/>
          <w:b w:val="0"/>
          <w:sz w:val="24"/>
        </w:rPr>
        <w:t>」。</w:t>
      </w:r>
    </w:p>
    <w:p w:rsidR="005C2B62" w:rsidRDefault="00ED3EB0">
      <w:pPr>
        <w:pStyle w:val="a4"/>
        <w:numPr>
          <w:ilvl w:val="0"/>
          <w:numId w:val="3"/>
        </w:numPr>
        <w:spacing w:after="0" w:line="480" w:lineRule="auto" w:before="0"/>
        <w:ind w:firstLine="720"/>
        <w:jc w:val="both"/>
      </w:pPr>
      <w:proofErr w:type="spellStart"/>
      <w:r>
        <w:rPr>
          <w:rFonts w:eastAsia="標楷體" w:ascii="Times New Roman" w:hAnsi="Times New Roman"/>
          <w:b w:val="0"/>
          <w:sz w:val="24"/>
        </w:rPr>
        <w:t>B級：官方政策文件、採購文件、系統規格、操作指引</w:t>
      </w:r>
      <w:proofErr w:type="spellEnd"/>
      <w:r>
        <w:rPr>
          <w:rFonts w:eastAsia="標楷體" w:ascii="Times New Roman" w:hAnsi="Times New Roman"/>
          <w:b w:val="0"/>
          <w:sz w:val="24"/>
        </w:rPr>
        <w:t xml:space="preserve"> → </w:t>
      </w:r>
      <w:proofErr w:type="spellStart"/>
      <w:r>
        <w:rPr>
          <w:rFonts w:eastAsia="標楷體" w:ascii="Times New Roman" w:hAnsi="Times New Roman"/>
          <w:b w:val="0"/>
          <w:sz w:val="24"/>
        </w:rPr>
        <w:t>可支持「政策上規定</w:t>
      </w:r>
      <w:proofErr w:type="spellEnd"/>
      <w:r>
        <w:rPr>
          <w:rFonts w:eastAsia="標楷體" w:ascii="Times New Roman" w:hAnsi="Times New Roman"/>
          <w:b w:val="0"/>
          <w:sz w:val="24"/>
        </w:rPr>
        <w:t>」「</w:t>
      </w:r>
      <w:proofErr w:type="spellStart"/>
      <w:r>
        <w:rPr>
          <w:rFonts w:eastAsia="標楷體" w:ascii="Times New Roman" w:hAnsi="Times New Roman"/>
          <w:b w:val="0"/>
          <w:sz w:val="24"/>
        </w:rPr>
        <w:t>官方設計</w:t>
      </w:r>
      <w:proofErr w:type="spellEnd"/>
      <w:r>
        <w:rPr>
          <w:rFonts w:eastAsia="標楷體" w:ascii="Times New Roman" w:hAnsi="Times New Roman"/>
          <w:b w:val="0"/>
          <w:sz w:val="24"/>
        </w:rPr>
        <w:t>」。</w:t>
      </w:r>
    </w:p>
    <w:p w:rsidR="005C2B62" w:rsidRDefault="00ED3EB0">
      <w:pPr>
        <w:pStyle w:val="a4"/>
        <w:numPr>
          <w:ilvl w:val="0"/>
          <w:numId w:val="3"/>
        </w:numPr>
        <w:spacing w:after="0" w:line="480" w:lineRule="auto" w:before="0"/>
        <w:ind w:firstLine="720"/>
        <w:jc w:val="both"/>
      </w:pPr>
      <w:proofErr w:type="spellStart"/>
      <w:r>
        <w:rPr>
          <w:rFonts w:eastAsia="標楷體" w:ascii="Times New Roman" w:hAnsi="Times New Roman"/>
          <w:b w:val="0"/>
          <w:sz w:val="24"/>
        </w:rPr>
        <w:t>C級：官方演講、新聞稿、政策宣示</w:t>
      </w:r>
      <w:proofErr w:type="spellEnd"/>
      <w:r>
        <w:rPr>
          <w:rFonts w:eastAsia="標楷體" w:ascii="Times New Roman" w:hAnsi="Times New Roman"/>
          <w:b w:val="0"/>
          <w:sz w:val="24"/>
        </w:rPr>
        <w:t xml:space="preserve"> → </w:t>
      </w:r>
      <w:proofErr w:type="spellStart"/>
      <w:r>
        <w:rPr>
          <w:rFonts w:eastAsia="標楷體" w:ascii="Times New Roman" w:hAnsi="Times New Roman"/>
          <w:b w:val="0"/>
          <w:sz w:val="24"/>
        </w:rPr>
        <w:t>宜使用「政策上宣稱</w:t>
      </w:r>
      <w:proofErr w:type="spellEnd"/>
      <w:r>
        <w:rPr>
          <w:rFonts w:eastAsia="標楷體" w:ascii="Times New Roman" w:hAnsi="Times New Roman"/>
          <w:b w:val="0"/>
          <w:sz w:val="24"/>
        </w:rPr>
        <w:t>」「</w:t>
      </w:r>
      <w:proofErr w:type="spellStart"/>
      <w:r>
        <w:rPr>
          <w:rFonts w:eastAsia="標楷體" w:ascii="Times New Roman" w:hAnsi="Times New Roman"/>
          <w:b w:val="0"/>
          <w:sz w:val="24"/>
        </w:rPr>
        <w:t>官方表示</w:t>
      </w:r>
      <w:proofErr w:type="spellEnd"/>
      <w:r>
        <w:rPr>
          <w:rFonts w:eastAsia="標楷體" w:ascii="Times New Roman" w:hAnsi="Times New Roman"/>
          <w:b w:val="0"/>
          <w:sz w:val="24"/>
        </w:rPr>
        <w:t>」。</w:t>
      </w:r>
    </w:p>
    <w:p w:rsidR="005C2B62" w:rsidRDefault="00ED3EB0">
      <w:pPr>
        <w:pStyle w:val="a4"/>
        <w:numPr>
          <w:ilvl w:val="0"/>
          <w:numId w:val="3"/>
        </w:numPr>
        <w:spacing w:after="0" w:line="480" w:lineRule="auto" w:before="0"/>
        <w:ind w:firstLine="720"/>
        <w:jc w:val="both"/>
      </w:pPr>
      <w:proofErr w:type="spellStart"/>
      <w:r>
        <w:rPr>
          <w:rFonts w:eastAsia="標楷體" w:ascii="Times New Roman" w:hAnsi="Times New Roman"/>
          <w:b w:val="0"/>
          <w:sz w:val="24"/>
        </w:rPr>
        <w:lastRenderedPageBreak/>
        <w:t>D級：</w:t>
      </w:r>
      <w:r>
        <w:rPr>
          <w:rFonts w:eastAsia="標楷體" w:ascii="Times New Roman" w:hAnsi="Times New Roman"/>
          <w:b w:val="0"/>
          <w:sz w:val="24"/>
        </w:rPr>
        <w:t>學術文獻二手描述或作者推論</w:t>
      </w:r>
      <w:proofErr w:type="spellEnd"/>
      <w:r>
        <w:rPr>
          <w:rFonts w:eastAsia="標楷體" w:ascii="Times New Roman" w:hAnsi="Times New Roman"/>
          <w:b w:val="0"/>
          <w:sz w:val="24"/>
        </w:rPr>
        <w:t xml:space="preserve"> → </w:t>
      </w:r>
      <w:proofErr w:type="spellStart"/>
      <w:r>
        <w:rPr>
          <w:rFonts w:eastAsia="標楷體" w:ascii="Times New Roman" w:hAnsi="Times New Roman"/>
          <w:b w:val="0"/>
          <w:sz w:val="24"/>
        </w:rPr>
        <w:t>只能支持「文獻指出」或「可推論</w:t>
      </w:r>
      <w:proofErr w:type="spellEnd"/>
      <w:r>
        <w:rPr>
          <w:rFonts w:eastAsia="標楷體" w:ascii="Times New Roman" w:hAnsi="Times New Roman"/>
          <w:b w:val="0"/>
          <w:sz w:val="24"/>
        </w:rPr>
        <w:t>」。</w:t>
      </w:r>
    </w:p>
    <w:p w:rsidR="005C2B62" w:rsidRDefault="00ED3EB0">
      <w:pPr>
        <w:spacing w:after="0" w:line="480" w:lineRule="auto" w:before="0"/>
        <w:ind w:firstLine="720"/>
        <w:jc w:val="both"/>
      </w:pPr>
      <w:r>
        <w:rPr>
          <w:rFonts w:eastAsia="標楷體" w:ascii="Times New Roman" w:hAnsi="Times New Roman"/>
          <w:b w:val="0"/>
          <w:sz w:val="24"/>
        </w:rPr>
        <w:t>正文持續區分【文件證據】、【制度推論】、【規範判斷】。目前多數場域描述屬B–C級與D級推論，信心程度標示為中或中低。本文不將制度推論誤寫為已證實的經驗事實。</w:t>
      </w:r>
    </w:p>
    <w:p w:rsidR="005C2B62" w:rsidRDefault="00ED3EB0">
      <w:pPr>
        <w:pStyle w:val="2"/>
        <w:spacing w:line="480" w:lineRule="auto" w:before="120" w:after="0"/>
        <w:ind/>
        <w:jc w:val="both"/>
      </w:pPr>
      <w:r>
        <w:rPr>
          <w:rFonts w:ascii="Times New Roman" w:hAnsi="Times New Roman" w:eastAsia="標楷體"/>
          <w:b/>
          <w:sz w:val="24"/>
        </w:rPr>
        <w:t xml:space="preserve">1.4　</w:t>
      </w:r>
      <w:proofErr w:type="spellStart"/>
      <w:r>
        <w:rPr>
          <w:rFonts w:ascii="Times New Roman" w:hAnsi="Times New Roman" w:eastAsia="標楷體"/>
          <w:b/>
          <w:sz w:val="24"/>
        </w:rPr>
        <w:t>核心理論命題</w:t>
      </w:r>
      <w:proofErr w:type="spellEnd"/>
    </w:p>
    <w:p w:rsidR="005C2B62" w:rsidRDefault="00ED3EB0">
      <w:pPr>
        <w:spacing w:after="0" w:line="480" w:lineRule="auto" w:before="0"/>
        <w:ind w:firstLine="720"/>
        <w:jc w:val="both"/>
      </w:pPr>
      <w:r>
        <w:rPr>
          <w:rFonts w:eastAsia="標楷體" w:ascii="Times New Roman" w:hAnsi="Times New Roman"/>
          <w:b w:val="0"/>
          <w:sz w:val="24"/>
        </w:rPr>
        <w:t>AI行政的制度風險，未必表現為程序與人工裁量的直接消失，而可能表現為形式保障持續存在、實質治理功能卻逐步弱化。此一命題與制度脫鉤、象徵性合規、防禦性決策文獻對話，並延伸至AI鑲嵌情境。三種表現型態與可能機制將在第四章正式化為可檢驗命題。</w:t>
      </w:r>
    </w:p>
    <w:p w:rsidR="005C2B62" w:rsidRDefault="00ED3EB0">
      <w:pPr>
        <w:pStyle w:val="1"/>
        <w:spacing w:line="480" w:lineRule="auto" w:before="240" w:after="0"/>
        <w:ind/>
        <w:jc w:val="left"/>
      </w:pPr>
      <w:proofErr w:type="spellStart"/>
      <w:r>
        <w:rPr>
          <w:rFonts w:ascii="Times New Roman" w:hAnsi="Times New Roman" w:eastAsia="標楷體"/>
          <w:b/>
          <w:sz w:val="28"/>
        </w:rPr>
        <w:t>第二章</w:t>
      </w:r>
      <w:proofErr w:type="spellEnd"/>
      <w:r>
        <w:rPr>
          <w:rFonts w:ascii="Times New Roman" w:hAnsi="Times New Roman" w:eastAsia="標楷體"/>
          <w:b/>
          <w:sz w:val="28"/>
        </w:rPr>
        <w:t xml:space="preserve">　</w:t>
      </w:r>
      <w:proofErr w:type="spellStart"/>
      <w:r>
        <w:rPr>
          <w:rFonts w:ascii="Times New Roman" w:hAnsi="Times New Roman" w:eastAsia="標楷體"/>
          <w:b/>
          <w:sz w:val="28"/>
        </w:rPr>
        <w:t>文獻回顧與理論架構</w:t>
      </w:r>
      <w:proofErr w:type="spellEnd"/>
    </w:p>
    <w:p w:rsidR="005C2B62" w:rsidRDefault="00ED3EB0">
      <w:pPr>
        <w:pStyle w:val="2"/>
        <w:spacing w:line="480" w:lineRule="auto" w:before="120" w:after="0"/>
        <w:ind/>
        <w:jc w:val="both"/>
      </w:pPr>
      <w:r>
        <w:rPr>
          <w:rFonts w:ascii="Times New Roman" w:hAnsi="Times New Roman" w:eastAsia="標楷體"/>
          <w:b/>
          <w:sz w:val="24"/>
        </w:rPr>
        <w:t xml:space="preserve">2.1　</w:t>
      </w:r>
      <w:proofErr w:type="spellStart"/>
      <w:r>
        <w:rPr>
          <w:rFonts w:ascii="Times New Roman" w:hAnsi="Times New Roman" w:eastAsia="標楷體"/>
          <w:b/>
          <w:sz w:val="24"/>
        </w:rPr>
        <w:t>演算法行政、系統層級官僚與正當程序</w:t>
      </w:r>
      <w:proofErr w:type="spellEnd"/>
    </w:p>
    <w:p w:rsidR="005C2B62" w:rsidRDefault="00ED3EB0">
      <w:pPr>
        <w:spacing w:after="0" w:line="480" w:lineRule="auto" w:before="0"/>
        <w:ind w:firstLine="720"/>
        <w:jc w:val="both"/>
      </w:pPr>
      <w:proofErr w:type="spellStart"/>
      <w:r>
        <w:rPr>
          <w:rFonts w:eastAsia="標楷體" w:ascii="Times New Roman" w:hAnsi="Times New Roman"/>
          <w:b w:val="0"/>
          <w:sz w:val="24"/>
        </w:rPr>
        <w:t>Bovens</w:t>
      </w:r>
      <w:proofErr w:type="spellEnd"/>
      <w:r>
        <w:rPr>
          <w:rFonts w:eastAsia="標楷體" w:ascii="Times New Roman" w:hAnsi="Times New Roman"/>
          <w:b w:val="0"/>
          <w:sz w:val="24"/>
        </w:rPr>
        <w:t xml:space="preserve"> and </w:t>
      </w:r>
      <w:proofErr w:type="spellStart"/>
      <w:r>
        <w:rPr>
          <w:rFonts w:eastAsia="標楷體" w:ascii="Times New Roman" w:hAnsi="Times New Roman"/>
          <w:b w:val="0"/>
          <w:sz w:val="24"/>
        </w:rPr>
        <w:t>Zouridis</w:t>
      </w:r>
      <w:proofErr w:type="spellEnd"/>
      <w:r>
        <w:rPr>
          <w:rFonts w:eastAsia="標楷體" w:ascii="Times New Roman" w:hAnsi="Times New Roman"/>
          <w:b w:val="0"/>
          <w:sz w:val="24"/>
        </w:rPr>
        <w:t xml:space="preserve"> (2002) </w:t>
      </w:r>
      <w:proofErr w:type="spellStart"/>
      <w:r>
        <w:rPr>
          <w:rFonts w:eastAsia="標楷體" w:ascii="Times New Roman" w:hAnsi="Times New Roman"/>
          <w:b w:val="0"/>
          <w:sz w:val="24"/>
        </w:rPr>
        <w:t>指出從街頭官僚（Lipsky</w:t>
      </w:r>
      <w:proofErr w:type="spellEnd"/>
      <w:r>
        <w:rPr>
          <w:rFonts w:eastAsia="標楷體" w:ascii="Times New Roman" w:hAnsi="Times New Roman"/>
          <w:b w:val="0"/>
          <w:sz w:val="24"/>
        </w:rPr>
        <w:t xml:space="preserve">, 2010之經典理論）到系統層級官僚的轉變；Young et al. (2019) </w:t>
      </w:r>
      <w:proofErr w:type="spellStart"/>
      <w:r>
        <w:rPr>
          <w:rFonts w:eastAsia="標楷體" w:ascii="Times New Roman" w:hAnsi="Times New Roman"/>
          <w:b w:val="0"/>
          <w:sz w:val="24"/>
        </w:rPr>
        <w:t>提出人工裁量（artificial</w:t>
      </w:r>
      <w:proofErr w:type="spellEnd"/>
      <w:r>
        <w:rPr>
          <w:rFonts w:eastAsia="標楷體" w:ascii="Times New Roman" w:hAnsi="Times New Roman"/>
          <w:b w:val="0"/>
          <w:sz w:val="24"/>
        </w:rPr>
        <w:t xml:space="preserve"> </w:t>
      </w:r>
      <w:proofErr w:type="spellStart"/>
      <w:r>
        <w:rPr>
          <w:rFonts w:eastAsia="標楷體" w:ascii="Times New Roman" w:hAnsi="Times New Roman"/>
          <w:b w:val="0"/>
          <w:sz w:val="24"/>
        </w:rPr>
        <w:t>discretion）概念；Cobbe</w:t>
      </w:r>
      <w:proofErr w:type="spellEnd"/>
      <w:r>
        <w:rPr>
          <w:rFonts w:eastAsia="標楷體" w:ascii="Times New Roman" w:hAnsi="Times New Roman"/>
          <w:b w:val="0"/>
          <w:sz w:val="24"/>
        </w:rPr>
        <w:t xml:space="preserve"> (2019) </w:t>
      </w:r>
      <w:proofErr w:type="spellStart"/>
      <w:r>
        <w:rPr>
          <w:rFonts w:eastAsia="標楷體" w:ascii="Times New Roman" w:hAnsi="Times New Roman"/>
          <w:b w:val="0"/>
          <w:sz w:val="24"/>
        </w:rPr>
        <w:t>強調自動化決策下傳統理由附記與聽證可能僅剩形式審查。Citron</w:t>
      </w:r>
      <w:proofErr w:type="spellEnd"/>
      <w:r>
        <w:rPr>
          <w:rFonts w:eastAsia="標楷體" w:ascii="Times New Roman" w:hAnsi="Times New Roman"/>
          <w:b w:val="0"/>
          <w:sz w:val="24"/>
        </w:rPr>
        <w:t xml:space="preserve"> (2008) </w:t>
      </w:r>
      <w:proofErr w:type="spellStart"/>
      <w:r>
        <w:rPr>
          <w:rFonts w:eastAsia="標楷體" w:ascii="Times New Roman" w:hAnsi="Times New Roman"/>
          <w:b w:val="0"/>
          <w:sz w:val="24"/>
        </w:rPr>
        <w:t>的技術正當程序、Kaminski</w:t>
      </w:r>
      <w:proofErr w:type="spellEnd"/>
      <w:r>
        <w:rPr>
          <w:rFonts w:eastAsia="標楷體" w:ascii="Times New Roman" w:hAnsi="Times New Roman"/>
          <w:b w:val="0"/>
          <w:sz w:val="24"/>
        </w:rPr>
        <w:t xml:space="preserve"> (2019) </w:t>
      </w:r>
      <w:proofErr w:type="spellStart"/>
      <w:r>
        <w:rPr>
          <w:rFonts w:eastAsia="標楷體" w:ascii="Times New Roman" w:hAnsi="Times New Roman"/>
          <w:b w:val="0"/>
          <w:sz w:val="24"/>
        </w:rPr>
        <w:t>對「形式解釋」與「實質可理解性」的區分，均為理解程序保障空洞化提供基礎。Gree</w:t>
      </w:r>
      <w:r>
        <w:rPr>
          <w:rFonts w:eastAsia="標楷體" w:ascii="Times New Roman" w:hAnsi="Times New Roman"/>
          <w:b w:val="0"/>
          <w:sz w:val="24"/>
        </w:rPr>
        <w:t>n</w:t>
      </w:r>
      <w:proofErr w:type="spellEnd"/>
      <w:r>
        <w:rPr>
          <w:rFonts w:eastAsia="標楷體" w:ascii="Times New Roman" w:hAnsi="Times New Roman"/>
          <w:b w:val="0"/>
          <w:sz w:val="24"/>
        </w:rPr>
        <w:t xml:space="preserve"> (2022) </w:t>
      </w:r>
      <w:proofErr w:type="spellStart"/>
      <w:r>
        <w:rPr>
          <w:rFonts w:eastAsia="標楷體" w:ascii="Times New Roman" w:hAnsi="Times New Roman"/>
          <w:b w:val="0"/>
          <w:sz w:val="24"/>
        </w:rPr>
        <w:t>進一步指出，要求人為監督的政策本身可能建立在未經驗證的假設上，並使責任向下轉移</w:t>
      </w:r>
      <w:proofErr w:type="spellEnd"/>
      <w:r>
        <w:rPr>
          <w:rFonts w:eastAsia="標楷體" w:ascii="Times New Roman" w:hAnsi="Times New Roman"/>
          <w:b w:val="0"/>
          <w:sz w:val="24"/>
        </w:rPr>
        <w:t>。</w:t>
      </w:r>
    </w:p>
    <w:p w:rsidR="005C2B62" w:rsidRDefault="00ED3EB0">
      <w:pPr>
        <w:pStyle w:val="2"/>
        <w:spacing w:line="480" w:lineRule="auto" w:before="120" w:after="0"/>
        <w:ind/>
        <w:jc w:val="both"/>
      </w:pPr>
      <w:r>
        <w:rPr>
          <w:rFonts w:ascii="Times New Roman" w:hAnsi="Times New Roman" w:eastAsia="標楷體"/>
          <w:b/>
          <w:sz w:val="24"/>
        </w:rPr>
        <w:t xml:space="preserve">2.2　</w:t>
      </w:r>
      <w:proofErr w:type="spellStart"/>
      <w:r>
        <w:rPr>
          <w:rFonts w:ascii="Times New Roman" w:hAnsi="Times New Roman" w:eastAsia="標楷體"/>
          <w:b/>
          <w:sz w:val="24"/>
        </w:rPr>
        <w:t>責任避險、防禦性決策與組織誘因</w:t>
      </w:r>
      <w:proofErr w:type="spellEnd"/>
    </w:p>
    <w:p w:rsidR="005C2B62" w:rsidRDefault="00ED3EB0">
      <w:pPr>
        <w:spacing w:after="0" w:line="480" w:lineRule="auto" w:before="0"/>
        <w:ind w:firstLine="720"/>
        <w:jc w:val="both"/>
      </w:pPr>
      <w:r>
        <w:rPr>
          <w:rFonts w:eastAsia="標楷體" w:ascii="Times New Roman" w:hAnsi="Times New Roman"/>
          <w:b w:val="0"/>
          <w:sz w:val="24"/>
        </w:rPr>
        <w:t xml:space="preserve">Hood (2011) </w:t>
      </w:r>
      <w:proofErr w:type="spellStart"/>
      <w:r>
        <w:rPr>
          <w:rFonts w:eastAsia="標楷體" w:ascii="Times New Roman" w:hAnsi="Times New Roman"/>
          <w:b w:val="0"/>
          <w:sz w:val="24"/>
        </w:rPr>
        <w:t>的避責理論與Weaver</w:t>
      </w:r>
      <w:proofErr w:type="spellEnd"/>
      <w:r>
        <w:rPr>
          <w:rFonts w:eastAsia="標楷體" w:ascii="Times New Roman" w:hAnsi="Times New Roman"/>
          <w:b w:val="0"/>
          <w:sz w:val="24"/>
        </w:rPr>
        <w:t xml:space="preserve"> (1986) </w:t>
      </w:r>
      <w:proofErr w:type="spellStart"/>
      <w:r>
        <w:rPr>
          <w:rFonts w:eastAsia="標楷體" w:ascii="Times New Roman" w:hAnsi="Times New Roman"/>
          <w:b w:val="0"/>
          <w:sz w:val="24"/>
        </w:rPr>
        <w:t>的blame</w:t>
      </w:r>
      <w:proofErr w:type="spellEnd"/>
      <w:r>
        <w:rPr>
          <w:rFonts w:eastAsia="標楷體" w:ascii="Times New Roman" w:hAnsi="Times New Roman"/>
          <w:b w:val="0"/>
          <w:sz w:val="24"/>
        </w:rPr>
        <w:t xml:space="preserve"> </w:t>
      </w:r>
      <w:proofErr w:type="spellStart"/>
      <w:r>
        <w:rPr>
          <w:rFonts w:eastAsia="標楷體" w:ascii="Times New Roman" w:hAnsi="Times New Roman"/>
          <w:b w:val="0"/>
          <w:sz w:val="24"/>
        </w:rPr>
        <w:t>avoidance為理解官僚行為提供核心工具。本文不將台、日、韓共同歸因於本質化的「東亞官僚文化」或「發展型科層文化</w:t>
      </w:r>
      <w:proofErr w:type="spellEnd"/>
      <w:r>
        <w:rPr>
          <w:rFonts w:eastAsia="標楷體" w:ascii="Times New Roman" w:hAnsi="Times New Roman"/>
          <w:b w:val="0"/>
          <w:sz w:val="24"/>
        </w:rPr>
        <w:t>」（cf. Wong, 2011之發展型國家論），而改以可觀察的制度與組織機制表述：在具有高度層級責任、事後究責、核章制度與防禦性合規誘因的組織環境中，承辦人可能更傾向採納系統建</w:t>
      </w:r>
      <w:r>
        <w:rPr>
          <w:rFonts w:eastAsia="標楷體" w:ascii="Times New Roman" w:hAnsi="Times New Roman"/>
          <w:b w:val="0"/>
          <w:sz w:val="24"/>
        </w:rPr>
        <w:t xml:space="preserve">議以降低個人風險。此種表述可進行經驗檢驗，並避免將複雜的制度差異簡化為文化特質（Berman et al., 2010; Painter &amp; Peters, 2010 </w:t>
      </w:r>
      <w:proofErr w:type="spellStart"/>
      <w:r>
        <w:rPr>
          <w:rFonts w:eastAsia="標楷體" w:ascii="Times New Roman" w:hAnsi="Times New Roman"/>
          <w:b w:val="0"/>
          <w:sz w:val="24"/>
        </w:rPr>
        <w:t>提供比較背景，但本文不採文化本質化解釋</w:t>
      </w:r>
      <w:proofErr w:type="spellEnd"/>
      <w:r>
        <w:rPr>
          <w:rFonts w:eastAsia="標楷體" w:ascii="Times New Roman" w:hAnsi="Times New Roman"/>
          <w:b w:val="0"/>
          <w:sz w:val="24"/>
        </w:rPr>
        <w:t>）。</w:t>
      </w:r>
    </w:p>
    <w:p w:rsidR="005C2B62" w:rsidRDefault="00ED3EB0">
      <w:pPr>
        <w:pStyle w:val="2"/>
        <w:spacing w:line="480" w:lineRule="auto" w:before="120" w:after="0"/>
        <w:ind/>
        <w:jc w:val="both"/>
      </w:pPr>
      <w:r>
        <w:rPr>
          <w:rFonts w:ascii="Times New Roman" w:hAnsi="Times New Roman" w:eastAsia="標楷體"/>
          <w:b/>
          <w:sz w:val="24"/>
        </w:rPr>
        <w:t xml:space="preserve">2.3　</w:t>
      </w:r>
      <w:proofErr w:type="spellStart"/>
      <w:r>
        <w:rPr>
          <w:rFonts w:ascii="Times New Roman" w:hAnsi="Times New Roman" w:eastAsia="標楷體"/>
          <w:b/>
          <w:sz w:val="24"/>
        </w:rPr>
        <w:t>制度脫鉤與形式</w:t>
      </w:r>
      <w:proofErr w:type="spellEnd"/>
      <w:r>
        <w:rPr>
          <w:rFonts w:ascii="Times New Roman" w:hAnsi="Times New Roman" w:eastAsia="標楷體"/>
          <w:b/>
          <w:sz w:val="24"/>
        </w:rPr>
        <w:t>—</w:t>
      </w:r>
      <w:proofErr w:type="spellStart"/>
      <w:r>
        <w:rPr>
          <w:rFonts w:ascii="Times New Roman" w:hAnsi="Times New Roman" w:eastAsia="標楷體"/>
          <w:b/>
          <w:sz w:val="24"/>
        </w:rPr>
        <w:t>實質落差</w:t>
      </w:r>
      <w:proofErr w:type="spellEnd"/>
    </w:p>
    <w:p w:rsidR="005C2B62" w:rsidRDefault="00ED3EB0">
      <w:pPr>
        <w:spacing w:after="0" w:line="480" w:lineRule="auto" w:before="0"/>
        <w:ind w:firstLine="720"/>
        <w:jc w:val="both"/>
      </w:pPr>
      <w:r>
        <w:rPr>
          <w:rFonts w:eastAsia="標楷體" w:ascii="Times New Roman" w:hAnsi="Times New Roman"/>
          <w:b w:val="0"/>
          <w:sz w:val="24"/>
        </w:rPr>
        <w:t xml:space="preserve">Meyer and Rowan (1977) </w:t>
      </w:r>
      <w:proofErr w:type="spellStart"/>
      <w:r>
        <w:rPr>
          <w:rFonts w:eastAsia="標楷體" w:ascii="Times New Roman" w:hAnsi="Times New Roman"/>
          <w:b w:val="0"/>
          <w:sz w:val="24"/>
        </w:rPr>
        <w:t>與Bromley</w:t>
      </w:r>
      <w:proofErr w:type="spellEnd"/>
      <w:r>
        <w:rPr>
          <w:rFonts w:eastAsia="標楷體" w:ascii="Times New Roman" w:hAnsi="Times New Roman"/>
          <w:b w:val="0"/>
          <w:sz w:val="24"/>
        </w:rPr>
        <w:t xml:space="preserve"> and Powell (2012) 的脫鉤理論指出，組織可能維持形式結構以取得外部合法性，同時使實務活動與形式要求分離。本文將此概念延伸至第一線AI輔助決策：形式核章、理由附記與程序欄位仍在，但實質查證</w:t>
      </w:r>
      <w:r>
        <w:rPr>
          <w:rFonts w:eastAsia="標楷體" w:ascii="Times New Roman" w:hAnsi="Times New Roman"/>
          <w:b w:val="0"/>
          <w:sz w:val="24"/>
        </w:rPr>
        <w:t>、獨立判斷與合理偏離可能弱化。此一現象與美國行政法文獻中「以複雜性削弱實質要件」（Ruhl &amp; Salzman, 2010）的觀察有相近之處：制度複雜度升高時，實質審查標準可能在實務操作中被逐步「削減」</w:t>
      </w:r>
      <w:r>
        <w:rPr>
          <w:rFonts w:eastAsia="標楷體" w:ascii="Times New Roman" w:hAnsi="Times New Roman"/>
          <w:b w:val="0"/>
          <w:sz w:val="24"/>
        </w:rPr>
        <w:lastRenderedPageBreak/>
        <w:t>。此即「形式保障與實質治理功能脫鉤」的上位概念。</w:t>
      </w:r>
    </w:p>
    <w:p w:rsidR="005C2B62" w:rsidRDefault="00ED3EB0">
      <w:pPr>
        <w:pStyle w:val="2"/>
        <w:spacing w:line="480" w:lineRule="auto" w:before="120" w:after="0"/>
        <w:ind/>
        <w:jc w:val="both"/>
      </w:pPr>
      <w:r>
        <w:rPr>
          <w:rFonts w:ascii="Times New Roman" w:hAnsi="Times New Roman" w:eastAsia="標楷體"/>
          <w:b/>
          <w:sz w:val="24"/>
        </w:rPr>
        <w:t xml:space="preserve">2.4　</w:t>
      </w:r>
      <w:proofErr w:type="spellStart"/>
      <w:r>
        <w:rPr>
          <w:rFonts w:ascii="Times New Roman" w:hAnsi="Times New Roman" w:eastAsia="標楷體"/>
          <w:b/>
          <w:sz w:val="24"/>
        </w:rPr>
        <w:t>危機治理與緊急授權</w:t>
      </w:r>
      <w:proofErr w:type="spellEnd"/>
    </w:p>
    <w:p w:rsidR="005C2B62" w:rsidRDefault="00ED3EB0">
      <w:pPr>
        <w:spacing w:after="0" w:line="480" w:lineRule="auto" w:before="0"/>
        <w:ind w:firstLine="720"/>
        <w:jc w:val="both"/>
      </w:pPr>
      <w:proofErr w:type="spellStart"/>
      <w:r>
        <w:rPr>
          <w:rFonts w:eastAsia="標楷體" w:ascii="Times New Roman" w:hAnsi="Times New Roman"/>
          <w:b w:val="0"/>
          <w:sz w:val="24"/>
        </w:rPr>
        <w:t>Boin</w:t>
      </w:r>
      <w:proofErr w:type="spellEnd"/>
      <w:r>
        <w:rPr>
          <w:rFonts w:eastAsia="標楷體" w:ascii="Times New Roman" w:hAnsi="Times New Roman"/>
          <w:b w:val="0"/>
          <w:sz w:val="24"/>
        </w:rPr>
        <w:t xml:space="preserve"> et al. (2016) 指出，高速度、高不確定性情境下，行政機關為追求回應速度可能壓縮正常程序。緊急治理與真實性基礎設施的快速部署需求，可能與程序明確性要求產生張力。此為本文「認知安全緊急性」作為觸發條件的理論來源。為</w:t>
      </w:r>
      <w:r>
        <w:rPr>
          <w:rFonts w:eastAsia="標楷體" w:ascii="Times New Roman" w:hAnsi="Times New Roman"/>
          <w:b w:val="0"/>
          <w:sz w:val="24"/>
        </w:rPr>
        <w:t>使此一概念可供後續操作化，本文將其暫定義為「決策者主觀認知某項風險（如國安、公共衛生、金融穩定）具有立即且不可逆之危害，因而傾向優先處理速度而非程序完整性」的認知狀態，可能之觀察指標包括：官方文件是否使用「緊急」「立即」等用語、決策時限是否明顯短於同類案件常規時限、是否援引緊急授權條款。此一操作化目前仍屬初步構想，尚未在本文三案例中系統測量；第026篇為聚焦於行政處分之事實認定與效果裁量兩階段的雙機制模型，改以「時間／能力限制」作為對應之觸發條件，兩者概念上有相近之處但非直接等同，讀者可視為理論精細化過程中</w:t>
      </w:r>
      <w:r>
        <w:rPr>
          <w:rFonts w:eastAsia="標楷體" w:ascii="Times New Roman" w:hAnsi="Times New Roman"/>
          <w:b w:val="0"/>
          <w:sz w:val="24"/>
        </w:rPr>
        <w:t>的用詞調整，而非概念遭到揚棄。</w:t>
      </w:r>
    </w:p>
    <w:p w:rsidR="005C2B62" w:rsidRDefault="00ED3EB0">
      <w:pPr>
        <w:pStyle w:val="2"/>
        <w:spacing w:line="480" w:lineRule="auto" w:before="120" w:after="0"/>
        <w:ind/>
        <w:jc w:val="both"/>
      </w:pPr>
      <w:r>
        <w:rPr>
          <w:rFonts w:ascii="Times New Roman" w:hAnsi="Times New Roman" w:eastAsia="標楷體"/>
          <w:b/>
          <w:sz w:val="24"/>
        </w:rPr>
        <w:t>2.5　分析架構說明（25-3-3-4-7之獨立可讀性）</w:t>
      </w:r>
    </w:p>
    <w:p w:rsidR="005C2B62" w:rsidRDefault="00ED3EB0">
      <w:pPr>
        <w:spacing w:after="0" w:line="480" w:lineRule="auto" w:before="0"/>
        <w:ind w:firstLine="720"/>
        <w:jc w:val="both"/>
      </w:pPr>
      <w:r>
        <w:rPr>
          <w:rFonts w:eastAsia="標楷體" w:ascii="Times New Roman" w:hAnsi="Times New Roman"/>
          <w:b w:val="0"/>
          <w:sz w:val="24"/>
        </w:rPr>
        <w:t>第014篇提出25治理座標、3功能轉移、3結構效應、4治理鏈與7治理審計。為使本篇可獨立閱讀，本文僅使用並操作化三個主要座標，其餘定義與完整編碼規則置於附錄A。判定規則摘要如下：</w:t>
      </w:r>
    </w:p>
    <w:p w:rsidR="005C2B62" w:rsidRDefault="00ED3EB0">
      <w:pPr>
        <w:pStyle w:val="a4"/>
        <w:numPr>
          <w:ilvl w:val="0"/>
          <w:numId w:val="3"/>
        </w:numPr>
        <w:spacing w:after="0" w:line="480" w:lineRule="auto" w:before="0"/>
        <w:ind w:firstLine="720"/>
        <w:jc w:val="both"/>
      </w:pPr>
      <w:r>
        <w:rPr>
          <w:rFonts w:eastAsia="標楷體" w:ascii="Times New Roman" w:hAnsi="Times New Roman"/>
          <w:b w:val="0"/>
          <w:sz w:val="24"/>
        </w:rPr>
        <w:t>C2-4（政策規劃×跨組織網絡）：</w:t>
      </w:r>
      <w:proofErr w:type="spellStart"/>
      <w:r>
        <w:rPr>
          <w:rFonts w:eastAsia="標楷體" w:ascii="Times New Roman" w:hAnsi="Times New Roman"/>
          <w:b w:val="0"/>
          <w:sz w:val="24"/>
        </w:rPr>
        <w:t>核心制度設計發生在跨組織政策規劃層，執行涉及多機關協調</w:t>
      </w:r>
      <w:proofErr w:type="spellEnd"/>
      <w:r>
        <w:rPr>
          <w:rFonts w:eastAsia="標楷體" w:ascii="Times New Roman" w:hAnsi="Times New Roman"/>
          <w:b w:val="0"/>
          <w:sz w:val="24"/>
        </w:rPr>
        <w:t>。</w:t>
      </w:r>
    </w:p>
    <w:p w:rsidR="005C2B62" w:rsidRDefault="00ED3EB0">
      <w:pPr>
        <w:pStyle w:val="a4"/>
        <w:numPr>
          <w:ilvl w:val="0"/>
          <w:numId w:val="3"/>
        </w:numPr>
        <w:spacing w:after="0" w:line="480" w:lineRule="auto" w:before="0"/>
        <w:ind w:firstLine="720"/>
        <w:jc w:val="both"/>
      </w:pPr>
      <w:r>
        <w:rPr>
          <w:rFonts w:eastAsia="標楷體" w:ascii="Times New Roman" w:hAnsi="Times New Roman"/>
          <w:b w:val="0"/>
          <w:sz w:val="24"/>
        </w:rPr>
        <w:t>C3-1（決策制定×個人）：</w:t>
      </w:r>
      <w:proofErr w:type="spellStart"/>
      <w:r>
        <w:rPr>
          <w:rFonts w:eastAsia="標楷體" w:ascii="Times New Roman" w:hAnsi="Times New Roman"/>
          <w:b w:val="0"/>
          <w:sz w:val="24"/>
        </w:rPr>
        <w:t>個案准駁由個人承辦人員作成</w:t>
      </w:r>
      <w:proofErr w:type="spellEnd"/>
      <w:r>
        <w:rPr>
          <w:rFonts w:eastAsia="標楷體" w:ascii="Times New Roman" w:hAnsi="Times New Roman"/>
          <w:b w:val="0"/>
          <w:sz w:val="24"/>
        </w:rPr>
        <w:t>。</w:t>
      </w:r>
    </w:p>
    <w:p w:rsidR="005C2B62" w:rsidRDefault="00ED3EB0">
      <w:pPr>
        <w:pStyle w:val="a4"/>
        <w:numPr>
          <w:ilvl w:val="0"/>
          <w:numId w:val="3"/>
        </w:numPr>
        <w:spacing w:after="0" w:line="480" w:lineRule="auto" w:before="0"/>
        <w:ind w:firstLine="720"/>
        <w:jc w:val="both"/>
      </w:pPr>
      <w:r>
        <w:rPr>
          <w:rFonts w:eastAsia="標楷體" w:ascii="Times New Roman" w:hAnsi="Times New Roman"/>
          <w:b w:val="0"/>
          <w:sz w:val="24"/>
        </w:rPr>
        <w:t>C2-5（政策規劃×制度環境）：</w:t>
      </w:r>
      <w:proofErr w:type="spellStart"/>
      <w:r>
        <w:rPr>
          <w:rFonts w:eastAsia="標楷體" w:ascii="Times New Roman" w:hAnsi="Times New Roman"/>
          <w:b w:val="0"/>
          <w:sz w:val="24"/>
        </w:rPr>
        <w:t>緊急授權與系統性規則屬政策規劃，影響達制度環境層</w:t>
      </w:r>
      <w:proofErr w:type="spellEnd"/>
      <w:r>
        <w:rPr>
          <w:rFonts w:eastAsia="標楷體" w:ascii="Times New Roman" w:hAnsi="Times New Roman"/>
          <w:b w:val="0"/>
          <w:sz w:val="24"/>
        </w:rPr>
        <w:t>。</w:t>
      </w:r>
    </w:p>
    <w:p w:rsidR="005C2B62" w:rsidRDefault="00ED3EB0">
      <w:pPr>
        <w:spacing w:after="0" w:line="480" w:lineRule="auto" w:before="0"/>
        <w:ind w:firstLine="720"/>
        <w:jc w:val="both"/>
      </w:pPr>
      <w:r>
        <w:rPr>
          <w:rFonts w:eastAsia="標楷體" w:ascii="Times New Roman" w:hAnsi="Times New Roman"/>
          <w:b w:val="0"/>
          <w:sz w:val="24"/>
        </w:rPr>
        <w:t>為提高本</w:t>
      </w:r>
      <w:r>
        <w:rPr>
          <w:rFonts w:eastAsia="標楷體" w:ascii="Times New Roman" w:hAnsi="Times New Roman"/>
          <w:b w:val="0"/>
          <w:sz w:val="24"/>
        </w:rPr>
        <w:t>篇之獨立可讀性與可驗證性，三座標所依據之兩軸定義簡述如下（完整25座標之全部定義以第014篇附表2-1為準）：25個治理座標由5個「行政知識層次」與5個「治理分析單位」交叉構成5×5矩陣。行政知識層次（對應座標編號第一碼）依序為：環境情境（C1）、政策規劃（C2）、決策制定（C3）、組織設計（C4）、管理運作（C5）；分析單位（對應座標編號第二碼）依序為：個人（-1）、團體（-2）、組織（-3）、跨組織網絡（-4）、制度環境（-5）。本文使用之三座標分別為：C2-4即「政策規劃×跨組織網絡」之交會、C3-1</w:t>
      </w:r>
      <w:r>
        <w:rPr>
          <w:rFonts w:eastAsia="標楷體" w:ascii="Times New Roman" w:hAnsi="Times New Roman"/>
          <w:b w:val="0"/>
          <w:sz w:val="24"/>
        </w:rPr>
        <w:t>即「決策制定×個人」之交會、C2-5即「政策規劃×制度環境」之交會。此一簡述雖非取代014篇附表2-1之完整矩陣，但應足以讓讀者在不取得014篇全文的情況下，初步評估表3-1判定理由之合理性。</w:t>
      </w:r>
    </w:p>
    <w:p w:rsidR="005C2B62" w:rsidRDefault="00ED3EB0">
      <w:pPr>
        <w:spacing w:after="0" w:line="480" w:lineRule="auto" w:before="0"/>
        <w:ind w:firstLine="720"/>
        <w:jc w:val="both"/>
      </w:pPr>
      <w:r>
        <w:rPr>
          <w:rFonts w:eastAsia="標楷體" w:ascii="Times New Roman" w:hAnsi="Times New Roman"/>
          <w:b w:val="0"/>
          <w:sz w:val="24"/>
        </w:rPr>
        <w:t>一個案例可同時涉及多個座標；本文列出主要座標並說明排除相鄰座標的理由，以避免事後貼合。編碼為作者自我檢核，尚未進行獨立編碼者一致性測試，此為方法限制；此一限制對表3-</w:t>
      </w:r>
      <w:r>
        <w:rPr>
          <w:rFonts w:eastAsia="標楷體" w:ascii="Times New Roman" w:hAnsi="Times New Roman"/>
          <w:b w:val="0"/>
          <w:sz w:val="24"/>
        </w:rPr>
        <w:lastRenderedPageBreak/>
        <w:t>1之座標判定影響不小，因「核心制度設計發生在跨組織政策規劃層」等判準本身仍保留相當詮釋空間。在正式編碼者一致性測試（如計算Cohen's kappa）尚</w:t>
      </w:r>
      <w:r>
        <w:rPr>
          <w:rFonts w:eastAsia="標楷體" w:ascii="Times New Roman" w:hAnsi="Times New Roman"/>
          <w:b w:val="0"/>
          <w:sz w:val="24"/>
        </w:rPr>
        <w:t>未進行前，較可行的過渡作法是請至少一位同儕研究者依本節座標定義獨立覆核表3-1之三項判定，並於後續版本中報告覆核結果與歧異之處（即「合理性複核」而非正式一致性係數），以提升判定穩定性的可信度。</w:t>
      </w:r>
    </w:p>
    <w:p w:rsidR="005C2B62" w:rsidRDefault="00ED3EB0">
      <w:pPr>
        <w:pStyle w:val="1"/>
        <w:spacing w:line="480" w:lineRule="auto" w:before="240" w:after="0"/>
        <w:ind/>
        <w:jc w:val="left"/>
      </w:pPr>
      <w:proofErr w:type="spellStart"/>
      <w:r>
        <w:rPr>
          <w:rFonts w:ascii="Times New Roman" w:hAnsi="Times New Roman" w:eastAsia="標楷體"/>
          <w:b/>
          <w:sz w:val="28"/>
        </w:rPr>
        <w:t>第三章</w:t>
      </w:r>
      <w:proofErr w:type="spellEnd"/>
      <w:r>
        <w:rPr>
          <w:rFonts w:ascii="Times New Roman" w:hAnsi="Times New Roman" w:eastAsia="標楷體"/>
          <w:b/>
          <w:sz w:val="28"/>
        </w:rPr>
        <w:t xml:space="preserve">　</w:t>
      </w:r>
      <w:proofErr w:type="spellStart"/>
      <w:r>
        <w:rPr>
          <w:rFonts w:ascii="Times New Roman" w:hAnsi="Times New Roman" w:eastAsia="標楷體"/>
          <w:b/>
          <w:sz w:val="28"/>
        </w:rPr>
        <w:t>政策場域之制度診斷</w:t>
      </w:r>
      <w:proofErr w:type="spellEnd"/>
    </w:p>
    <w:p w:rsidR="005C2B62" w:rsidRDefault="00ED3EB0">
      <w:pPr>
        <w:spacing w:after="0" w:line="480" w:lineRule="auto" w:before="0"/>
        <w:ind w:firstLine="720"/>
        <w:jc w:val="both"/>
      </w:pPr>
      <w:r>
        <w:rPr>
          <w:rFonts w:eastAsia="標楷體" w:ascii="Times New Roman" w:hAnsi="Times New Roman"/>
          <w:b w:val="0"/>
          <w:sz w:val="24"/>
        </w:rPr>
        <w:t>表3-1列出各場域主要座標、判定理由與排除理由。所有推論均標示證據層級與信心程度。</w:t>
      </w:r>
    </w:p>
    <w:tbl>
      <w:tblPr>
        <w:tblW w:w="9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80"/>
        <w:gridCol w:w="861"/>
        <w:gridCol w:w="5540"/>
        <w:gridCol w:w="5810"/>
      </w:tblGrid>
      <w:tr w:rsidR="005C2B62">
        <w:tblPrEx>
          <w:tblCellMar>
            <w:top w:w="0" w:type="dxa"/>
            <w:bottom w:w="0" w:type="dxa"/>
          </w:tblCellMar>
        </w:tblPrEx>
        <w:tc>
          <w:tcPr>
            <w:tcW w:w="1800" w:type="dxa"/>
            <w:tcBorders>
              <w:top w:val="single" w:sz="1" w:space="0" w:color="666666"/>
              <w:left w:val="single" w:sz="1" w:space="0" w:color="666666"/>
              <w:bottom w:val="single" w:sz="1" w:space="0" w:color="666666"/>
              <w:right w:val="single" w:sz="1" w:space="0" w:color="666666"/>
            </w:tcBorders>
            <w:shd w:val="clear" w:color="auto" w:fill="E8E8E8"/>
            <w:tcMar>
              <w:top w:w="50" w:type="dxa"/>
              <w:left w:w="70" w:type="dxa"/>
              <w:bottom w:w="50" w:type="dxa"/>
              <w:right w:w="70" w:type="dxa"/>
            </w:tcMar>
          </w:tcPr>
          <w:p w:rsidR="005C2B62" w:rsidRDefault="00ED3EB0">
            <w:pPr>
              <w:spacing w:line="360" w:lineRule="auto" w:before="0" w:after="0"/>
            </w:pPr>
            <w:proofErr w:type="spellStart"/>
            <w:r>
              <w:rPr>
                <w:rFonts w:eastAsia="標楷體" w:ascii="Times New Roman" w:hAnsi="Times New Roman"/>
                <w:b/>
                <w:bCs/>
                <w:sz w:val="21"/>
                <w:szCs w:val="18"/>
              </w:rPr>
              <w:t>場域群</w:t>
            </w:r>
            <w:proofErr w:type="spellEnd"/>
          </w:p>
        </w:tc>
        <w:tc>
          <w:tcPr>
            <w:tcW w:w="1600" w:type="dxa"/>
            <w:tcBorders>
              <w:top w:val="single" w:sz="1" w:space="0" w:color="666666"/>
              <w:left w:val="single" w:sz="1" w:space="0" w:color="666666"/>
              <w:bottom w:val="single" w:sz="1" w:space="0" w:color="666666"/>
              <w:right w:val="single" w:sz="1" w:space="0" w:color="666666"/>
            </w:tcBorders>
            <w:shd w:val="clear" w:color="auto" w:fill="E8E8E8"/>
            <w:tcMar>
              <w:top w:w="50" w:type="dxa"/>
              <w:left w:w="70" w:type="dxa"/>
              <w:bottom w:w="50" w:type="dxa"/>
              <w:right w:w="70" w:type="dxa"/>
            </w:tcMar>
          </w:tcPr>
          <w:p w:rsidR="005C2B62" w:rsidRDefault="00ED3EB0">
            <w:pPr>
              <w:spacing w:line="360" w:lineRule="auto" w:before="0" w:after="0"/>
            </w:pPr>
            <w:proofErr w:type="spellStart"/>
            <w:r>
              <w:rPr>
                <w:rFonts w:eastAsia="標楷體" w:ascii="Times New Roman" w:hAnsi="Times New Roman"/>
                <w:b/>
                <w:bCs/>
                <w:sz w:val="21"/>
                <w:szCs w:val="18"/>
              </w:rPr>
              <w:t>主要座標</w:t>
            </w:r>
            <w:proofErr w:type="spellEnd"/>
          </w:p>
        </w:tc>
        <w:tc>
          <w:tcPr>
            <w:tcW w:w="3000" w:type="dxa"/>
            <w:tcBorders>
              <w:top w:val="single" w:sz="1" w:space="0" w:color="666666"/>
              <w:left w:val="single" w:sz="1" w:space="0" w:color="666666"/>
              <w:bottom w:val="single" w:sz="1" w:space="0" w:color="666666"/>
              <w:right w:val="single" w:sz="1" w:space="0" w:color="666666"/>
            </w:tcBorders>
            <w:shd w:val="clear" w:color="auto" w:fill="E8E8E8"/>
            <w:tcMar>
              <w:top w:w="50" w:type="dxa"/>
              <w:left w:w="70" w:type="dxa"/>
              <w:bottom w:w="50" w:type="dxa"/>
              <w:right w:w="70" w:type="dxa"/>
            </w:tcMar>
          </w:tcPr>
          <w:p w:rsidR="005C2B62" w:rsidRDefault="00ED3EB0">
            <w:pPr>
              <w:spacing w:line="360" w:lineRule="auto" w:before="0" w:after="0"/>
            </w:pPr>
            <w:proofErr w:type="spellStart"/>
            <w:r>
              <w:rPr>
                <w:rFonts w:eastAsia="標楷體" w:ascii="Times New Roman" w:hAnsi="Times New Roman"/>
                <w:b/>
                <w:bCs/>
                <w:sz w:val="21"/>
                <w:szCs w:val="18"/>
              </w:rPr>
              <w:t>判定理由</w:t>
            </w:r>
            <w:proofErr w:type="spellEnd"/>
          </w:p>
        </w:tc>
        <w:tc>
          <w:tcPr>
            <w:tcW w:w="2986" w:type="dxa"/>
            <w:tcBorders>
              <w:top w:val="single" w:sz="1" w:space="0" w:color="666666"/>
              <w:left w:val="single" w:sz="1" w:space="0" w:color="666666"/>
              <w:bottom w:val="single" w:sz="1" w:space="0" w:color="666666"/>
              <w:right w:val="single" w:sz="1" w:space="0" w:color="666666"/>
            </w:tcBorders>
            <w:shd w:val="clear" w:color="auto" w:fill="E8E8E8"/>
            <w:tcMar>
              <w:top w:w="50" w:type="dxa"/>
              <w:left w:w="70" w:type="dxa"/>
              <w:bottom w:w="50" w:type="dxa"/>
              <w:right w:w="70" w:type="dxa"/>
            </w:tcMar>
          </w:tcPr>
          <w:p w:rsidR="005C2B62" w:rsidRDefault="00ED3EB0">
            <w:pPr>
              <w:spacing w:line="360" w:lineRule="auto" w:before="0" w:after="0"/>
            </w:pPr>
            <w:proofErr w:type="spellStart"/>
            <w:r>
              <w:rPr>
                <w:rFonts w:eastAsia="標楷體" w:ascii="Times New Roman" w:hAnsi="Times New Roman"/>
                <w:b/>
                <w:bCs/>
                <w:sz w:val="21"/>
                <w:szCs w:val="18"/>
              </w:rPr>
              <w:t>排除相鄰座標及理由</w:t>
            </w:r>
            <w:proofErr w:type="spellEnd"/>
          </w:p>
        </w:tc>
      </w:tr>
      <w:tr w:rsidR="005C2B62">
        <w:tblPrEx>
          <w:tblCellMar>
            <w:top w:w="0" w:type="dxa"/>
            <w:bottom w:w="0" w:type="dxa"/>
          </w:tblCellMar>
        </w:tblPrEx>
        <w:tc>
          <w:tcPr>
            <w:tcW w:w="1800" w:type="dxa"/>
            <w:tcBorders>
              <w:top w:val="single" w:sz="1" w:space="0" w:color="666666"/>
              <w:left w:val="single" w:sz="1" w:space="0" w:color="666666"/>
              <w:bottom w:val="single" w:sz="1" w:space="0" w:color="666666"/>
              <w:right w:val="single" w:sz="1" w:space="0" w:color="666666"/>
            </w:tcBorders>
            <w:tcMar>
              <w:top w:w="50" w:type="dxa"/>
              <w:left w:w="70" w:type="dxa"/>
              <w:bottom w:w="50" w:type="dxa"/>
              <w:right w:w="70" w:type="dxa"/>
            </w:tcMar>
          </w:tcPr>
          <w:p w:rsidR="005C2B62" w:rsidRDefault="00ED3EB0">
            <w:pPr>
              <w:spacing w:line="360" w:lineRule="auto" w:before="0" w:after="0"/>
            </w:pPr>
            <w:proofErr w:type="spellStart"/>
            <w:r>
              <w:rPr>
                <w:rFonts w:eastAsia="標楷體" w:ascii="Times New Roman" w:hAnsi="Times New Roman"/>
                <w:sz w:val="21"/>
                <w:szCs w:val="18"/>
              </w:rPr>
              <w:t>台灣（詐欺偵測＋深偽處置</w:t>
            </w:r>
            <w:proofErr w:type="spellEnd"/>
            <w:r>
              <w:rPr>
                <w:rFonts w:eastAsia="標楷體" w:ascii="Times New Roman" w:hAnsi="Times New Roman"/>
                <w:sz w:val="21"/>
                <w:szCs w:val="18"/>
              </w:rPr>
              <w:t>）</w:t>
            </w:r>
          </w:p>
        </w:tc>
        <w:tc>
          <w:tcPr>
            <w:tcW w:w="1600" w:type="dxa"/>
            <w:tcBorders>
              <w:top w:val="single" w:sz="1" w:space="0" w:color="666666"/>
              <w:left w:val="single" w:sz="1" w:space="0" w:color="666666"/>
              <w:bottom w:val="single" w:sz="1" w:space="0" w:color="666666"/>
              <w:right w:val="single" w:sz="1" w:space="0" w:color="666666"/>
            </w:tcBorders>
            <w:tcMar>
              <w:top w:w="50" w:type="dxa"/>
              <w:left w:w="70" w:type="dxa"/>
              <w:bottom w:w="50" w:type="dxa"/>
              <w:right w:w="70" w:type="dxa"/>
            </w:tcMar>
          </w:tcPr>
          <w:p w:rsidR="005C2B62" w:rsidRDefault="00ED3EB0">
            <w:pPr>
              <w:spacing w:line="360" w:lineRule="auto" w:before="0" w:after="0"/>
            </w:pPr>
            <w:r>
              <w:rPr>
                <w:rFonts w:eastAsia="標楷體" w:ascii="Times New Roman" w:hAnsi="Times New Roman"/>
                <w:sz w:val="21"/>
                <w:szCs w:val="18"/>
              </w:rPr>
              <w:t>C2-4</w:t>
            </w:r>
          </w:p>
        </w:tc>
        <w:tc>
          <w:tcPr>
            <w:tcW w:w="3000" w:type="dxa"/>
            <w:tcBorders>
              <w:top w:val="single" w:sz="1" w:space="0" w:color="666666"/>
              <w:left w:val="single" w:sz="1" w:space="0" w:color="666666"/>
              <w:bottom w:val="single" w:sz="1" w:space="0" w:color="666666"/>
              <w:right w:val="single" w:sz="1" w:space="0" w:color="666666"/>
            </w:tcBorders>
            <w:tcMar>
              <w:top w:w="50" w:type="dxa"/>
              <w:left w:w="70" w:type="dxa"/>
              <w:bottom w:w="50" w:type="dxa"/>
              <w:right w:w="70" w:type="dxa"/>
            </w:tcMar>
          </w:tcPr>
          <w:p w:rsidR="005C2B62" w:rsidRDefault="00ED3EB0">
            <w:pPr>
              <w:spacing w:line="360" w:lineRule="auto" w:before="0" w:after="0"/>
            </w:pPr>
            <w:proofErr w:type="spellStart"/>
            <w:r>
              <w:rPr>
                <w:rFonts w:eastAsia="標楷體" w:ascii="Times New Roman" w:hAnsi="Times New Roman"/>
                <w:sz w:val="21"/>
                <w:szCs w:val="18"/>
              </w:rPr>
              <w:t>跨部會平台與政策工具設計屬政策規劃層；執行涉及多機關協調網絡</w:t>
            </w:r>
            <w:proofErr w:type="spellEnd"/>
          </w:p>
        </w:tc>
        <w:tc>
          <w:tcPr>
            <w:tcW w:w="2986" w:type="dxa"/>
            <w:tcBorders>
              <w:top w:val="single" w:sz="1" w:space="0" w:color="666666"/>
              <w:left w:val="single" w:sz="1" w:space="0" w:color="666666"/>
              <w:bottom w:val="single" w:sz="1" w:space="0" w:color="666666"/>
              <w:right w:val="single" w:sz="1" w:space="0" w:color="666666"/>
            </w:tcBorders>
            <w:tcMar>
              <w:top w:w="50" w:type="dxa"/>
              <w:left w:w="70" w:type="dxa"/>
              <w:bottom w:w="50" w:type="dxa"/>
              <w:right w:w="70" w:type="dxa"/>
            </w:tcMar>
          </w:tcPr>
          <w:p w:rsidR="005C2B62" w:rsidRDefault="00ED3EB0">
            <w:pPr>
              <w:spacing w:line="360" w:lineRule="auto" w:before="0" w:after="0"/>
            </w:pPr>
            <w:r>
              <w:rPr>
                <w:rFonts w:eastAsia="標楷體" w:ascii="Times New Roman" w:hAnsi="Times New Roman"/>
                <w:sz w:val="21"/>
                <w:szCs w:val="18"/>
              </w:rPr>
              <w:t>排除C5-1為唯一主座標：雖有第一線核決，但核心制度設計在跨組織政策規劃層</w:t>
            </w:r>
          </w:p>
        </w:tc>
      </w:tr>
      <w:tr w:rsidR="005C2B62">
        <w:tblPrEx>
          <w:tblCellMar>
            <w:top w:w="0" w:type="dxa"/>
            <w:bottom w:w="0" w:type="dxa"/>
          </w:tblCellMar>
        </w:tblPrEx>
        <w:tc>
          <w:tcPr>
            <w:tcW w:w="1800" w:type="dxa"/>
            <w:tcBorders>
              <w:top w:val="single" w:sz="1" w:space="0" w:color="666666"/>
              <w:left w:val="single" w:sz="1" w:space="0" w:color="666666"/>
              <w:bottom w:val="single" w:sz="1" w:space="0" w:color="666666"/>
              <w:right w:val="single" w:sz="1" w:space="0" w:color="666666"/>
            </w:tcBorders>
            <w:tcMar>
              <w:top w:w="50" w:type="dxa"/>
              <w:left w:w="70" w:type="dxa"/>
              <w:bottom w:w="50" w:type="dxa"/>
              <w:right w:w="70" w:type="dxa"/>
            </w:tcMar>
          </w:tcPr>
          <w:p w:rsidR="005C2B62" w:rsidRDefault="00ED3EB0">
            <w:pPr>
              <w:spacing w:line="360" w:lineRule="auto" w:before="0" w:after="0"/>
            </w:pPr>
            <w:proofErr w:type="spellStart"/>
            <w:r>
              <w:rPr>
                <w:rFonts w:eastAsia="標楷體" w:ascii="Times New Roman" w:hAnsi="Times New Roman"/>
                <w:sz w:val="21"/>
                <w:szCs w:val="18"/>
              </w:rPr>
              <w:t>日本（補助金＋福祉資格</w:t>
            </w:r>
            <w:proofErr w:type="spellEnd"/>
            <w:r>
              <w:rPr>
                <w:rFonts w:eastAsia="標楷體" w:ascii="Times New Roman" w:hAnsi="Times New Roman"/>
                <w:sz w:val="21"/>
                <w:szCs w:val="18"/>
              </w:rPr>
              <w:t>）</w:t>
            </w:r>
          </w:p>
        </w:tc>
        <w:tc>
          <w:tcPr>
            <w:tcW w:w="1600" w:type="dxa"/>
            <w:tcBorders>
              <w:top w:val="single" w:sz="1" w:space="0" w:color="666666"/>
              <w:left w:val="single" w:sz="1" w:space="0" w:color="666666"/>
              <w:bottom w:val="single" w:sz="1" w:space="0" w:color="666666"/>
              <w:right w:val="single" w:sz="1" w:space="0" w:color="666666"/>
            </w:tcBorders>
            <w:tcMar>
              <w:top w:w="50" w:type="dxa"/>
              <w:left w:w="70" w:type="dxa"/>
              <w:bottom w:w="50" w:type="dxa"/>
              <w:right w:w="70" w:type="dxa"/>
            </w:tcMar>
          </w:tcPr>
          <w:p w:rsidR="005C2B62" w:rsidRDefault="00ED3EB0">
            <w:pPr>
              <w:spacing w:line="360" w:lineRule="auto" w:before="0" w:after="0"/>
            </w:pPr>
            <w:r>
              <w:rPr>
                <w:rFonts w:eastAsia="標楷體" w:ascii="Times New Roman" w:hAnsi="Times New Roman"/>
                <w:sz w:val="21"/>
                <w:szCs w:val="18"/>
              </w:rPr>
              <w:t>C3-1</w:t>
            </w:r>
          </w:p>
        </w:tc>
        <w:tc>
          <w:tcPr>
            <w:tcW w:w="3000" w:type="dxa"/>
            <w:tcBorders>
              <w:top w:val="single" w:sz="1" w:space="0" w:color="666666"/>
              <w:left w:val="single" w:sz="1" w:space="0" w:color="666666"/>
              <w:bottom w:val="single" w:sz="1" w:space="0" w:color="666666"/>
              <w:right w:val="single" w:sz="1" w:space="0" w:color="666666"/>
            </w:tcBorders>
            <w:tcMar>
              <w:top w:w="50" w:type="dxa"/>
              <w:left w:w="70" w:type="dxa"/>
              <w:bottom w:w="50" w:type="dxa"/>
              <w:right w:w="70" w:type="dxa"/>
            </w:tcMar>
          </w:tcPr>
          <w:p w:rsidR="005C2B62" w:rsidRDefault="00ED3EB0">
            <w:pPr>
              <w:spacing w:line="360" w:lineRule="auto" w:before="0" w:after="0"/>
            </w:pPr>
            <w:proofErr w:type="spellStart"/>
            <w:r>
              <w:rPr>
                <w:rFonts w:eastAsia="標楷體" w:ascii="Times New Roman" w:hAnsi="Times New Roman"/>
                <w:sz w:val="21"/>
                <w:szCs w:val="18"/>
              </w:rPr>
              <w:t>個案准駁決定由個人承辦人員作成，屬決策制定×個人層級</w:t>
            </w:r>
            <w:proofErr w:type="spellEnd"/>
          </w:p>
        </w:tc>
        <w:tc>
          <w:tcPr>
            <w:tcW w:w="2986" w:type="dxa"/>
            <w:tcBorders>
              <w:top w:val="single" w:sz="1" w:space="0" w:color="666666"/>
              <w:left w:val="single" w:sz="1" w:space="0" w:color="666666"/>
              <w:bottom w:val="single" w:sz="1" w:space="0" w:color="666666"/>
              <w:right w:val="single" w:sz="1" w:space="0" w:color="666666"/>
            </w:tcBorders>
            <w:tcMar>
              <w:top w:w="50" w:type="dxa"/>
              <w:left w:w="70" w:type="dxa"/>
              <w:bottom w:w="50" w:type="dxa"/>
              <w:right w:w="70" w:type="dxa"/>
            </w:tcMar>
          </w:tcPr>
          <w:p w:rsidR="005C2B62" w:rsidRDefault="00ED3EB0">
            <w:pPr>
              <w:spacing w:line="360" w:lineRule="auto" w:before="0" w:after="0"/>
            </w:pPr>
            <w:r>
              <w:rPr>
                <w:rFonts w:eastAsia="標楷體" w:ascii="Times New Roman" w:hAnsi="Times New Roman"/>
                <w:sz w:val="21"/>
                <w:szCs w:val="18"/>
              </w:rPr>
              <w:t>排除C5-3為唯一主座標：組織流程重要，但斷裂核心發生在個案判斷環節</w:t>
            </w:r>
          </w:p>
        </w:tc>
      </w:tr>
      <w:tr w:rsidR="005C2B62">
        <w:tblPrEx>
          <w:tblCellMar>
            <w:top w:w="0" w:type="dxa"/>
            <w:bottom w:w="0" w:type="dxa"/>
          </w:tblCellMar>
        </w:tblPrEx>
        <w:tc>
          <w:tcPr>
            <w:tcW w:w="1800" w:type="dxa"/>
            <w:tcBorders>
              <w:top w:val="single" w:sz="1" w:space="0" w:color="666666"/>
              <w:left w:val="single" w:sz="1" w:space="0" w:color="666666"/>
              <w:bottom w:val="single" w:sz="1" w:space="0" w:color="666666"/>
              <w:right w:val="single" w:sz="1" w:space="0" w:color="666666"/>
            </w:tcBorders>
            <w:tcMar>
              <w:top w:w="50" w:type="dxa"/>
              <w:left w:w="70" w:type="dxa"/>
              <w:bottom w:w="50" w:type="dxa"/>
              <w:right w:w="70" w:type="dxa"/>
            </w:tcMar>
          </w:tcPr>
          <w:p w:rsidR="005C2B62" w:rsidRDefault="00ED3EB0">
            <w:pPr>
              <w:spacing w:line="360" w:lineRule="auto" w:before="0" w:after="0"/>
            </w:pPr>
            <w:proofErr w:type="spellStart"/>
            <w:r>
              <w:rPr>
                <w:rFonts w:eastAsia="標楷體" w:ascii="Times New Roman" w:hAnsi="Times New Roman"/>
                <w:sz w:val="21"/>
                <w:szCs w:val="18"/>
              </w:rPr>
              <w:t>韓國（深偽下架＋治安預測</w:t>
            </w:r>
            <w:proofErr w:type="spellEnd"/>
            <w:r>
              <w:rPr>
                <w:rFonts w:eastAsia="標楷體" w:ascii="Times New Roman" w:hAnsi="Times New Roman"/>
                <w:sz w:val="21"/>
                <w:szCs w:val="18"/>
              </w:rPr>
              <w:t>）</w:t>
            </w:r>
          </w:p>
        </w:tc>
        <w:tc>
          <w:tcPr>
            <w:tcW w:w="1600" w:type="dxa"/>
            <w:tcBorders>
              <w:top w:val="single" w:sz="1" w:space="0" w:color="666666"/>
              <w:left w:val="single" w:sz="1" w:space="0" w:color="666666"/>
              <w:bottom w:val="single" w:sz="1" w:space="0" w:color="666666"/>
              <w:right w:val="single" w:sz="1" w:space="0" w:color="666666"/>
            </w:tcBorders>
            <w:tcMar>
              <w:top w:w="50" w:type="dxa"/>
              <w:left w:w="70" w:type="dxa"/>
              <w:bottom w:w="50" w:type="dxa"/>
              <w:right w:w="70" w:type="dxa"/>
            </w:tcMar>
          </w:tcPr>
          <w:p w:rsidR="005C2B62" w:rsidRDefault="00ED3EB0">
            <w:pPr>
              <w:spacing w:line="360" w:lineRule="auto" w:before="0" w:after="0"/>
            </w:pPr>
            <w:r>
              <w:rPr>
                <w:rFonts w:eastAsia="標楷體" w:ascii="Times New Roman" w:hAnsi="Times New Roman"/>
                <w:sz w:val="21"/>
                <w:szCs w:val="18"/>
              </w:rPr>
              <w:t>C2-5</w:t>
            </w:r>
          </w:p>
        </w:tc>
        <w:tc>
          <w:tcPr>
            <w:tcW w:w="3000" w:type="dxa"/>
            <w:tcBorders>
              <w:top w:val="single" w:sz="1" w:space="0" w:color="666666"/>
              <w:left w:val="single" w:sz="1" w:space="0" w:color="666666"/>
              <w:bottom w:val="single" w:sz="1" w:space="0" w:color="666666"/>
              <w:right w:val="single" w:sz="1" w:space="0" w:color="666666"/>
            </w:tcBorders>
            <w:tcMar>
              <w:top w:w="50" w:type="dxa"/>
              <w:left w:w="70" w:type="dxa"/>
              <w:bottom w:w="50" w:type="dxa"/>
              <w:right w:w="70" w:type="dxa"/>
            </w:tcMar>
          </w:tcPr>
          <w:p w:rsidR="005C2B62" w:rsidRDefault="00ED3EB0">
            <w:pPr>
              <w:spacing w:line="360" w:lineRule="auto" w:before="0" w:after="0"/>
            </w:pPr>
            <w:proofErr w:type="spellStart"/>
            <w:r>
              <w:rPr>
                <w:rFonts w:eastAsia="標楷體" w:ascii="Times New Roman" w:hAnsi="Times New Roman"/>
                <w:sz w:val="21"/>
                <w:szCs w:val="18"/>
              </w:rPr>
              <w:t>緊急授權與系統性規則屬政策規劃，影響範圍達制度環境</w:t>
            </w:r>
            <w:proofErr w:type="spellEnd"/>
          </w:p>
        </w:tc>
        <w:tc>
          <w:tcPr>
            <w:tcW w:w="2986" w:type="dxa"/>
            <w:tcBorders>
              <w:top w:val="single" w:sz="1" w:space="0" w:color="666666"/>
              <w:left w:val="single" w:sz="1" w:space="0" w:color="666666"/>
              <w:bottom w:val="single" w:sz="1" w:space="0" w:color="666666"/>
              <w:right w:val="single" w:sz="1" w:space="0" w:color="666666"/>
            </w:tcBorders>
            <w:tcMar>
              <w:top w:w="50" w:type="dxa"/>
              <w:left w:w="70" w:type="dxa"/>
              <w:bottom w:w="50" w:type="dxa"/>
              <w:right w:w="70" w:type="dxa"/>
            </w:tcMar>
          </w:tcPr>
          <w:p w:rsidR="005C2B62" w:rsidRDefault="00ED3EB0">
            <w:pPr>
              <w:spacing w:line="360" w:lineRule="auto" w:before="0" w:after="0"/>
            </w:pPr>
            <w:r>
              <w:rPr>
                <w:rFonts w:eastAsia="標楷體" w:ascii="Times New Roman" w:hAnsi="Times New Roman"/>
                <w:sz w:val="21"/>
                <w:szCs w:val="18"/>
              </w:rPr>
              <w:t>排除C4-2為唯一主座標：組織設計有變化，但關鍵張力來自制度性緊急授權框架</w:t>
            </w:r>
          </w:p>
        </w:tc>
      </w:tr>
    </w:tbl>
    <w:p w:rsidR="005C2B62" w:rsidRDefault="00ED3EB0">
      <w:pPr>
        <w:pStyle w:val="3"/>
        <w:spacing w:line="480" w:lineRule="auto" w:before="120" w:after="0"/>
        <w:ind/>
        <w:jc w:val="both"/>
      </w:pPr>
      <w:r>
        <w:rPr>
          <w:rFonts w:ascii="Times New Roman" w:hAnsi="Times New Roman" w:eastAsia="標楷體"/>
          <w:b/>
          <w:sz w:val="24"/>
        </w:rPr>
        <w:t xml:space="preserve">3.1　</w:t>
      </w:r>
      <w:proofErr w:type="spellStart"/>
      <w:r>
        <w:rPr>
          <w:rFonts w:ascii="Times New Roman" w:hAnsi="Times New Roman" w:eastAsia="標楷體"/>
          <w:b/>
          <w:sz w:val="24"/>
        </w:rPr>
        <w:t>台灣場域群</w:t>
      </w:r>
      <w:proofErr w:type="spellEnd"/>
    </w:p>
    <w:p w:rsidR="005C2B62" w:rsidRDefault="00ED3EB0">
      <w:pPr>
        <w:spacing w:after="0" w:line="480" w:lineRule="auto" w:before="0"/>
        <w:ind w:firstLine="720"/>
        <w:jc w:val="both"/>
      </w:pPr>
      <w:r>
        <w:rPr>
          <w:rFonts w:eastAsia="標楷體" w:ascii="Times New Roman" w:hAnsi="Times New Roman"/>
          <w:b w:val="0"/>
          <w:sz w:val="24"/>
        </w:rPr>
        <w:t>【</w:t>
      </w:r>
      <w:proofErr w:type="spellStart"/>
      <w:r>
        <w:rPr>
          <w:rFonts w:eastAsia="標楷體" w:ascii="Times New Roman" w:hAnsi="Times New Roman"/>
          <w:b w:val="0"/>
          <w:sz w:val="24"/>
        </w:rPr>
        <w:t>文件證據／B</w:t>
      </w:r>
      <w:proofErr w:type="spellEnd"/>
      <w:r>
        <w:rPr>
          <w:rFonts w:eastAsia="標楷體" w:ascii="Times New Roman" w:hAnsi="Times New Roman"/>
          <w:b w:val="0"/>
          <w:sz w:val="24"/>
        </w:rPr>
        <w:t>–</w:t>
      </w:r>
      <w:proofErr w:type="spellStart"/>
      <w:r>
        <w:rPr>
          <w:rFonts w:eastAsia="標楷體" w:ascii="Times New Roman" w:hAnsi="Times New Roman"/>
          <w:b w:val="0"/>
          <w:sz w:val="24"/>
        </w:rPr>
        <w:t>C級】公開政策文件顯示跨部會數據整合與數位聯防機制持續推進（Yu</w:t>
      </w:r>
      <w:proofErr w:type="spellEnd"/>
      <w:r>
        <w:rPr>
          <w:rFonts w:eastAsia="標楷體" w:ascii="Times New Roman" w:hAnsi="Times New Roman"/>
          <w:b w:val="0"/>
          <w:sz w:val="24"/>
        </w:rPr>
        <w:t xml:space="preserve"> &amp; Lien, 2020 提供背景討論；具體系統部署細節與內部操作指引多屬未公開）。【制度推論／D級，信心中低】跨組織網絡在政策規劃層快速推動技術防禦時（此類跨機關協作治理模式可參照Ansell &amp; Gash, 2008），第一線承辦人員的程序裁量空間可能相對受限；形式核章與理由附記可能完整，但實質內容高度依賴模型輸出的風險存在。【待補強】需A級證據（稽核報告、行政決定紀錄、申訴結果）才能提高信心。</w:t>
      </w:r>
    </w:p>
    <w:p w:rsidR="005C2B62" w:rsidRDefault="00ED3EB0">
      <w:pPr>
        <w:pStyle w:val="3"/>
        <w:spacing w:line="480" w:lineRule="auto" w:before="120" w:after="0"/>
        <w:ind/>
        <w:jc w:val="both"/>
      </w:pPr>
      <w:r>
        <w:rPr>
          <w:rFonts w:ascii="Times New Roman" w:hAnsi="Times New Roman" w:eastAsia="標楷體"/>
          <w:b/>
          <w:sz w:val="24"/>
        </w:rPr>
        <w:t xml:space="preserve">3.2　</w:t>
      </w:r>
      <w:proofErr w:type="spellStart"/>
      <w:r>
        <w:rPr>
          <w:rFonts w:ascii="Times New Roman" w:hAnsi="Times New Roman" w:eastAsia="標楷體"/>
          <w:b/>
          <w:sz w:val="24"/>
        </w:rPr>
        <w:t>日本場域群</w:t>
      </w:r>
      <w:proofErr w:type="spellEnd"/>
    </w:p>
    <w:p w:rsidR="005C2B62" w:rsidRDefault="00ED3EB0">
      <w:pPr>
        <w:spacing w:after="0" w:line="480" w:lineRule="auto" w:before="0"/>
        <w:ind w:firstLine="720"/>
        <w:jc w:val="both"/>
      </w:pPr>
      <w:r>
        <w:rPr>
          <w:rFonts w:eastAsia="標楷體" w:ascii="Times New Roman" w:hAnsi="Times New Roman"/>
          <w:b w:val="0"/>
          <w:sz w:val="24"/>
        </w:rPr>
        <w:t>【文件證據／B–C級】核章（決裁）流程在行政實務中持續存在，為可觀察的制度特徵。【制度推論／D級，信心中低】在缺乏充分說明機制、時間與異議保護的情況下，AI建議可能成為預設規範，核章趨向形式化。此與「為效率而移除人工覆核」不同，更接近「保留人工形式、實質放棄判斷」。【待補強】需個案層級的修改率、否決率與理由附記內容分析。</w:t>
      </w:r>
    </w:p>
    <w:p w:rsidR="005C2B62" w:rsidRDefault="00ED3EB0">
      <w:pPr>
        <w:pStyle w:val="3"/>
        <w:spacing w:line="480" w:lineRule="auto" w:before="120" w:after="0"/>
        <w:ind/>
        <w:jc w:val="both"/>
      </w:pPr>
      <w:r>
        <w:rPr>
          <w:rFonts w:ascii="Times New Roman" w:hAnsi="Times New Roman" w:eastAsia="標楷體"/>
          <w:b/>
          <w:sz w:val="24"/>
        </w:rPr>
        <w:t xml:space="preserve">3.3　</w:t>
      </w:r>
      <w:proofErr w:type="spellStart"/>
      <w:r>
        <w:rPr>
          <w:rFonts w:ascii="Times New Roman" w:hAnsi="Times New Roman" w:eastAsia="標楷體"/>
          <w:b/>
          <w:sz w:val="24"/>
        </w:rPr>
        <w:t>韓國場域群</w:t>
      </w:r>
      <w:proofErr w:type="spellEnd"/>
    </w:p>
    <w:p w:rsidR="005C2B62" w:rsidRDefault="00ED3EB0">
      <w:pPr>
        <w:spacing w:after="0" w:line="480" w:lineRule="auto" w:before="0"/>
        <w:ind w:firstLine="720"/>
        <w:jc w:val="both"/>
      </w:pPr>
      <w:r>
        <w:rPr>
          <w:rFonts w:eastAsia="標楷體" w:ascii="Times New Roman" w:hAnsi="Times New Roman"/>
          <w:b w:val="0"/>
          <w:sz w:val="24"/>
        </w:rPr>
        <w:t>【</w:t>
      </w:r>
      <w:proofErr w:type="spellStart"/>
      <w:r>
        <w:rPr>
          <w:rFonts w:eastAsia="標楷體" w:ascii="Times New Roman" w:hAnsi="Times New Roman"/>
          <w:b w:val="0"/>
          <w:sz w:val="24"/>
        </w:rPr>
        <w:t>文件證據／B級】OECD數位政府審查指出韓國在緊急事件與高風險演算法部署上具有較強的頂層授權與執行能力（OECD</w:t>
      </w:r>
      <w:proofErr w:type="spellEnd"/>
      <w:r>
        <w:rPr>
          <w:rFonts w:eastAsia="標楷體" w:ascii="Times New Roman" w:hAnsi="Times New Roman"/>
          <w:b w:val="0"/>
          <w:sz w:val="24"/>
        </w:rPr>
        <w:t>, 2025）。【制度推論／D級，信心中】追求回應速度</w:t>
      </w:r>
      <w:r>
        <w:rPr>
          <w:rFonts w:eastAsia="標楷體" w:ascii="Times New Roman" w:hAnsi="Times New Roman"/>
          <w:b w:val="0"/>
          <w:sz w:val="24"/>
        </w:rPr>
        <w:t>的緊急治理可能壓縮法律程序明確性；真實性基礎設施的快速部署需求與程序保障之間存在張力。【待補強】需具體授權法規、失效機制與</w:t>
      </w:r>
      <w:r>
        <w:rPr>
          <w:rFonts w:eastAsia="標楷體" w:ascii="Times New Roman" w:hAnsi="Times New Roman"/>
          <w:b w:val="0"/>
          <w:sz w:val="24"/>
        </w:rPr>
        <w:lastRenderedPageBreak/>
        <w:t>救濟實務的A級證據。</w:t>
      </w:r>
    </w:p>
    <w:p w:rsidR="005C2B62" w:rsidRDefault="00ED3EB0">
      <w:pPr>
        <w:pStyle w:val="3"/>
        <w:spacing w:line="480" w:lineRule="auto" w:before="120" w:after="0"/>
        <w:ind/>
        <w:jc w:val="both"/>
      </w:pPr>
      <w:r>
        <w:rPr>
          <w:rFonts w:ascii="Times New Roman" w:hAnsi="Times New Roman" w:eastAsia="標楷體"/>
          <w:b/>
          <w:sz w:val="24"/>
        </w:rPr>
        <w:t xml:space="preserve">3.4　</w:t>
      </w:r>
      <w:proofErr w:type="spellStart"/>
      <w:r>
        <w:rPr>
          <w:rFonts w:ascii="Times New Roman" w:hAnsi="Times New Roman" w:eastAsia="標楷體"/>
          <w:b/>
          <w:sz w:val="24"/>
        </w:rPr>
        <w:t>反例與負案例的必要性</w:t>
      </w:r>
      <w:proofErr w:type="spellEnd"/>
    </w:p>
    <w:p w:rsidR="005C2B62" w:rsidRDefault="00ED3EB0">
      <w:pPr>
        <w:spacing w:after="0" w:line="480" w:lineRule="auto" w:before="0"/>
        <w:ind w:firstLine="720"/>
        <w:jc w:val="both"/>
      </w:pPr>
      <w:r>
        <w:rPr>
          <w:rFonts w:eastAsia="標楷體" w:ascii="Times New Roman" w:hAnsi="Times New Roman"/>
          <w:b w:val="0"/>
          <w:sz w:val="24"/>
        </w:rPr>
        <w:t>若要主張「形式保障可能失效」，必須同時尋找形式保障確實發揮作用的案例，例如：人工覆核成功否決AI建議、個案說明促成模型修正、申訴程序有效改變行政結果、審計機關發現並糾正模型錯誤。目前本文尚未系統蒐集此類負案例，存在確認偏誤風險。後續研究應優先補充，以檢驗邊界條件。  此外需正視一項研究設計限制：本文三案例不僅政策領域不同（詐欺偵測、補助</w:t>
      </w:r>
      <w:r>
        <w:rPr>
          <w:rFonts w:eastAsia="標楷體" w:ascii="Times New Roman" w:hAnsi="Times New Roman"/>
          <w:b w:val="0"/>
          <w:sz w:val="24"/>
        </w:rPr>
        <w:t>資格、深偽治安），受影響權利類型與決策後果亦不相同，因此即使三案例均觀察到形式—實質脫鉤的跡象，也無法排除此僅為三個不同政策領域各自產生類似現象的巧合，而非「同一制度機制」在不同場域重複出現的證據；本文對此抱持開放態度，將現階段研究定位為「存在性證明」（現象在多元場域皆有可能出現），而非機制之嚴格檢驗。若要更嚴謹地分離「國家制度」與「政策領域」兩種可能的解釋來源，理想的後續設計應在同一國家內部選擇兩個高度相似的政策領域進行對照（例如：在台灣同時比較詐欺偵測與另一個性質相近的AI輔助決策領域），以檢驗同一國家</w:t>
      </w:r>
      <w:r>
        <w:rPr>
          <w:rFonts w:eastAsia="標楷體" w:ascii="Times New Roman" w:hAnsi="Times New Roman"/>
          <w:b w:val="0"/>
          <w:sz w:val="24"/>
        </w:rPr>
        <w:t>、不同領域是否呈現相同或不同的脫鉤型態；亦可反向操作，比較不同國家、相同政策領域（如三國皆有的補助資格審查）以分離領域效應。此一比較設計上的取捨，建議留待第026篇之三階段實證策略（尤其文官情境實驗之控制變項設計）進一步處理。</w:t>
      </w:r>
    </w:p>
    <w:p w:rsidR="005C2B62" w:rsidRDefault="00ED3EB0">
      <w:pPr>
        <w:pStyle w:val="1"/>
        <w:spacing w:line="480" w:lineRule="auto" w:before="240" w:after="0"/>
        <w:ind/>
        <w:jc w:val="left"/>
      </w:pPr>
      <w:proofErr w:type="spellStart"/>
      <w:r>
        <w:rPr>
          <w:rFonts w:ascii="Times New Roman" w:hAnsi="Times New Roman" w:eastAsia="標楷體"/>
          <w:b/>
          <w:sz w:val="28"/>
        </w:rPr>
        <w:t>第四章</w:t>
      </w:r>
      <w:proofErr w:type="spellEnd"/>
      <w:r>
        <w:rPr>
          <w:rFonts w:ascii="Times New Roman" w:hAnsi="Times New Roman" w:eastAsia="標楷體"/>
          <w:b/>
          <w:sz w:val="28"/>
        </w:rPr>
        <w:t xml:space="preserve">　</w:t>
      </w:r>
      <w:proofErr w:type="spellStart"/>
      <w:r>
        <w:rPr>
          <w:rFonts w:ascii="Times New Roman" w:hAnsi="Times New Roman" w:eastAsia="標楷體"/>
          <w:b/>
          <w:sz w:val="28"/>
        </w:rPr>
        <w:t>形式保障與實質治理功能脫鉤：概念層次與分析命題</w:t>
      </w:r>
      <w:proofErr w:type="spellEnd"/>
    </w:p>
    <w:p w:rsidR="005C2B62" w:rsidRDefault="00ED3EB0">
      <w:pPr>
        <w:pStyle w:val="2"/>
        <w:spacing w:line="480" w:lineRule="auto" w:before="120" w:after="0"/>
        <w:ind/>
        <w:jc w:val="both"/>
      </w:pPr>
      <w:r>
        <w:rPr>
          <w:rFonts w:ascii="Times New Roman" w:hAnsi="Times New Roman" w:eastAsia="標楷體"/>
          <w:b/>
          <w:sz w:val="24"/>
        </w:rPr>
        <w:t xml:space="preserve">4.1　</w:t>
      </w:r>
      <w:proofErr w:type="spellStart"/>
      <w:r>
        <w:rPr>
          <w:rFonts w:ascii="Times New Roman" w:hAnsi="Times New Roman" w:eastAsia="標楷體"/>
          <w:b/>
          <w:sz w:val="24"/>
        </w:rPr>
        <w:t>概念層次圖</w:t>
      </w:r>
      <w:proofErr w:type="spellEnd"/>
    </w:p>
    <w:p w:rsidR="005C2B62" w:rsidRDefault="00ED3EB0">
      <w:pPr>
        <w:spacing w:after="0" w:line="480" w:lineRule="auto" w:before="0"/>
        <w:ind w:firstLine="720"/>
        <w:jc w:val="both"/>
      </w:pPr>
      <w:proofErr w:type="spellStart"/>
      <w:r>
        <w:rPr>
          <w:rFonts w:eastAsia="標楷體" w:ascii="Times New Roman" w:hAnsi="Times New Roman"/>
          <w:b w:val="0"/>
          <w:sz w:val="24"/>
        </w:rPr>
        <w:t>為釐清相近表述的關係，本文建立如下概念層次</w:t>
      </w:r>
      <w:proofErr w:type="spellEnd"/>
      <w:r>
        <w:rPr>
          <w:rFonts w:eastAsia="標楷體" w:ascii="Times New Roman" w:hAnsi="Times New Roman"/>
          <w:b w:val="0"/>
          <w:sz w:val="24"/>
        </w:rPr>
        <w:t>：</w:t>
      </w:r>
    </w:p>
    <w:p w:rsidR="005C2B62" w:rsidRDefault="00ED3EB0">
      <w:pPr>
        <w:pStyle w:val="a4"/>
        <w:numPr>
          <w:ilvl w:val="0"/>
          <w:numId w:val="4"/>
        </w:numPr>
        <w:spacing w:after="0" w:line="480" w:lineRule="auto" w:before="0"/>
        <w:ind w:firstLine="720"/>
        <w:jc w:val="both"/>
      </w:pPr>
      <w:proofErr w:type="spellStart"/>
      <w:r>
        <w:rPr>
          <w:rFonts w:eastAsia="標楷體" w:ascii="Times New Roman" w:hAnsi="Times New Roman"/>
          <w:b w:val="0"/>
          <w:sz w:val="24"/>
        </w:rPr>
        <w:t>上位概念：形式保障與實質治理功能脫鉤（Formal</w:t>
      </w:r>
      <w:proofErr w:type="spellEnd"/>
      <w:r>
        <w:rPr>
          <w:rFonts w:eastAsia="標楷體" w:ascii="Times New Roman" w:hAnsi="Times New Roman"/>
          <w:b w:val="0"/>
          <w:sz w:val="24"/>
        </w:rPr>
        <w:t>–Substantive Decoupling）。</w:t>
      </w:r>
    </w:p>
    <w:p w:rsidR="005C2B62" w:rsidRDefault="00ED3EB0">
      <w:pPr>
        <w:pStyle w:val="a4"/>
        <w:numPr>
          <w:ilvl w:val="0"/>
          <w:numId w:val="4"/>
        </w:numPr>
        <w:spacing w:after="0" w:line="480" w:lineRule="auto" w:before="0"/>
        <w:ind w:firstLine="720"/>
        <w:jc w:val="both"/>
      </w:pPr>
      <w:proofErr w:type="spellStart"/>
      <w:r>
        <w:rPr>
          <w:rFonts w:eastAsia="標楷體" w:ascii="Times New Roman" w:hAnsi="Times New Roman"/>
          <w:b w:val="0"/>
          <w:sz w:val="24"/>
        </w:rPr>
        <w:t>三種表現型態（結果層</w:t>
      </w:r>
      <w:proofErr w:type="spellEnd"/>
      <w:r>
        <w:rPr>
          <w:rFonts w:eastAsia="標楷體" w:ascii="Times New Roman" w:hAnsi="Times New Roman"/>
          <w:b w:val="0"/>
          <w:sz w:val="24"/>
        </w:rPr>
        <w:t xml:space="preserve">）：(a) </w:t>
      </w:r>
      <w:proofErr w:type="spellStart"/>
      <w:r>
        <w:rPr>
          <w:rFonts w:eastAsia="標楷體" w:ascii="Times New Roman" w:hAnsi="Times New Roman"/>
          <w:b w:val="0"/>
          <w:sz w:val="24"/>
        </w:rPr>
        <w:t>形式合法／實質黑箱</w:t>
      </w:r>
      <w:proofErr w:type="spellEnd"/>
      <w:r>
        <w:rPr>
          <w:rFonts w:eastAsia="標楷體" w:ascii="Times New Roman" w:hAnsi="Times New Roman"/>
          <w:b w:val="0"/>
          <w:sz w:val="24"/>
        </w:rPr>
        <w:t xml:space="preserve">；(b) </w:t>
      </w:r>
      <w:proofErr w:type="spellStart"/>
      <w:r>
        <w:rPr>
          <w:rFonts w:eastAsia="標楷體" w:ascii="Times New Roman" w:hAnsi="Times New Roman"/>
          <w:b w:val="0"/>
          <w:sz w:val="24"/>
        </w:rPr>
        <w:t>人工形式保留／判斷功能弱化</w:t>
      </w:r>
      <w:proofErr w:type="spellEnd"/>
      <w:r>
        <w:rPr>
          <w:rFonts w:eastAsia="標楷體" w:ascii="Times New Roman" w:hAnsi="Times New Roman"/>
          <w:b w:val="0"/>
          <w:sz w:val="24"/>
        </w:rPr>
        <w:t xml:space="preserve">；(c) </w:t>
      </w:r>
      <w:proofErr w:type="spellStart"/>
      <w:r>
        <w:rPr>
          <w:rFonts w:eastAsia="標楷體" w:ascii="Times New Roman" w:hAnsi="Times New Roman"/>
          <w:b w:val="0"/>
          <w:sz w:val="24"/>
        </w:rPr>
        <w:t>緊急治理下的程序壓縮（此處「程序壓縮」作為結果表現，其觸發條件另列</w:t>
      </w:r>
      <w:proofErr w:type="spellEnd"/>
      <w:r>
        <w:rPr>
          <w:rFonts w:eastAsia="標楷體" w:ascii="Times New Roman" w:hAnsi="Times New Roman"/>
          <w:b w:val="0"/>
          <w:sz w:val="24"/>
        </w:rPr>
        <w:t>）。</w:t>
      </w:r>
    </w:p>
    <w:p w:rsidR="005C2B62" w:rsidRDefault="00ED3EB0">
      <w:pPr>
        <w:pStyle w:val="a4"/>
        <w:numPr>
          <w:ilvl w:val="0"/>
          <w:numId w:val="4"/>
        </w:numPr>
        <w:spacing w:after="0" w:line="480" w:lineRule="auto" w:before="0"/>
        <w:ind w:firstLine="720"/>
        <w:jc w:val="both"/>
      </w:pPr>
      <w:proofErr w:type="spellStart"/>
      <w:r>
        <w:rPr>
          <w:rFonts w:eastAsia="標楷體" w:ascii="Times New Roman" w:hAnsi="Times New Roman"/>
          <w:b w:val="0"/>
          <w:sz w:val="24"/>
        </w:rPr>
        <w:t>可能的組織機制：責任避險、防禦性遵從</w:t>
      </w:r>
      <w:proofErr w:type="spellEnd"/>
      <w:r>
        <w:rPr>
          <w:rFonts w:eastAsia="標楷體" w:ascii="Times New Roman" w:hAnsi="Times New Roman"/>
          <w:b w:val="0"/>
          <w:sz w:val="24"/>
        </w:rPr>
        <w:t>。</w:t>
      </w:r>
    </w:p>
    <w:p w:rsidR="005C2B62" w:rsidRDefault="00ED3EB0">
      <w:pPr>
        <w:pStyle w:val="a4"/>
        <w:numPr>
          <w:ilvl w:val="0"/>
          <w:numId w:val="4"/>
        </w:numPr>
        <w:spacing w:after="0" w:line="480" w:lineRule="auto" w:before="0"/>
        <w:ind w:firstLine="720"/>
        <w:jc w:val="both"/>
      </w:pPr>
      <w:proofErr w:type="spellStart"/>
      <w:r>
        <w:rPr>
          <w:rFonts w:eastAsia="標楷體" w:ascii="Times New Roman" w:hAnsi="Times New Roman"/>
          <w:b w:val="0"/>
          <w:sz w:val="24"/>
        </w:rPr>
        <w:t>觸發／催化條件：認知安全緊急性、高究責壓力、低異議保護、資訊／時間不足</w:t>
      </w:r>
      <w:proofErr w:type="spellEnd"/>
      <w:r>
        <w:rPr>
          <w:rFonts w:eastAsia="標楷體" w:ascii="Times New Roman" w:hAnsi="Times New Roman"/>
          <w:b w:val="0"/>
          <w:sz w:val="24"/>
        </w:rPr>
        <w:t>。</w:t>
      </w:r>
    </w:p>
    <w:p w:rsidR="005C2B62" w:rsidRDefault="00ED3EB0">
      <w:pPr>
        <w:pStyle w:val="a4"/>
        <w:numPr>
          <w:ilvl w:val="0"/>
          <w:numId w:val="4"/>
        </w:numPr>
        <w:spacing w:after="0" w:line="480" w:lineRule="auto" w:before="0"/>
        <w:ind w:firstLine="720"/>
        <w:jc w:val="both"/>
      </w:pPr>
      <w:proofErr w:type="spellStart"/>
      <w:r>
        <w:rPr>
          <w:rFonts w:eastAsia="標楷體" w:ascii="Times New Roman" w:hAnsi="Times New Roman"/>
          <w:b w:val="0"/>
          <w:sz w:val="24"/>
        </w:rPr>
        <w:t>規範回應：成文法合致性審計、異議安全港、第二意見程序、非對稱紀錄、風險分級失效條款</w:t>
      </w:r>
      <w:proofErr w:type="spellEnd"/>
      <w:r>
        <w:rPr>
          <w:rFonts w:eastAsia="標楷體" w:ascii="Times New Roman" w:hAnsi="Times New Roman"/>
          <w:b w:val="0"/>
          <w:sz w:val="24"/>
        </w:rPr>
        <w:t>。</w:t>
      </w:r>
    </w:p>
    <w:p w:rsidR="005C2B62" w:rsidRDefault="00ED3EB0">
      <w:pPr>
        <w:spacing w:after="0" w:line="480" w:lineRule="auto" w:before="0"/>
        <w:ind w:firstLine="720"/>
        <w:jc w:val="both"/>
      </w:pPr>
      <w:r>
        <w:rPr>
          <w:rFonts w:eastAsia="標楷體" w:ascii="Times New Roman" w:hAnsi="Times New Roman"/>
          <w:b w:val="0"/>
          <w:sz w:val="24"/>
        </w:rPr>
        <w:t>前兩者（黑箱化、判斷弱化）較接近制度結果；「程序壓縮」同時可作為結果表現與觸發條件。本文將三者並列為分析濾鏡，並承認分類層次並非完全平行，後續可進一步細分。</w:t>
      </w:r>
    </w:p>
    <w:p w:rsidR="005C2B62" w:rsidRDefault="00ED3EB0">
      <w:pPr>
        <w:pStyle w:val="2"/>
        <w:spacing w:line="480" w:lineRule="auto" w:before="120" w:after="0"/>
        <w:ind/>
        <w:jc w:val="both"/>
      </w:pPr>
      <w:r>
        <w:rPr>
          <w:rFonts w:ascii="Times New Roman" w:hAnsi="Times New Roman" w:eastAsia="標楷體"/>
          <w:b/>
          <w:sz w:val="24"/>
        </w:rPr>
        <w:t xml:space="preserve">4.2　</w:t>
      </w:r>
      <w:proofErr w:type="spellStart"/>
      <w:r>
        <w:rPr>
          <w:rFonts w:ascii="Times New Roman" w:hAnsi="Times New Roman" w:eastAsia="標楷體"/>
          <w:b/>
          <w:sz w:val="24"/>
        </w:rPr>
        <w:t>三種表現型態</w:t>
      </w:r>
      <w:proofErr w:type="spellEnd"/>
    </w:p>
    <w:p w:rsidR="005C2B62" w:rsidRDefault="00ED3EB0">
      <w:pPr>
        <w:pStyle w:val="3"/>
        <w:spacing w:line="480" w:lineRule="auto" w:before="120" w:after="0"/>
        <w:ind/>
        <w:jc w:val="both"/>
      </w:pPr>
      <w:r>
        <w:rPr>
          <w:rFonts w:ascii="Times New Roman" w:hAnsi="Times New Roman" w:eastAsia="標楷體"/>
          <w:b/>
          <w:sz w:val="24"/>
        </w:rPr>
        <w:t xml:space="preserve">4.2.1　</w:t>
      </w:r>
      <w:proofErr w:type="spellStart"/>
      <w:r>
        <w:rPr>
          <w:rFonts w:ascii="Times New Roman" w:hAnsi="Times New Roman" w:eastAsia="標楷體"/>
          <w:b/>
          <w:sz w:val="24"/>
        </w:rPr>
        <w:t>形式合法／實</w:t>
      </w:r>
      <w:r>
        <w:rPr>
          <w:rFonts w:ascii="Times New Roman" w:hAnsi="Times New Roman" w:eastAsia="標楷體"/>
          <w:b/>
          <w:sz w:val="24"/>
        </w:rPr>
        <w:t>質黑箱</w:t>
      </w:r>
      <w:proofErr w:type="spellEnd"/>
    </w:p>
    <w:p w:rsidR="005C2B62" w:rsidRDefault="00ED3EB0">
      <w:pPr>
        <w:spacing w:after="0" w:line="480" w:lineRule="auto" w:before="0"/>
        <w:ind w:firstLine="720"/>
        <w:jc w:val="both"/>
      </w:pPr>
      <w:r>
        <w:rPr>
          <w:rFonts w:eastAsia="標楷體" w:ascii="Times New Roman" w:hAnsi="Times New Roman"/>
          <w:b w:val="0"/>
          <w:sz w:val="24"/>
        </w:rPr>
        <w:lastRenderedPageBreak/>
        <w:t>【</w:t>
      </w:r>
      <w:proofErr w:type="spellStart"/>
      <w:r>
        <w:rPr>
          <w:rFonts w:eastAsia="標楷體" w:ascii="Times New Roman" w:hAnsi="Times New Roman"/>
          <w:b w:val="0"/>
          <w:sz w:val="24"/>
        </w:rPr>
        <w:t>制度推論】形式核章與理由附記可能完整，但實質內容高度依賴模型輸出。Cobbe</w:t>
      </w:r>
      <w:proofErr w:type="spellEnd"/>
      <w:r>
        <w:rPr>
          <w:rFonts w:eastAsia="標楷體" w:ascii="Times New Roman" w:hAnsi="Times New Roman"/>
          <w:b w:val="0"/>
          <w:sz w:val="24"/>
        </w:rPr>
        <w:t xml:space="preserve"> (2019) 指出傳統行政法上的理由附記與聽證在面對自動化行政時，常常只剩下形式審查。與西方經典案例中「移除人工覆核」的差異在於：本文場域更多呈現形式合法外觀如何架空實質審查。</w:t>
      </w:r>
    </w:p>
    <w:p w:rsidR="005C2B62" w:rsidRDefault="00ED3EB0">
      <w:pPr>
        <w:pStyle w:val="3"/>
        <w:spacing w:line="480" w:lineRule="auto" w:before="120" w:after="0"/>
        <w:ind/>
        <w:jc w:val="both"/>
      </w:pPr>
      <w:r>
        <w:rPr>
          <w:rFonts w:ascii="Times New Roman" w:hAnsi="Times New Roman" w:eastAsia="標楷體"/>
          <w:b/>
          <w:sz w:val="24"/>
        </w:rPr>
        <w:t xml:space="preserve">4.2.2　</w:t>
      </w:r>
      <w:proofErr w:type="spellStart"/>
      <w:r>
        <w:rPr>
          <w:rFonts w:ascii="Times New Roman" w:hAnsi="Times New Roman" w:eastAsia="標楷體"/>
          <w:b/>
          <w:sz w:val="24"/>
        </w:rPr>
        <w:t>人工形式保留／判斷功能弱化</w:t>
      </w:r>
      <w:proofErr w:type="spellEnd"/>
    </w:p>
    <w:p w:rsidR="005C2B62" w:rsidRDefault="00ED3EB0">
      <w:pPr>
        <w:spacing w:after="0" w:line="480" w:lineRule="auto" w:before="0"/>
        <w:ind w:firstLine="720"/>
        <w:jc w:val="both"/>
      </w:pPr>
      <w:r>
        <w:rPr>
          <w:rFonts w:eastAsia="標楷體" w:ascii="Times New Roman" w:hAnsi="Times New Roman"/>
          <w:b w:val="0"/>
          <w:sz w:val="24"/>
        </w:rPr>
        <w:t>【</w:t>
      </w:r>
      <w:proofErr w:type="spellStart"/>
      <w:r>
        <w:rPr>
          <w:rFonts w:eastAsia="標楷體" w:ascii="Times New Roman" w:hAnsi="Times New Roman"/>
          <w:b w:val="0"/>
          <w:sz w:val="24"/>
        </w:rPr>
        <w:t>制度推論】在層級責任壓力下，防禦性遵從可能成為理性策略。Hood</w:t>
      </w:r>
      <w:proofErr w:type="spellEnd"/>
      <w:r>
        <w:rPr>
          <w:rFonts w:eastAsia="標楷體" w:ascii="Times New Roman" w:hAnsi="Times New Roman"/>
          <w:b w:val="0"/>
          <w:sz w:val="24"/>
        </w:rPr>
        <w:t xml:space="preserve"> (2011) 的避責理論為理解此一行為傾向提供基礎：官僚為降低個人被懲戒風險，可能傾向採納系統建議並完成形式核章。此與「為效率而移除人工覆</w:t>
      </w:r>
      <w:r>
        <w:rPr>
          <w:rFonts w:eastAsia="標楷體" w:ascii="Times New Roman" w:hAnsi="Times New Roman"/>
          <w:b w:val="0"/>
          <w:sz w:val="24"/>
        </w:rPr>
        <w:t>核」不同，更接近「保留人工形式、實質放棄判斷」。</w:t>
      </w:r>
    </w:p>
    <w:p w:rsidR="005C2B62" w:rsidRDefault="00ED3EB0">
      <w:pPr>
        <w:pStyle w:val="3"/>
        <w:spacing w:line="480" w:lineRule="auto" w:before="120" w:after="0"/>
        <w:ind/>
        <w:jc w:val="both"/>
      </w:pPr>
      <w:r>
        <w:rPr>
          <w:rFonts w:ascii="Times New Roman" w:hAnsi="Times New Roman" w:eastAsia="標楷體"/>
          <w:b/>
          <w:sz w:val="24"/>
        </w:rPr>
        <w:t xml:space="preserve">4.2.3　</w:t>
      </w:r>
      <w:proofErr w:type="spellStart"/>
      <w:r>
        <w:rPr>
          <w:rFonts w:ascii="Times New Roman" w:hAnsi="Times New Roman" w:eastAsia="標楷體"/>
          <w:b/>
          <w:sz w:val="24"/>
        </w:rPr>
        <w:t>緊急治理下的程序壓縮</w:t>
      </w:r>
      <w:proofErr w:type="spellEnd"/>
    </w:p>
    <w:p w:rsidR="005C2B62" w:rsidRDefault="00ED3EB0">
      <w:pPr>
        <w:spacing w:after="0" w:line="480" w:lineRule="auto" w:before="0"/>
        <w:ind w:firstLine="720"/>
        <w:jc w:val="both"/>
      </w:pPr>
      <w:r>
        <w:rPr>
          <w:rFonts w:eastAsia="標楷體" w:ascii="Times New Roman" w:hAnsi="Times New Roman"/>
          <w:b w:val="0"/>
          <w:sz w:val="24"/>
        </w:rPr>
        <w:t>【制度推論】高風險緊急治理下，真實性基礎設施的快速部署需求與程序明確性要求之間產生張力。危機治理文獻指出，在高速度、高不確定性情境中，行政機關為追求回應速度可能壓縮正常程序（Boin et al., 2016）。</w:t>
      </w:r>
    </w:p>
    <w:p w:rsidR="005C2B62" w:rsidRDefault="00ED3EB0">
      <w:pPr>
        <w:pStyle w:val="2"/>
        <w:spacing w:line="480" w:lineRule="auto" w:before="120" w:after="0"/>
        <w:ind/>
        <w:jc w:val="both"/>
      </w:pPr>
      <w:r>
        <w:rPr>
          <w:rFonts w:ascii="Times New Roman" w:hAnsi="Times New Roman" w:eastAsia="標楷體"/>
          <w:b/>
          <w:sz w:val="24"/>
        </w:rPr>
        <w:t xml:space="preserve">4.3　</w:t>
      </w:r>
      <w:proofErr w:type="spellStart"/>
      <w:r>
        <w:rPr>
          <w:rFonts w:ascii="Times New Roman" w:hAnsi="Times New Roman" w:eastAsia="標楷體"/>
          <w:b/>
          <w:sz w:val="24"/>
        </w:rPr>
        <w:t>正式化分析命題（可檢驗</w:t>
      </w:r>
      <w:proofErr w:type="spellEnd"/>
      <w:r>
        <w:rPr>
          <w:rFonts w:ascii="Times New Roman" w:hAnsi="Times New Roman" w:eastAsia="標楷體"/>
          <w:b/>
          <w:sz w:val="24"/>
        </w:rPr>
        <w:t>）</w:t>
      </w:r>
    </w:p>
    <w:p w:rsidR="005C2B62" w:rsidRDefault="00ED3EB0">
      <w:pPr>
        <w:spacing w:after="0" w:line="480" w:lineRule="auto" w:before="0"/>
        <w:ind w:firstLine="720"/>
        <w:jc w:val="both"/>
      </w:pPr>
      <w:proofErr w:type="spellStart"/>
      <w:r>
        <w:rPr>
          <w:rFonts w:eastAsia="標楷體" w:ascii="Times New Roman" w:hAnsi="Times New Roman"/>
          <w:b w:val="0"/>
          <w:sz w:val="24"/>
        </w:rPr>
        <w:t>將原先的「強化循環」改寫為可檢驗的分析命題與理想型模型</w:t>
      </w:r>
      <w:proofErr w:type="spellEnd"/>
      <w:r>
        <w:rPr>
          <w:rFonts w:eastAsia="標楷體" w:ascii="Times New Roman" w:hAnsi="Times New Roman"/>
          <w:b w:val="0"/>
          <w:sz w:val="24"/>
        </w:rPr>
        <w:t>：</w:t>
      </w:r>
    </w:p>
    <w:p w:rsidR="005C2B62" w:rsidRDefault="00ED3EB0">
      <w:pPr>
        <w:spacing w:after="0" w:line="480" w:lineRule="auto" w:before="0"/>
        <w:ind w:firstLine="720"/>
        <w:jc w:val="both"/>
      </w:pPr>
      <w:proofErr w:type="spellStart"/>
      <w:r>
        <w:rPr>
          <w:rFonts w:eastAsia="標楷體" w:ascii="Times New Roman" w:hAnsi="Times New Roman"/>
          <w:b w:val="0"/>
          <w:bCs/>
          <w:sz w:val="24"/>
        </w:rPr>
        <w:t>命題一：</w:t>
      </w:r>
      <w:r>
        <w:rPr>
          <w:rFonts w:eastAsia="標楷體" w:ascii="Times New Roman" w:hAnsi="Times New Roman"/>
          <w:b w:val="0"/>
          <w:sz w:val="24"/>
        </w:rPr>
        <w:t>當行政機關面臨高強度的安全或危機壓力時，AI輸出較可能被視為降低個人責任風險的依據</w:t>
      </w:r>
      <w:proofErr w:type="spellEnd"/>
      <w:r>
        <w:rPr>
          <w:rFonts w:eastAsia="標楷體" w:ascii="Times New Roman" w:hAnsi="Times New Roman"/>
          <w:b w:val="0"/>
          <w:sz w:val="24"/>
        </w:rPr>
        <w:t>。</w:t>
      </w:r>
    </w:p>
    <w:p w:rsidR="005C2B62" w:rsidRDefault="00ED3EB0">
      <w:pPr>
        <w:spacing w:after="0" w:line="480" w:lineRule="auto" w:before="0"/>
        <w:ind w:firstLine="720"/>
        <w:jc w:val="both"/>
      </w:pPr>
      <w:proofErr w:type="spellStart"/>
      <w:r>
        <w:rPr>
          <w:rFonts w:eastAsia="標楷體" w:ascii="Times New Roman" w:hAnsi="Times New Roman"/>
          <w:b w:val="0"/>
          <w:bCs/>
          <w:sz w:val="24"/>
        </w:rPr>
        <w:t>命題二：</w:t>
      </w:r>
      <w:r>
        <w:rPr>
          <w:rFonts w:eastAsia="標楷體" w:ascii="Times New Roman" w:hAnsi="Times New Roman"/>
          <w:b w:val="0"/>
          <w:sz w:val="24"/>
        </w:rPr>
        <w:t>當組織保留形式人工覆</w:t>
      </w:r>
      <w:r>
        <w:rPr>
          <w:rFonts w:eastAsia="標楷體" w:ascii="Times New Roman" w:hAnsi="Times New Roman"/>
          <w:b w:val="0"/>
          <w:sz w:val="24"/>
        </w:rPr>
        <w:t>核，但未提供足夠時間、資訊與異議保護時，人工覆核較可能轉化為形式性核章</w:t>
      </w:r>
      <w:proofErr w:type="spellEnd"/>
      <w:r>
        <w:rPr>
          <w:rFonts w:eastAsia="標楷體" w:ascii="Times New Roman" w:hAnsi="Times New Roman"/>
          <w:b w:val="0"/>
          <w:sz w:val="24"/>
        </w:rPr>
        <w:t>。</w:t>
      </w:r>
    </w:p>
    <w:p w:rsidR="005C2B62" w:rsidRDefault="00ED3EB0">
      <w:pPr>
        <w:spacing w:after="0" w:line="480" w:lineRule="auto" w:before="0"/>
        <w:ind w:firstLine="720"/>
        <w:jc w:val="both"/>
      </w:pPr>
      <w:proofErr w:type="spellStart"/>
      <w:r>
        <w:rPr>
          <w:rFonts w:eastAsia="標楷體" w:ascii="Times New Roman" w:hAnsi="Times New Roman"/>
          <w:b w:val="0"/>
          <w:bCs/>
          <w:sz w:val="24"/>
        </w:rPr>
        <w:t>命題三：</w:t>
      </w:r>
      <w:r>
        <w:rPr>
          <w:rFonts w:eastAsia="標楷體" w:ascii="Times New Roman" w:hAnsi="Times New Roman"/>
          <w:b w:val="0"/>
          <w:sz w:val="24"/>
        </w:rPr>
        <w:t>當理由附記只說明法律依據而未說明模型輸入、輸出與人員判斷時，程序保障與實質可理解性將產生脫鉤</w:t>
      </w:r>
      <w:proofErr w:type="spellEnd"/>
      <w:r>
        <w:rPr>
          <w:rFonts w:eastAsia="標楷體" w:ascii="Times New Roman" w:hAnsi="Times New Roman"/>
          <w:b w:val="0"/>
          <w:sz w:val="24"/>
        </w:rPr>
        <w:t>。</w:t>
      </w:r>
    </w:p>
    <w:p w:rsidR="005C2B62" w:rsidRDefault="00ED3EB0">
      <w:pPr>
        <w:spacing w:after="0" w:line="480" w:lineRule="auto" w:before="0"/>
        <w:ind w:firstLine="720"/>
        <w:jc w:val="both"/>
      </w:pPr>
      <w:r>
        <w:rPr>
          <w:rFonts w:eastAsia="標楷體" w:ascii="Times New Roman" w:hAnsi="Times New Roman"/>
          <w:b w:val="0"/>
          <w:sz w:val="24"/>
        </w:rPr>
        <w:t>可觀察指標包括：人工修改率與否決率、覆核所需時間、理由附記是否包含模型資訊、承辦人是否能接觸原始資料、異議者是否遭受考核或責任不利益、模型錯誤發生後的責任追蹤結果。目前這些指標在本文尚未系統測量，命題屬待檢驗狀態。</w:t>
      </w:r>
    </w:p>
    <w:p w:rsidR="005C2B62" w:rsidRDefault="00ED3EB0">
      <w:pPr>
        <w:pStyle w:val="2"/>
        <w:spacing w:line="480" w:lineRule="auto" w:before="120" w:after="0"/>
        <w:ind/>
        <w:jc w:val="both"/>
      </w:pPr>
      <w:r>
        <w:rPr>
          <w:rFonts w:ascii="Times New Roman" w:hAnsi="Times New Roman" w:eastAsia="標楷體"/>
          <w:b/>
          <w:sz w:val="24"/>
        </w:rPr>
        <w:t xml:space="preserve">4.4　</w:t>
      </w:r>
      <w:proofErr w:type="spellStart"/>
      <w:r>
        <w:rPr>
          <w:rFonts w:ascii="Times New Roman" w:hAnsi="Times New Roman" w:eastAsia="標楷體"/>
          <w:b/>
          <w:sz w:val="24"/>
        </w:rPr>
        <w:t>替代解釋</w:t>
      </w:r>
      <w:proofErr w:type="spellEnd"/>
    </w:p>
    <w:p w:rsidR="005C2B62" w:rsidRDefault="00ED3EB0">
      <w:pPr>
        <w:spacing w:after="0" w:line="480" w:lineRule="auto" w:before="0"/>
        <w:ind w:firstLine="720"/>
        <w:jc w:val="both"/>
      </w:pPr>
      <w:r>
        <w:rPr>
          <w:rFonts w:eastAsia="標楷體" w:ascii="Times New Roman" w:hAnsi="Times New Roman"/>
          <w:b w:val="0"/>
          <w:sz w:val="24"/>
        </w:rPr>
        <w:t>需正視的替代解釋包括：程序密度可能提升一致性與可追蹤性；人員不偏離AI建議可能因為AI確實較準確；標準化理由可能是法律要求的必要固定表述；緊急程序壓縮在某些情境下可能具有正當性。本文不排除這些解釋，而將其作為後續實證需控制的競爭假說與邊界條件。</w:t>
      </w:r>
    </w:p>
    <w:p w:rsidR="005C2B62" w:rsidRDefault="00ED3EB0">
      <w:pPr>
        <w:pStyle w:val="1"/>
        <w:spacing w:line="480" w:lineRule="auto" w:before="240" w:after="0"/>
        <w:ind/>
        <w:jc w:val="left"/>
      </w:pPr>
      <w:proofErr w:type="spellStart"/>
      <w:r>
        <w:rPr>
          <w:rFonts w:ascii="Times New Roman" w:hAnsi="Times New Roman" w:eastAsia="標楷體"/>
          <w:b/>
          <w:sz w:val="28"/>
        </w:rPr>
        <w:t>第五章</w:t>
      </w:r>
      <w:proofErr w:type="spellEnd"/>
      <w:r>
        <w:rPr>
          <w:rFonts w:ascii="Times New Roman" w:hAnsi="Times New Roman" w:eastAsia="標楷體"/>
          <w:b/>
          <w:sz w:val="28"/>
        </w:rPr>
        <w:t xml:space="preserve">　</w:t>
      </w:r>
      <w:proofErr w:type="spellStart"/>
      <w:r>
        <w:rPr>
          <w:rFonts w:ascii="Times New Roman" w:hAnsi="Times New Roman" w:eastAsia="標楷體"/>
          <w:b/>
          <w:sz w:val="28"/>
        </w:rPr>
        <w:t>從制度斷裂到治理修補：規範性設計規格</w:t>
      </w:r>
      <w:proofErr w:type="spellEnd"/>
    </w:p>
    <w:p w:rsidR="005C2B62" w:rsidRDefault="00ED3EB0">
      <w:pPr>
        <w:spacing w:after="0" w:line="480" w:lineRule="auto" w:before="0"/>
        <w:ind w:firstLine="720"/>
        <w:jc w:val="both"/>
      </w:pPr>
      <w:proofErr w:type="spellStart"/>
      <w:r>
        <w:rPr>
          <w:rFonts w:eastAsia="標楷體" w:ascii="Times New Roman" w:hAnsi="Times New Roman"/>
          <w:b w:val="0"/>
          <w:sz w:val="24"/>
        </w:rPr>
        <w:t>本章將表現型態對應至規範性修補工具，並補充可操作規格，避免僅停留在術語倡議</w:t>
      </w:r>
      <w:proofErr w:type="spellEnd"/>
      <w:r>
        <w:rPr>
          <w:rFonts w:eastAsia="標楷體" w:ascii="Times New Roman" w:hAnsi="Times New Roman"/>
          <w:b w:val="0"/>
          <w:sz w:val="24"/>
        </w:rPr>
        <w:t>。</w:t>
      </w:r>
    </w:p>
    <w:tbl>
      <w:tblPr>
        <w:tblW w:w="9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00"/>
        <w:gridCol w:w="5886"/>
      </w:tblGrid>
      <w:tr w:rsidR="005C2B62">
        <w:tblPrEx>
          <w:tblCellMar>
            <w:top w:w="0" w:type="dxa"/>
            <w:bottom w:w="0" w:type="dxa"/>
          </w:tblCellMar>
        </w:tblPrEx>
        <w:tc>
          <w:tcPr>
            <w:tcW w:w="3500" w:type="dxa"/>
            <w:tcBorders>
              <w:top w:val="single" w:sz="1" w:space="0" w:color="666666"/>
              <w:left w:val="single" w:sz="1" w:space="0" w:color="666666"/>
              <w:bottom w:val="single" w:sz="1" w:space="0" w:color="666666"/>
              <w:right w:val="single" w:sz="1" w:space="0" w:color="666666"/>
            </w:tcBorders>
            <w:shd w:val="clear" w:color="auto" w:fill="E8E8E8"/>
            <w:tcMar>
              <w:top w:w="50" w:type="dxa"/>
              <w:left w:w="70" w:type="dxa"/>
              <w:bottom w:w="50" w:type="dxa"/>
              <w:right w:w="70" w:type="dxa"/>
            </w:tcMar>
          </w:tcPr>
          <w:p w:rsidR="005C2B62" w:rsidRDefault="00ED3EB0">
            <w:pPr>
              <w:spacing w:line="360" w:lineRule="auto" w:before="0" w:after="0"/>
            </w:pPr>
            <w:proofErr w:type="spellStart"/>
            <w:r>
              <w:rPr>
                <w:rFonts w:eastAsia="標楷體" w:ascii="Times New Roman" w:hAnsi="Times New Roman"/>
                <w:b/>
                <w:bCs/>
                <w:sz w:val="21"/>
                <w:szCs w:val="18"/>
              </w:rPr>
              <w:lastRenderedPageBreak/>
              <w:t>發現的制度斷裂（表現型態</w:t>
            </w:r>
            <w:proofErr w:type="spellEnd"/>
            <w:r>
              <w:rPr>
                <w:rFonts w:eastAsia="標楷體" w:ascii="Times New Roman" w:hAnsi="Times New Roman"/>
                <w:b/>
                <w:bCs/>
                <w:sz w:val="21"/>
                <w:szCs w:val="18"/>
              </w:rPr>
              <w:t>）</w:t>
            </w:r>
          </w:p>
        </w:tc>
        <w:tc>
          <w:tcPr>
            <w:tcW w:w="5886" w:type="dxa"/>
            <w:tcBorders>
              <w:top w:val="single" w:sz="1" w:space="0" w:color="666666"/>
              <w:left w:val="single" w:sz="1" w:space="0" w:color="666666"/>
              <w:bottom w:val="single" w:sz="1" w:space="0" w:color="666666"/>
              <w:right w:val="single" w:sz="1" w:space="0" w:color="666666"/>
            </w:tcBorders>
            <w:shd w:val="clear" w:color="auto" w:fill="E8E8E8"/>
            <w:tcMar>
              <w:top w:w="50" w:type="dxa"/>
              <w:left w:w="70" w:type="dxa"/>
              <w:bottom w:w="50" w:type="dxa"/>
              <w:right w:w="70" w:type="dxa"/>
            </w:tcMar>
          </w:tcPr>
          <w:p w:rsidR="005C2B62" w:rsidRDefault="00ED3EB0">
            <w:pPr>
              <w:spacing w:line="360" w:lineRule="auto" w:before="0" w:after="0"/>
            </w:pPr>
            <w:proofErr w:type="spellStart"/>
            <w:r>
              <w:rPr>
                <w:rFonts w:eastAsia="標楷體" w:ascii="Times New Roman" w:hAnsi="Times New Roman"/>
                <w:b/>
                <w:bCs/>
                <w:sz w:val="21"/>
                <w:szCs w:val="18"/>
              </w:rPr>
              <w:t>對應修補工具</w:t>
            </w:r>
            <w:proofErr w:type="spellEnd"/>
          </w:p>
        </w:tc>
      </w:tr>
      <w:tr w:rsidR="005C2B62">
        <w:tblPrEx>
          <w:tblCellMar>
            <w:top w:w="0" w:type="dxa"/>
            <w:bottom w:w="0" w:type="dxa"/>
          </w:tblCellMar>
        </w:tblPrEx>
        <w:tc>
          <w:tcPr>
            <w:tcW w:w="3500" w:type="dxa"/>
            <w:tcBorders>
              <w:top w:val="single" w:sz="1" w:space="0" w:color="666666"/>
              <w:left w:val="single" w:sz="1" w:space="0" w:color="666666"/>
              <w:bottom w:val="single" w:sz="1" w:space="0" w:color="666666"/>
              <w:right w:val="single" w:sz="1" w:space="0" w:color="666666"/>
            </w:tcBorders>
            <w:tcMar>
              <w:top w:w="50" w:type="dxa"/>
              <w:left w:w="70" w:type="dxa"/>
              <w:bottom w:w="50" w:type="dxa"/>
              <w:right w:w="70" w:type="dxa"/>
            </w:tcMar>
          </w:tcPr>
          <w:p w:rsidR="005C2B62" w:rsidRDefault="00ED3EB0">
            <w:pPr>
              <w:spacing w:line="360" w:lineRule="auto" w:before="0" w:after="0"/>
            </w:pPr>
            <w:proofErr w:type="spellStart"/>
            <w:r>
              <w:rPr>
                <w:rFonts w:eastAsia="標楷體" w:ascii="Times New Roman" w:hAnsi="Times New Roman"/>
                <w:sz w:val="21"/>
                <w:szCs w:val="18"/>
              </w:rPr>
              <w:t>形式合法／實質黑箱</w:t>
            </w:r>
            <w:proofErr w:type="spellEnd"/>
          </w:p>
        </w:tc>
        <w:tc>
          <w:tcPr>
            <w:tcW w:w="5886" w:type="dxa"/>
            <w:tcBorders>
              <w:top w:val="single" w:sz="1" w:space="0" w:color="666666"/>
              <w:left w:val="single" w:sz="1" w:space="0" w:color="666666"/>
              <w:bottom w:val="single" w:sz="1" w:space="0" w:color="666666"/>
              <w:right w:val="single" w:sz="1" w:space="0" w:color="666666"/>
            </w:tcBorders>
            <w:tcMar>
              <w:top w:w="50" w:type="dxa"/>
              <w:left w:w="70" w:type="dxa"/>
              <w:bottom w:w="50" w:type="dxa"/>
              <w:right w:w="70" w:type="dxa"/>
            </w:tcMar>
          </w:tcPr>
          <w:p w:rsidR="005C2B62" w:rsidRDefault="00ED3EB0">
            <w:pPr>
              <w:spacing w:line="360" w:lineRule="auto" w:before="0" w:after="0"/>
            </w:pPr>
            <w:proofErr w:type="spellStart"/>
            <w:r>
              <w:rPr>
                <w:rFonts w:eastAsia="標楷體" w:ascii="Times New Roman" w:hAnsi="Times New Roman"/>
                <w:sz w:val="21"/>
                <w:szCs w:val="18"/>
              </w:rPr>
              <w:t>成文法合致性審計矩陣</w:t>
            </w:r>
            <w:proofErr w:type="spellEnd"/>
            <w:r>
              <w:rPr>
                <w:rFonts w:eastAsia="標楷體" w:ascii="Times New Roman" w:hAnsi="Times New Roman"/>
                <w:sz w:val="21"/>
                <w:szCs w:val="18"/>
              </w:rPr>
              <w:t xml:space="preserve"> ＋ </w:t>
            </w:r>
            <w:proofErr w:type="spellStart"/>
            <w:r>
              <w:rPr>
                <w:rFonts w:eastAsia="標楷體" w:ascii="Times New Roman" w:hAnsi="Times New Roman"/>
                <w:sz w:val="21"/>
                <w:szCs w:val="18"/>
              </w:rPr>
              <w:t>非對稱簡化紀錄（含最低欄位</w:t>
            </w:r>
            <w:proofErr w:type="spellEnd"/>
            <w:r>
              <w:rPr>
                <w:rFonts w:eastAsia="標楷體" w:ascii="Times New Roman" w:hAnsi="Times New Roman"/>
                <w:sz w:val="21"/>
                <w:szCs w:val="18"/>
              </w:rPr>
              <w:t>）</w:t>
            </w:r>
          </w:p>
        </w:tc>
      </w:tr>
      <w:tr w:rsidR="005C2B62">
        <w:tblPrEx>
          <w:tblCellMar>
            <w:top w:w="0" w:type="dxa"/>
            <w:bottom w:w="0" w:type="dxa"/>
          </w:tblCellMar>
        </w:tblPrEx>
        <w:tc>
          <w:tcPr>
            <w:tcW w:w="3500" w:type="dxa"/>
            <w:tcBorders>
              <w:top w:val="single" w:sz="1" w:space="0" w:color="666666"/>
              <w:left w:val="single" w:sz="1" w:space="0" w:color="666666"/>
              <w:bottom w:val="single" w:sz="1" w:space="0" w:color="666666"/>
              <w:right w:val="single" w:sz="1" w:space="0" w:color="666666"/>
            </w:tcBorders>
            <w:tcMar>
              <w:top w:w="50" w:type="dxa"/>
              <w:left w:w="70" w:type="dxa"/>
              <w:bottom w:w="50" w:type="dxa"/>
              <w:right w:w="70" w:type="dxa"/>
            </w:tcMar>
          </w:tcPr>
          <w:p w:rsidR="005C2B62" w:rsidRDefault="00ED3EB0">
            <w:pPr>
              <w:spacing w:line="360" w:lineRule="auto" w:before="0" w:after="0"/>
            </w:pPr>
            <w:proofErr w:type="spellStart"/>
            <w:r>
              <w:rPr>
                <w:rFonts w:eastAsia="標楷體" w:ascii="Times New Roman" w:hAnsi="Times New Roman"/>
                <w:sz w:val="21"/>
                <w:szCs w:val="18"/>
              </w:rPr>
              <w:t>人工形式保留／判斷功能弱化</w:t>
            </w:r>
            <w:proofErr w:type="spellEnd"/>
          </w:p>
        </w:tc>
        <w:tc>
          <w:tcPr>
            <w:tcW w:w="5886" w:type="dxa"/>
            <w:tcBorders>
              <w:top w:val="single" w:sz="1" w:space="0" w:color="666666"/>
              <w:left w:val="single" w:sz="1" w:space="0" w:color="666666"/>
              <w:bottom w:val="single" w:sz="1" w:space="0" w:color="666666"/>
              <w:right w:val="single" w:sz="1" w:space="0" w:color="666666"/>
            </w:tcBorders>
            <w:tcMar>
              <w:top w:w="50" w:type="dxa"/>
              <w:left w:w="70" w:type="dxa"/>
              <w:bottom w:w="50" w:type="dxa"/>
              <w:right w:w="70" w:type="dxa"/>
            </w:tcMar>
          </w:tcPr>
          <w:p w:rsidR="005C2B62" w:rsidRDefault="00ED3EB0">
            <w:pPr>
              <w:spacing w:line="360" w:lineRule="auto" w:before="0" w:after="0"/>
            </w:pPr>
            <w:proofErr w:type="spellStart"/>
            <w:r>
              <w:rPr>
                <w:rFonts w:eastAsia="標楷體" w:ascii="Times New Roman" w:hAnsi="Times New Roman"/>
                <w:sz w:val="21"/>
                <w:szCs w:val="18"/>
              </w:rPr>
              <w:t>善意異議責任安全港</w:t>
            </w:r>
            <w:proofErr w:type="spellEnd"/>
            <w:r>
              <w:rPr>
                <w:rFonts w:eastAsia="標楷體" w:ascii="Times New Roman" w:hAnsi="Times New Roman"/>
                <w:sz w:val="21"/>
                <w:szCs w:val="18"/>
              </w:rPr>
              <w:t xml:space="preserve"> ＋ </w:t>
            </w:r>
            <w:proofErr w:type="spellStart"/>
            <w:r>
              <w:rPr>
                <w:rFonts w:eastAsia="標楷體" w:ascii="Times New Roman" w:hAnsi="Times New Roman"/>
                <w:sz w:val="21"/>
                <w:szCs w:val="18"/>
              </w:rPr>
              <w:t>限定範圍第二意見程序</w:t>
            </w:r>
            <w:proofErr w:type="spellEnd"/>
          </w:p>
        </w:tc>
      </w:tr>
      <w:tr w:rsidR="005C2B62">
        <w:tblPrEx>
          <w:tblCellMar>
            <w:top w:w="0" w:type="dxa"/>
            <w:bottom w:w="0" w:type="dxa"/>
          </w:tblCellMar>
        </w:tblPrEx>
        <w:tc>
          <w:tcPr>
            <w:tcW w:w="3500" w:type="dxa"/>
            <w:tcBorders>
              <w:top w:val="single" w:sz="1" w:space="0" w:color="666666"/>
              <w:left w:val="single" w:sz="1" w:space="0" w:color="666666"/>
              <w:bottom w:val="single" w:sz="1" w:space="0" w:color="666666"/>
              <w:right w:val="single" w:sz="1" w:space="0" w:color="666666"/>
            </w:tcBorders>
            <w:tcMar>
              <w:top w:w="50" w:type="dxa"/>
              <w:left w:w="70" w:type="dxa"/>
              <w:bottom w:w="50" w:type="dxa"/>
              <w:right w:w="70" w:type="dxa"/>
            </w:tcMar>
          </w:tcPr>
          <w:p w:rsidR="005C2B62" w:rsidRDefault="00ED3EB0">
            <w:pPr>
              <w:spacing w:line="360" w:lineRule="auto" w:before="0" w:after="0"/>
            </w:pPr>
            <w:proofErr w:type="spellStart"/>
            <w:r>
              <w:rPr>
                <w:rFonts w:eastAsia="標楷體" w:ascii="Times New Roman" w:hAnsi="Times New Roman"/>
                <w:sz w:val="21"/>
                <w:szCs w:val="18"/>
              </w:rPr>
              <w:t>緊急治理下的程序壓縮</w:t>
            </w:r>
            <w:proofErr w:type="spellEnd"/>
          </w:p>
        </w:tc>
        <w:tc>
          <w:tcPr>
            <w:tcW w:w="5886" w:type="dxa"/>
            <w:tcBorders>
              <w:top w:val="single" w:sz="1" w:space="0" w:color="666666"/>
              <w:left w:val="single" w:sz="1" w:space="0" w:color="666666"/>
              <w:bottom w:val="single" w:sz="1" w:space="0" w:color="666666"/>
              <w:right w:val="single" w:sz="1" w:space="0" w:color="666666"/>
            </w:tcBorders>
            <w:tcMar>
              <w:top w:w="50" w:type="dxa"/>
              <w:left w:w="70" w:type="dxa"/>
              <w:bottom w:w="50" w:type="dxa"/>
              <w:right w:w="70" w:type="dxa"/>
            </w:tcMar>
          </w:tcPr>
          <w:p w:rsidR="005C2B62" w:rsidRDefault="00ED3EB0">
            <w:pPr>
              <w:spacing w:line="360" w:lineRule="auto" w:before="0" w:after="0"/>
            </w:pPr>
            <w:proofErr w:type="spellStart"/>
            <w:r>
              <w:rPr>
                <w:rFonts w:eastAsia="標楷體" w:ascii="Times New Roman" w:hAnsi="Times New Roman"/>
                <w:sz w:val="21"/>
                <w:szCs w:val="18"/>
              </w:rPr>
              <w:t>風險分級失效條款</w:t>
            </w:r>
            <w:proofErr w:type="spellEnd"/>
            <w:r>
              <w:rPr>
                <w:rFonts w:eastAsia="標楷體" w:ascii="Times New Roman" w:hAnsi="Times New Roman"/>
                <w:sz w:val="21"/>
                <w:szCs w:val="18"/>
              </w:rPr>
              <w:t xml:space="preserve"> ＋ </w:t>
            </w:r>
            <w:proofErr w:type="spellStart"/>
            <w:r>
              <w:rPr>
                <w:rFonts w:eastAsia="標楷體" w:ascii="Times New Roman" w:hAnsi="Times New Roman"/>
                <w:sz w:val="21"/>
                <w:szCs w:val="18"/>
              </w:rPr>
              <w:t>成文法合致性審計（期限與救濟構面</w:t>
            </w:r>
            <w:proofErr w:type="spellEnd"/>
            <w:r>
              <w:rPr>
                <w:rFonts w:eastAsia="標楷體" w:ascii="Times New Roman" w:hAnsi="Times New Roman"/>
                <w:sz w:val="21"/>
                <w:szCs w:val="18"/>
              </w:rPr>
              <w:t>）</w:t>
            </w:r>
          </w:p>
        </w:tc>
      </w:tr>
    </w:tbl>
    <w:p w:rsidR="005C2B62" w:rsidRDefault="00ED3EB0">
      <w:pPr>
        <w:pStyle w:val="2"/>
        <w:spacing w:line="480" w:lineRule="auto" w:before="120" w:after="0"/>
        <w:ind/>
        <w:jc w:val="both"/>
      </w:pPr>
      <w:r>
        <w:rPr>
          <w:rFonts w:ascii="Times New Roman" w:hAnsi="Times New Roman" w:eastAsia="標楷體"/>
          <w:b/>
          <w:sz w:val="24"/>
        </w:rPr>
        <w:t xml:space="preserve">5.1　</w:t>
      </w:r>
      <w:proofErr w:type="spellStart"/>
      <w:r>
        <w:rPr>
          <w:rFonts w:ascii="Times New Roman" w:hAnsi="Times New Roman" w:eastAsia="標楷體"/>
          <w:b/>
          <w:sz w:val="24"/>
        </w:rPr>
        <w:t>成文法合致性審計矩陣</w:t>
      </w:r>
      <w:proofErr w:type="spellEnd"/>
    </w:p>
    <w:p w:rsidR="005C2B62" w:rsidRDefault="00ED3EB0">
      <w:pPr>
        <w:spacing w:after="0" w:line="480" w:lineRule="auto" w:before="0"/>
        <w:ind w:firstLine="720"/>
        <w:jc w:val="both"/>
      </w:pPr>
      <w:r>
        <w:rPr>
          <w:rFonts w:eastAsia="標楷體" w:ascii="Times New Roman" w:hAnsi="Times New Roman"/>
          <w:b w:val="0"/>
          <w:sz w:val="24"/>
        </w:rPr>
        <w:t>六構面：法律授權、權限範圍、程序保障、理由附記、責任歸屬、期限與救濟。定位為「成文法程序要件的合致性審查」，不同於DPIA或演算法影響評估，二者應併行。</w:t>
      </w:r>
    </w:p>
    <w:p w:rsidR="005C2B62" w:rsidRDefault="00ED3EB0">
      <w:pPr>
        <w:spacing w:after="0" w:line="480" w:lineRule="auto" w:before="0"/>
        <w:ind w:firstLine="720"/>
        <w:jc w:val="both"/>
      </w:pPr>
      <w:r>
        <w:rPr>
          <w:rFonts w:eastAsia="標楷體" w:ascii="Times New Roman" w:hAnsi="Times New Roman"/>
          <w:b w:val="0"/>
          <w:sz w:val="24"/>
        </w:rPr>
        <w:t>待補規格：審計主體（建議獨立於系統建置機關的法制／審計單位）、審計時點（部署前、重大更新、定期）、未通過時的處置（暫緩部署、限期改正、公開摘要）、是否適用於低風險推薦系統</w:t>
      </w:r>
      <w:r>
        <w:rPr>
          <w:rFonts w:eastAsia="標楷體" w:ascii="Times New Roman" w:hAnsi="Times New Roman"/>
          <w:b w:val="0"/>
          <w:sz w:val="24"/>
        </w:rPr>
        <w:t>（建議分級適用）、審計結果是否公開摘要。目前為方向性設計，實際問題清單與判定標準需各國法制轉化。</w:t>
      </w:r>
    </w:p>
    <w:p w:rsidR="005C2B62" w:rsidRDefault="00ED3EB0">
      <w:pPr>
        <w:pStyle w:val="2"/>
        <w:spacing w:line="480" w:lineRule="auto" w:before="120" w:after="0"/>
        <w:ind/>
        <w:jc w:val="both"/>
      </w:pPr>
      <w:r>
        <w:rPr>
          <w:rFonts w:ascii="Times New Roman" w:hAnsi="Times New Roman" w:eastAsia="標楷體"/>
          <w:b/>
          <w:sz w:val="24"/>
        </w:rPr>
        <w:t xml:space="preserve">5.2　</w:t>
      </w:r>
      <w:proofErr w:type="spellStart"/>
      <w:r>
        <w:rPr>
          <w:rFonts w:ascii="Times New Roman" w:hAnsi="Times New Roman" w:eastAsia="標楷體"/>
          <w:b/>
          <w:sz w:val="24"/>
        </w:rPr>
        <w:t>善意異議責任安全港</w:t>
      </w:r>
      <w:proofErr w:type="spellEnd"/>
    </w:p>
    <w:p w:rsidR="005C2B62" w:rsidRDefault="00ED3EB0">
      <w:pPr>
        <w:spacing w:after="0" w:line="480" w:lineRule="auto" w:before="0"/>
        <w:ind w:firstLine="720"/>
        <w:jc w:val="both"/>
      </w:pPr>
      <w:r>
        <w:rPr>
          <w:rFonts w:eastAsia="標楷體" w:ascii="Times New Roman" w:hAnsi="Times New Roman"/>
          <w:b w:val="0"/>
          <w:sz w:val="24"/>
        </w:rPr>
        <w:t>保護範圍限定為因善意提出異議、要求覆核或拒絕機械採納AI建議所產生的行政及人事不利益；不當然排除故意、重大過失、利益衝突或消極怠惰。此處「安全港」為統合性概念；第024篇針對文官薪酬與考核脈絡，將其進一步細分為考核保障、加給保障與法律責任判斷三層，讀者可參照第024篇第4.4節之細部設計。</w:t>
      </w:r>
    </w:p>
    <w:p w:rsidR="005C2B62" w:rsidRDefault="00ED3EB0">
      <w:pPr>
        <w:spacing w:after="0" w:line="480" w:lineRule="auto" w:before="0"/>
        <w:ind w:firstLine="720"/>
        <w:jc w:val="both"/>
      </w:pPr>
      <w:r>
        <w:rPr>
          <w:rFonts w:eastAsia="標楷體" w:ascii="Times New Roman" w:hAnsi="Times New Roman"/>
          <w:b w:val="0"/>
          <w:sz w:val="24"/>
        </w:rPr>
        <w:t>待補規格：「善意」由誰判斷（建議外部或跨單位覆核，而非原主管單方認定）；異議是否必須附最低理由</w:t>
      </w:r>
      <w:r>
        <w:rPr>
          <w:rFonts w:eastAsia="標楷體" w:ascii="Times New Roman" w:hAnsi="Times New Roman"/>
          <w:b w:val="0"/>
          <w:sz w:val="24"/>
        </w:rPr>
        <w:t>；若異議導致行政延誤如何處理（可設定時限與升級機制）；保護範圍涵蓋行政責任、人事考績責任，民事／國家賠償需另行設計；受保護者仍須完成最低限度的人工判斷程序（例如查閱關鍵欄位、記錄是否偏離）。此為功能性概念，法效果需對應各國懲戒／考績法制中的「阻卻違法／有責性」要件進行轉化。</w:t>
      </w:r>
    </w:p>
    <w:p w:rsidR="005C2B62" w:rsidRDefault="00ED3EB0">
      <w:pPr>
        <w:pStyle w:val="2"/>
        <w:spacing w:line="480" w:lineRule="auto" w:before="120" w:after="0"/>
        <w:ind/>
        <w:jc w:val="both"/>
      </w:pPr>
      <w:r>
        <w:rPr>
          <w:rFonts w:ascii="Times New Roman" w:hAnsi="Times New Roman" w:eastAsia="標楷體"/>
          <w:b/>
          <w:sz w:val="24"/>
        </w:rPr>
        <w:t xml:space="preserve">5.3　</w:t>
      </w:r>
      <w:proofErr w:type="spellStart"/>
      <w:r>
        <w:rPr>
          <w:rFonts w:ascii="Times New Roman" w:hAnsi="Times New Roman" w:eastAsia="標楷體"/>
          <w:b/>
          <w:sz w:val="24"/>
        </w:rPr>
        <w:t>限定範圍第二意見程序（原Peer-Review</w:t>
      </w:r>
      <w:proofErr w:type="spellEnd"/>
      <w:r>
        <w:rPr>
          <w:rFonts w:ascii="Times New Roman" w:hAnsi="Times New Roman" w:eastAsia="標楷體"/>
          <w:b/>
          <w:sz w:val="24"/>
        </w:rPr>
        <w:t xml:space="preserve"> Board）</w:t>
      </w:r>
    </w:p>
    <w:p w:rsidR="005C2B62" w:rsidRDefault="00ED3EB0">
      <w:pPr>
        <w:spacing w:after="0" w:line="480" w:lineRule="auto" w:before="0"/>
        <w:ind w:firstLine="720"/>
        <w:jc w:val="both"/>
      </w:pPr>
      <w:r>
        <w:rPr>
          <w:rFonts w:eastAsia="標楷體" w:ascii="Times New Roman" w:hAnsi="Times New Roman"/>
          <w:b w:val="0"/>
          <w:sz w:val="24"/>
        </w:rPr>
        <w:t>定位為行政內部的第二意見程序（同儕、限時、簡易），明確排除其作為司法救濟或獨立監管機關的功能。僅處理AI建議與人工判斷重大分歧，或高風險案件需要快速第二意見的情況。</w:t>
      </w:r>
    </w:p>
    <w:p w:rsidR="005C2B62" w:rsidRDefault="00ED3EB0">
      <w:pPr>
        <w:spacing w:after="0" w:line="480" w:lineRule="auto" w:before="0"/>
        <w:ind w:firstLine="720"/>
        <w:jc w:val="both"/>
      </w:pPr>
      <w:r>
        <w:rPr>
          <w:rFonts w:eastAsia="標楷體" w:ascii="Times New Roman" w:hAnsi="Times New Roman"/>
          <w:b w:val="0"/>
          <w:sz w:val="24"/>
        </w:rPr>
        <w:t>待補規格：觸發條件（例如風險分數超過閾值、承辦人主動請求、隨機抽樣）；委員來源與專業組合；意見拘束性（建議性為主，重大案件可升級）；與現行法規會、訴願、監察程序的職權區分；高量案件下的負荷控管（限時、限件、分流）。</w:t>
      </w:r>
    </w:p>
    <w:p w:rsidR="005C2B62" w:rsidRDefault="00ED3EB0">
      <w:pPr>
        <w:pStyle w:val="2"/>
        <w:spacing w:line="480" w:lineRule="auto" w:before="120" w:after="0"/>
        <w:ind/>
        <w:jc w:val="both"/>
      </w:pPr>
      <w:r>
        <w:rPr>
          <w:rFonts w:ascii="Times New Roman" w:hAnsi="Times New Roman" w:eastAsia="標楷體"/>
          <w:b/>
          <w:sz w:val="24"/>
        </w:rPr>
        <w:t xml:space="preserve">5.4　</w:t>
      </w:r>
      <w:proofErr w:type="spellStart"/>
      <w:r>
        <w:rPr>
          <w:rFonts w:ascii="Times New Roman" w:hAnsi="Times New Roman" w:eastAsia="標楷體"/>
          <w:b/>
          <w:sz w:val="24"/>
        </w:rPr>
        <w:t>非對稱簡化紀錄與風險分級失效條款</w:t>
      </w:r>
      <w:proofErr w:type="spellEnd"/>
    </w:p>
    <w:p w:rsidR="005C2B62" w:rsidRDefault="00ED3EB0">
      <w:pPr>
        <w:spacing w:after="0" w:line="480" w:lineRule="auto" w:before="0"/>
        <w:ind w:firstLine="720"/>
        <w:jc w:val="both"/>
      </w:pPr>
      <w:proofErr w:type="spellStart"/>
      <w:r>
        <w:rPr>
          <w:rFonts w:eastAsia="標楷體" w:ascii="Times New Roman" w:hAnsi="Times New Roman"/>
          <w:b w:val="0"/>
          <w:sz w:val="24"/>
        </w:rPr>
        <w:t>低風險案件保留最低欄位：責任主體、模型版本與時間戳、採納／修改／拒絕、風險警示、抽查標記</w:t>
      </w:r>
      <w:proofErr w:type="spellEnd"/>
      <w:r>
        <w:rPr>
          <w:rFonts w:eastAsia="標楷體" w:ascii="Times New Roman" w:hAnsi="Times New Roman"/>
          <w:b w:val="0"/>
          <w:sz w:val="24"/>
        </w:rPr>
        <w:t>。</w:t>
      </w:r>
    </w:p>
    <w:p w:rsidR="005C2B62" w:rsidRDefault="00ED3EB0">
      <w:pPr>
        <w:spacing w:after="0" w:line="480" w:lineRule="auto" w:before="0"/>
        <w:ind w:firstLine="720"/>
        <w:jc w:val="both"/>
      </w:pPr>
      <w:r>
        <w:rPr>
          <w:rFonts w:eastAsia="標楷體" w:ascii="Times New Roman" w:hAnsi="Times New Roman"/>
          <w:b w:val="0"/>
          <w:sz w:val="24"/>
        </w:rPr>
        <w:t>風險分級失效條款（Sunset）：失效對象可為特定模型部署授權、緊急行政命令或特定資料處理</w:t>
      </w:r>
      <w:r>
        <w:rPr>
          <w:rFonts w:eastAsia="標楷體" w:ascii="Times New Roman" w:hAnsi="Times New Roman"/>
          <w:b w:val="0"/>
          <w:sz w:val="24"/>
        </w:rPr>
        <w:lastRenderedPageBreak/>
        <w:t>目的；期限屆滿後原則自動停止，重新啟動需提出證據並經外部或跨單位審查；緊急狀態延長應由明確機關決定並公開理由；需防止機關以不斷重新發布命令規避期限。建議建立「風險等級—最長有效期間—續期條件—外部審查」矩陣，實際數字由各國法制與試辦決定。</w:t>
      </w:r>
    </w:p>
    <w:p w:rsidR="005C2B62" w:rsidRDefault="00ED3EB0">
      <w:pPr>
        <w:pStyle w:val="2"/>
        <w:spacing w:line="480" w:lineRule="auto" w:before="120" w:after="0"/>
        <w:ind/>
        <w:jc w:val="both"/>
      </w:pPr>
      <w:r>
        <w:rPr>
          <w:rFonts w:ascii="Times New Roman" w:hAnsi="Times New Roman" w:eastAsia="標楷體"/>
          <w:b/>
          <w:sz w:val="24"/>
        </w:rPr>
        <w:t>5.5　與第024篇的整合說明</w:t>
      </w:r>
    </w:p>
    <w:p w:rsidR="005C2B62" w:rsidRDefault="00ED3EB0">
      <w:pPr>
        <w:spacing w:after="0" w:line="480" w:lineRule="auto" w:before="0"/>
        <w:ind w:firstLine="720"/>
        <w:jc w:val="both"/>
      </w:pPr>
      <w:r>
        <w:rPr>
          <w:rFonts w:eastAsia="標楷體" w:ascii="Times New Roman" w:hAnsi="Times New Roman"/>
          <w:b w:val="0"/>
          <w:sz w:val="24"/>
        </w:rPr>
        <w:t>若制度要求文官對AI保持實質判斷，就必須同步提供異議保護、能力條件與合理誘因。第025篇的修補工具與第024篇的職能與考核設計可形成制度鏈，但兩者目前</w:t>
      </w:r>
      <w:r>
        <w:rPr>
          <w:rFonts w:eastAsia="標楷體" w:ascii="Times New Roman" w:hAnsi="Times New Roman"/>
          <w:b w:val="0"/>
          <w:sz w:val="24"/>
        </w:rPr>
        <w:t>均屬同系列理論提案，尚未經獨立資料檢驗；實際成效仍待後續實證。</w:t>
      </w:r>
    </w:p>
    <w:p w:rsidR="005C2B62" w:rsidRDefault="00ED3EB0">
      <w:pPr>
        <w:pStyle w:val="1"/>
        <w:spacing w:line="480" w:lineRule="auto" w:before="240" w:after="0"/>
        <w:ind/>
        <w:jc w:val="left"/>
      </w:pPr>
      <w:proofErr w:type="spellStart"/>
      <w:r>
        <w:rPr>
          <w:rFonts w:ascii="Times New Roman" w:hAnsi="Times New Roman" w:eastAsia="標楷體"/>
          <w:b/>
          <w:sz w:val="28"/>
        </w:rPr>
        <w:t>第六章</w:t>
      </w:r>
      <w:proofErr w:type="spellEnd"/>
      <w:r>
        <w:rPr>
          <w:rFonts w:ascii="Times New Roman" w:hAnsi="Times New Roman" w:eastAsia="標楷體"/>
          <w:b/>
          <w:sz w:val="28"/>
        </w:rPr>
        <w:t xml:space="preserve">　</w:t>
      </w:r>
      <w:proofErr w:type="spellStart"/>
      <w:r>
        <w:rPr>
          <w:rFonts w:ascii="Times New Roman" w:hAnsi="Times New Roman" w:eastAsia="標楷體"/>
          <w:b/>
          <w:sz w:val="28"/>
        </w:rPr>
        <w:t>結論與研究限制</w:t>
      </w:r>
      <w:proofErr w:type="spellEnd"/>
    </w:p>
    <w:p w:rsidR="005C2B62" w:rsidRDefault="00ED3EB0">
      <w:pPr>
        <w:pStyle w:val="2"/>
        <w:spacing w:line="480" w:lineRule="auto" w:before="120" w:after="0"/>
        <w:ind/>
        <w:jc w:val="both"/>
      </w:pPr>
      <w:r>
        <w:rPr>
          <w:rFonts w:ascii="Times New Roman" w:hAnsi="Times New Roman" w:eastAsia="標楷體"/>
          <w:b/>
          <w:sz w:val="24"/>
        </w:rPr>
        <w:t xml:space="preserve">6.1　</w:t>
      </w:r>
      <w:proofErr w:type="spellStart"/>
      <w:r>
        <w:rPr>
          <w:rFonts w:ascii="Times New Roman" w:hAnsi="Times New Roman" w:eastAsia="標楷體"/>
          <w:b/>
          <w:sz w:val="24"/>
        </w:rPr>
        <w:t>對研究問題的回應</w:t>
      </w:r>
      <w:proofErr w:type="spellEnd"/>
    </w:p>
    <w:p w:rsidR="005C2B62" w:rsidRDefault="00ED3EB0">
      <w:pPr>
        <w:spacing w:after="0" w:line="480" w:lineRule="auto" w:before="0"/>
        <w:ind w:firstLine="720"/>
        <w:jc w:val="both"/>
      </w:pPr>
      <w:r>
        <w:rPr>
          <w:rFonts w:eastAsia="標楷體" w:ascii="Times New Roman" w:hAnsi="Times New Roman"/>
          <w:b w:val="0"/>
          <w:sz w:val="24"/>
        </w:rPr>
        <w:t>針對RQ1：第014篇之25-3-3-4-7架構在本文所分析的政策場域中仍具有條件的解釋力；本文進一步延伸的緊急治理與快速部署情境（奠基於Boin et al., 2016危機治理文獻，而非014篇原始框架）與形式—實質張力的連結，構成本文對014篇框架的補充擴展。針對RQ2：在所分析的場域中，呈現三種表現型態，可理解為「形式保障與實質治理功能脫鉤」的風險機制；其交互關係正式化為三項可檢驗命題，</w:t>
      </w:r>
      <w:r>
        <w:rPr>
          <w:rFonts w:eastAsia="標楷體" w:ascii="Times New Roman" w:hAnsi="Times New Roman"/>
          <w:b w:val="0"/>
          <w:sz w:val="24"/>
        </w:rPr>
        <w:t>目前屬理想型與分析命題，而非已獲實證的單一因果鏈。針對RQ3：對應提出具初步規格的規範性設計，但仍需各國法制轉化與試辦。</w:t>
      </w:r>
    </w:p>
    <w:p w:rsidR="005C2B62" w:rsidRDefault="00ED3EB0">
      <w:pPr>
        <w:pStyle w:val="2"/>
        <w:spacing w:line="480" w:lineRule="auto" w:before="120" w:after="0"/>
        <w:ind/>
        <w:jc w:val="both"/>
      </w:pPr>
      <w:r>
        <w:rPr>
          <w:rFonts w:ascii="Times New Roman" w:hAnsi="Times New Roman" w:eastAsia="標楷體"/>
          <w:b/>
          <w:sz w:val="24"/>
        </w:rPr>
        <w:t xml:space="preserve">6.2　</w:t>
      </w:r>
      <w:proofErr w:type="spellStart"/>
      <w:r>
        <w:rPr>
          <w:rFonts w:ascii="Times New Roman" w:hAnsi="Times New Roman" w:eastAsia="標楷體"/>
          <w:b/>
          <w:sz w:val="24"/>
        </w:rPr>
        <w:t>研究限制</w:t>
      </w:r>
      <w:proofErr w:type="spellEnd"/>
    </w:p>
    <w:p w:rsidR="005C2B62" w:rsidRDefault="00ED3EB0">
      <w:pPr>
        <w:pStyle w:val="a4"/>
        <w:numPr>
          <w:ilvl w:val="0"/>
          <w:numId w:val="3"/>
        </w:numPr>
        <w:spacing w:after="0" w:line="480" w:lineRule="auto" w:before="0"/>
        <w:ind w:firstLine="720"/>
        <w:jc w:val="both"/>
      </w:pPr>
      <w:proofErr w:type="spellStart"/>
      <w:r>
        <w:rPr>
          <w:rFonts w:eastAsia="標楷體" w:ascii="Times New Roman" w:hAnsi="Times New Roman"/>
          <w:b w:val="0"/>
          <w:sz w:val="24"/>
        </w:rPr>
        <w:t>資料以B</w:t>
      </w:r>
      <w:proofErr w:type="spellEnd"/>
      <w:r>
        <w:rPr>
          <w:rFonts w:eastAsia="標楷體" w:ascii="Times New Roman" w:hAnsi="Times New Roman"/>
          <w:b w:val="0"/>
          <w:sz w:val="24"/>
        </w:rPr>
        <w:t>–</w:t>
      </w:r>
      <w:proofErr w:type="spellStart"/>
      <w:r>
        <w:rPr>
          <w:rFonts w:eastAsia="標楷體" w:ascii="Times New Roman" w:hAnsi="Times New Roman"/>
          <w:b w:val="0"/>
          <w:sz w:val="24"/>
        </w:rPr>
        <w:t>C級官方文件與D級推論為主，A級證據（判決、稽核、內部決定紀錄）不足</w:t>
      </w:r>
      <w:proofErr w:type="spellEnd"/>
      <w:r>
        <w:rPr>
          <w:rFonts w:eastAsia="標楷體" w:ascii="Times New Roman" w:hAnsi="Times New Roman"/>
          <w:b w:val="0"/>
          <w:sz w:val="24"/>
        </w:rPr>
        <w:t>。</w:t>
      </w:r>
    </w:p>
    <w:p w:rsidR="005C2B62" w:rsidRDefault="00ED3EB0">
      <w:pPr>
        <w:pStyle w:val="a4"/>
        <w:numPr>
          <w:ilvl w:val="0"/>
          <w:numId w:val="3"/>
        </w:numPr>
        <w:spacing w:after="0" w:line="480" w:lineRule="auto" w:before="0"/>
        <w:ind w:firstLine="720"/>
        <w:jc w:val="both"/>
      </w:pPr>
      <w:proofErr w:type="spellStart"/>
      <w:r>
        <w:rPr>
          <w:rFonts w:eastAsia="標楷體" w:ascii="Times New Roman" w:hAnsi="Times New Roman"/>
          <w:b w:val="0"/>
          <w:sz w:val="24"/>
        </w:rPr>
        <w:t>案例為異質政策場域，無法嚴格分離「國家制度」與「政策領域」效應</w:t>
      </w:r>
      <w:proofErr w:type="spellEnd"/>
      <w:r>
        <w:rPr>
          <w:rFonts w:eastAsia="標楷體" w:ascii="Times New Roman" w:hAnsi="Times New Roman"/>
          <w:b w:val="0"/>
          <w:sz w:val="24"/>
        </w:rPr>
        <w:t>。</w:t>
      </w:r>
    </w:p>
    <w:p w:rsidR="005C2B62" w:rsidRDefault="00ED3EB0">
      <w:pPr>
        <w:pStyle w:val="a4"/>
        <w:numPr>
          <w:ilvl w:val="0"/>
          <w:numId w:val="3"/>
        </w:numPr>
        <w:spacing w:after="0" w:line="480" w:lineRule="auto" w:before="0"/>
        <w:ind w:firstLine="720"/>
        <w:jc w:val="both"/>
      </w:pPr>
      <w:r>
        <w:rPr>
          <w:rFonts w:eastAsia="標楷體" w:ascii="Times New Roman" w:hAnsi="Times New Roman"/>
          <w:b w:val="0"/>
          <w:sz w:val="24"/>
        </w:rPr>
        <w:t>25-3-3-4-7完整操作化與編碼者一致性尚未完成；本篇僅提供主要座標的獨立可讀說明。</w:t>
      </w:r>
    </w:p>
    <w:p w:rsidR="005C2B62" w:rsidRDefault="00ED3EB0">
      <w:pPr>
        <w:pStyle w:val="a4"/>
        <w:numPr>
          <w:ilvl w:val="0"/>
          <w:numId w:val="3"/>
        </w:numPr>
        <w:spacing w:after="0" w:line="480" w:lineRule="auto" w:before="0"/>
        <w:ind w:firstLine="720"/>
        <w:jc w:val="both"/>
      </w:pPr>
      <w:proofErr w:type="spellStart"/>
      <w:r>
        <w:rPr>
          <w:rFonts w:eastAsia="標楷體" w:ascii="Times New Roman" w:hAnsi="Times New Roman"/>
          <w:b w:val="0"/>
          <w:sz w:val="24"/>
        </w:rPr>
        <w:t>缺乏系統性負案例，存在確認偏誤風險</w:t>
      </w:r>
      <w:proofErr w:type="spellEnd"/>
      <w:r>
        <w:rPr>
          <w:rFonts w:eastAsia="標楷體" w:ascii="Times New Roman" w:hAnsi="Times New Roman"/>
          <w:b w:val="0"/>
          <w:sz w:val="24"/>
        </w:rPr>
        <w:t>。</w:t>
      </w:r>
    </w:p>
    <w:p w:rsidR="005C2B62" w:rsidRDefault="00ED3EB0">
      <w:pPr>
        <w:pStyle w:val="a4"/>
        <w:numPr>
          <w:ilvl w:val="0"/>
          <w:numId w:val="3"/>
        </w:numPr>
        <w:spacing w:after="0" w:line="480" w:lineRule="auto" w:before="0"/>
        <w:ind w:firstLine="720"/>
        <w:jc w:val="both"/>
      </w:pPr>
      <w:r>
        <w:rPr>
          <w:rFonts w:eastAsia="標楷體" w:ascii="Times New Roman" w:hAnsi="Times New Roman"/>
          <w:b w:val="0"/>
          <w:sz w:val="24"/>
        </w:rPr>
        <w:t>「</w:t>
      </w:r>
      <w:proofErr w:type="spellStart"/>
      <w:r>
        <w:rPr>
          <w:rFonts w:eastAsia="標楷體" w:ascii="Times New Roman" w:hAnsi="Times New Roman"/>
          <w:b w:val="0"/>
          <w:sz w:val="24"/>
        </w:rPr>
        <w:t>責任避險」等機制仍待微觀行為資料（實驗、訪談、文本編碼）檢驗</w:t>
      </w:r>
      <w:proofErr w:type="spellEnd"/>
      <w:r>
        <w:rPr>
          <w:rFonts w:eastAsia="標楷體" w:ascii="Times New Roman" w:hAnsi="Times New Roman"/>
          <w:b w:val="0"/>
          <w:sz w:val="24"/>
        </w:rPr>
        <w:t>。</w:t>
      </w:r>
    </w:p>
    <w:p w:rsidR="005C2B62" w:rsidRDefault="00ED3EB0">
      <w:pPr>
        <w:pStyle w:val="a4"/>
        <w:numPr>
          <w:ilvl w:val="0"/>
          <w:numId w:val="3"/>
        </w:numPr>
        <w:spacing w:after="0" w:line="480" w:lineRule="auto" w:before="0"/>
        <w:ind w:firstLine="720"/>
        <w:jc w:val="both"/>
      </w:pPr>
      <w:r>
        <w:rPr>
          <w:rFonts w:eastAsia="標楷體" w:ascii="Times New Roman" w:hAnsi="Times New Roman"/>
          <w:b w:val="0"/>
          <w:sz w:val="24"/>
        </w:rPr>
        <w:t>第014、024篇為未出版手稿</w:t>
      </w:r>
      <w:r>
        <w:rPr>
          <w:rFonts w:eastAsia="標楷體" w:ascii="Times New Roman" w:hAnsi="Times New Roman"/>
          <w:b w:val="0"/>
          <w:sz w:val="24"/>
        </w:rPr>
        <w:t>，本篇已盡量重建必要理論，但仍建議讀者將系列視為整體。</w:t>
      </w:r>
    </w:p>
    <w:p w:rsidR="005C2B62" w:rsidRDefault="00ED3EB0">
      <w:pPr>
        <w:pStyle w:val="2"/>
        <w:spacing w:line="480" w:lineRule="auto" w:before="120" w:after="0"/>
        <w:ind/>
        <w:jc w:val="both"/>
      </w:pPr>
      <w:r>
        <w:rPr>
          <w:rFonts w:ascii="Times New Roman" w:hAnsi="Times New Roman" w:eastAsia="標楷體"/>
          <w:b/>
          <w:sz w:val="24"/>
        </w:rPr>
        <w:t xml:space="preserve">6.3　</w:t>
      </w:r>
      <w:proofErr w:type="spellStart"/>
      <w:r>
        <w:rPr>
          <w:rFonts w:ascii="Times New Roman" w:hAnsi="Times New Roman" w:eastAsia="標楷體"/>
          <w:b/>
          <w:sz w:val="24"/>
        </w:rPr>
        <w:t>未來方向</w:t>
      </w:r>
      <w:proofErr w:type="spellEnd"/>
    </w:p>
    <w:p w:rsidR="005C2B62" w:rsidRDefault="00ED3EB0">
      <w:pPr>
        <w:spacing w:after="0" w:line="480" w:lineRule="auto" w:before="0"/>
        <w:ind w:firstLine="720"/>
        <w:jc w:val="both"/>
      </w:pPr>
      <w:proofErr w:type="spellStart"/>
      <w:r>
        <w:rPr>
          <w:rFonts w:eastAsia="標楷體" w:ascii="Times New Roman" w:hAnsi="Times New Roman"/>
          <w:b w:val="0"/>
          <w:sz w:val="24"/>
        </w:rPr>
        <w:t>後續應</w:t>
      </w:r>
      <w:proofErr w:type="spellEnd"/>
      <w:proofErr w:type="gramStart"/>
      <w:r>
        <w:rPr>
          <w:rFonts w:eastAsia="標楷體" w:ascii="Times New Roman" w:hAnsi="Times New Roman"/>
          <w:b w:val="0"/>
          <w:sz w:val="24"/>
        </w:rPr>
        <w:t>：(</w:t>
      </w:r>
      <w:proofErr w:type="gramEnd"/>
      <w:r>
        <w:rPr>
          <w:rFonts w:eastAsia="標楷體" w:ascii="Times New Roman" w:hAnsi="Times New Roman"/>
          <w:b w:val="0"/>
          <w:sz w:val="24"/>
        </w:rPr>
        <w:t xml:space="preserve">1) </w:t>
      </w:r>
      <w:proofErr w:type="spellStart"/>
      <w:r>
        <w:rPr>
          <w:rFonts w:eastAsia="標楷體" w:ascii="Times New Roman" w:hAnsi="Times New Roman"/>
          <w:b w:val="0"/>
          <w:sz w:val="24"/>
        </w:rPr>
        <w:t>補充各場域的案例證據表與A級文件</w:t>
      </w:r>
      <w:proofErr w:type="spellEnd"/>
      <w:r>
        <w:rPr>
          <w:rFonts w:eastAsia="標楷體" w:ascii="Times New Roman" w:hAnsi="Times New Roman"/>
          <w:b w:val="0"/>
          <w:sz w:val="24"/>
        </w:rPr>
        <w:t xml:space="preserve">；(2) </w:t>
      </w:r>
      <w:proofErr w:type="spellStart"/>
      <w:r>
        <w:rPr>
          <w:rFonts w:eastAsia="標楷體" w:ascii="Times New Roman" w:hAnsi="Times New Roman"/>
          <w:b w:val="0"/>
          <w:sz w:val="24"/>
        </w:rPr>
        <w:t>蒐集負案例與反例</w:t>
      </w:r>
      <w:proofErr w:type="spellEnd"/>
      <w:r>
        <w:rPr>
          <w:rFonts w:eastAsia="標楷體" w:ascii="Times New Roman" w:hAnsi="Times New Roman"/>
          <w:b w:val="0"/>
          <w:sz w:val="24"/>
        </w:rPr>
        <w:t xml:space="preserve">；(3) 以第026篇提出的三階段實證策略（文本分析、情境實驗、深度訪談）檢驗命題一至三；(4) </w:t>
      </w:r>
      <w:proofErr w:type="spellStart"/>
      <w:r>
        <w:rPr>
          <w:rFonts w:eastAsia="標楷體" w:ascii="Times New Roman" w:hAnsi="Times New Roman"/>
          <w:b w:val="0"/>
          <w:sz w:val="24"/>
        </w:rPr>
        <w:t>將制度工具轉化為可測試的條款模型並進行政策實驗</w:t>
      </w:r>
      <w:proofErr w:type="spellEnd"/>
      <w:r>
        <w:rPr>
          <w:rFonts w:eastAsia="標楷體" w:ascii="Times New Roman" w:hAnsi="Times New Roman"/>
          <w:b w:val="0"/>
          <w:sz w:val="24"/>
        </w:rPr>
        <w:t>。</w:t>
      </w:r>
    </w:p>
    <w:p w:rsidR="005C2B62" w:rsidRDefault="00ED3EB0">
      <w:pPr>
        <w:pStyle w:val="1"/>
        <w:spacing w:line="480" w:lineRule="auto" w:before="0" w:after="0"/>
        <w:ind w:firstLine="720"/>
        <w:jc w:val="both"/>
      </w:pPr>
      <w:proofErr w:type="spellStart"/>
      <w:r>
        <w:rPr>
          <w:rFonts w:ascii="Times New Roman" w:hAnsi="Times New Roman" w:eastAsia="標楷體"/>
          <w:b w:val="0"/>
          <w:sz w:val="24"/>
        </w:rPr>
        <w:t>附錄A</w:t>
      </w:r>
      <w:proofErr w:type="spellEnd"/>
      <w:r>
        <w:rPr>
          <w:rFonts w:ascii="Times New Roman" w:hAnsi="Times New Roman" w:eastAsia="標楷體"/>
          <w:b w:val="0"/>
          <w:sz w:val="24"/>
        </w:rPr>
        <w:t xml:space="preserve">　25-3-3-4-7架構操作化摘要（獨立可讀版）</w:t>
      </w:r>
    </w:p>
    <w:p w:rsidR="005C2B62" w:rsidRDefault="00ED3EB0">
      <w:pPr>
        <w:spacing w:after="0" w:line="480" w:lineRule="auto" w:before="0"/>
        <w:ind w:firstLine="720"/>
        <w:jc w:val="both"/>
      </w:pPr>
      <w:r>
        <w:rPr>
          <w:rFonts w:eastAsia="標楷體" w:ascii="Times New Roman" w:hAnsi="Times New Roman"/>
          <w:b w:val="0"/>
          <w:sz w:val="24"/>
        </w:rPr>
        <w:t>完整25座標定義見第014篇。本篇使用之判定規則：</w:t>
      </w:r>
    </w:p>
    <w:p w:rsidR="005C2B62" w:rsidRDefault="00ED3EB0">
      <w:pPr>
        <w:pStyle w:val="a4"/>
        <w:numPr>
          <w:ilvl w:val="0"/>
          <w:numId w:val="3"/>
        </w:numPr>
        <w:spacing w:after="0" w:line="480" w:lineRule="auto" w:before="0"/>
        <w:ind w:firstLine="720"/>
        <w:jc w:val="both"/>
      </w:pPr>
      <w:proofErr w:type="spellStart"/>
      <w:r>
        <w:rPr>
          <w:rFonts w:eastAsia="標楷體" w:ascii="Times New Roman" w:hAnsi="Times New Roman"/>
          <w:b w:val="0"/>
          <w:sz w:val="24"/>
        </w:rPr>
        <w:lastRenderedPageBreak/>
        <w:t>進入某座標的最低證據：至少一項B級以上文件顯示該層級的制度設計或決策實務</w:t>
      </w:r>
      <w:proofErr w:type="spellEnd"/>
      <w:r>
        <w:rPr>
          <w:rFonts w:eastAsia="標楷體" w:ascii="Times New Roman" w:hAnsi="Times New Roman"/>
          <w:b w:val="0"/>
          <w:sz w:val="24"/>
        </w:rPr>
        <w:t>。</w:t>
      </w:r>
    </w:p>
    <w:p w:rsidR="005C2B62" w:rsidRDefault="00ED3EB0">
      <w:pPr>
        <w:pStyle w:val="a4"/>
        <w:numPr>
          <w:ilvl w:val="0"/>
          <w:numId w:val="3"/>
        </w:numPr>
        <w:spacing w:after="0" w:line="480" w:lineRule="auto" w:before="0"/>
        <w:ind w:firstLine="720"/>
        <w:jc w:val="both"/>
      </w:pPr>
      <w:proofErr w:type="spellStart"/>
      <w:r>
        <w:rPr>
          <w:rFonts w:eastAsia="標楷體" w:ascii="Times New Roman" w:hAnsi="Times New Roman"/>
          <w:b w:val="0"/>
          <w:sz w:val="24"/>
        </w:rPr>
        <w:t>相鄰座標區分：以「核心斷裂發生的主要層級」為準；允許多重歸屬，但須標示主要與次要</w:t>
      </w:r>
      <w:proofErr w:type="spellEnd"/>
      <w:r>
        <w:rPr>
          <w:rFonts w:eastAsia="標楷體" w:ascii="Times New Roman" w:hAnsi="Times New Roman"/>
          <w:b w:val="0"/>
          <w:sz w:val="24"/>
        </w:rPr>
        <w:t>。</w:t>
      </w:r>
    </w:p>
    <w:p w:rsidR="005C2B62" w:rsidRDefault="00ED3EB0">
      <w:pPr>
        <w:pStyle w:val="a4"/>
        <w:numPr>
          <w:ilvl w:val="0"/>
          <w:numId w:val="3"/>
        </w:numPr>
        <w:spacing w:after="0" w:line="480" w:lineRule="auto" w:before="0"/>
        <w:ind w:firstLine="720"/>
        <w:jc w:val="both"/>
      </w:pPr>
      <w:r>
        <w:rPr>
          <w:rFonts w:eastAsia="標楷體" w:ascii="Times New Roman" w:hAnsi="Times New Roman"/>
          <w:b w:val="0"/>
          <w:sz w:val="24"/>
        </w:rPr>
        <w:t>自我檢核：作者依表3-1排除理由進行一致性檢查；尚未進行獨立雙編碼。</w:t>
      </w:r>
    </w:p>
    <w:p w:rsidR="005C2B62" w:rsidRDefault="00ED3EB0">
      <w:pPr>
        <w:spacing w:after="0" w:line="480" w:lineRule="auto" w:before="0"/>
        <w:ind w:firstLine="720"/>
        <w:jc w:val="both"/>
      </w:pPr>
      <w:proofErr w:type="spellStart"/>
      <w:r>
        <w:rPr>
          <w:rFonts w:eastAsia="標楷體" w:ascii="Times New Roman" w:hAnsi="Times New Roman"/>
          <w:b w:val="0"/>
          <w:sz w:val="24"/>
        </w:rPr>
        <w:t>後續版本將補充完整座標表、全部案例編碼結果與判定決策樹</w:t>
      </w:r>
      <w:proofErr w:type="spellEnd"/>
      <w:r>
        <w:rPr>
          <w:rFonts w:eastAsia="標楷體" w:ascii="Times New Roman" w:hAnsi="Times New Roman"/>
          <w:b w:val="0"/>
          <w:sz w:val="24"/>
        </w:rPr>
        <w:t>。</w:t>
      </w:r>
    </w:p>
    <w:p w:rsidR="005C2B62" w:rsidRDefault="00ED3EB0">
      <w:pPr>
        <w:pStyle w:val="1"/>
        <w:spacing w:line="480" w:lineRule="auto" w:before="240" w:after="0"/>
        <w:ind/>
        <w:jc w:val="center"/>
      </w:pPr>
      <w:proofErr w:type="spellStart"/>
      <w:r>
        <w:rPr>
          <w:rFonts w:ascii="Times New Roman" w:hAnsi="Times New Roman" w:eastAsia="標楷體"/>
          <w:b/>
          <w:sz w:val="28"/>
        </w:rPr>
        <w:t>參考文獻</w:t>
      </w:r>
      <w:proofErr w:type="spellEnd"/>
    </w:p>
    <w:p w:rsidR="005C2B62" w:rsidRDefault="00ED3EB0">
      <w:pPr>
        <w:spacing w:after="0" w:line="480" w:lineRule="auto" w:before="0"/>
        <w:ind w:left="720" w:hanging="720"/>
        <w:jc w:val="left"/>
      </w:pPr>
      <w:r>
        <w:rPr>
          <w:rFonts w:eastAsia="標楷體" w:ascii="Times New Roman" w:hAnsi="Times New Roman"/>
          <w:b w:val="0"/>
          <w:sz w:val="24"/>
        </w:rPr>
        <w:t>Ansell, C., &amp; Gash, A. (2008). Collaborative governance in theory and practice. Journal of Public Administration Research and Theory, 18(4), 543–</w:t>
      </w:r>
      <w:r>
        <w:rPr>
          <w:rFonts w:eastAsia="標楷體" w:ascii="Times New Roman" w:hAnsi="Times New Roman"/>
          <w:b w:val="0"/>
          <w:sz w:val="24"/>
        </w:rPr>
        <w:t>571.</w:t>
      </w:r>
    </w:p>
    <w:p w:rsidR="005C2B62" w:rsidRDefault="00ED3EB0">
      <w:pPr>
        <w:spacing w:after="0" w:line="480" w:lineRule="auto" w:before="0"/>
        <w:ind w:left="720" w:hanging="720"/>
        <w:jc w:val="left"/>
      </w:pPr>
      <w:r>
        <w:rPr>
          <w:rFonts w:eastAsia="標楷體" w:ascii="Times New Roman" w:hAnsi="Times New Roman"/>
          <w:b w:val="0"/>
          <w:sz w:val="24"/>
        </w:rPr>
        <w:t>Berman, E. M., Moon, M. J., &amp; Choi, H. (Eds.). (2010). Public administration in East Asia: Mainland China, Japan, South Korea, and Taiwan. CRC Press.</w:t>
      </w:r>
    </w:p>
    <w:p w:rsidR="005C2B62" w:rsidRDefault="00ED3EB0">
      <w:pPr>
        <w:spacing w:after="0" w:line="480" w:lineRule="auto" w:before="0"/>
        <w:ind w:left="720" w:hanging="720"/>
        <w:jc w:val="left"/>
      </w:pPr>
      <w:proofErr w:type="spellStart"/>
      <w:r>
        <w:rPr>
          <w:rFonts w:eastAsia="標楷體" w:ascii="Times New Roman" w:hAnsi="Times New Roman"/>
          <w:b w:val="0"/>
          <w:sz w:val="24"/>
        </w:rPr>
        <w:t>Boin</w:t>
      </w:r>
      <w:proofErr w:type="spellEnd"/>
      <w:r>
        <w:rPr>
          <w:rFonts w:eastAsia="標楷體" w:ascii="Times New Roman" w:hAnsi="Times New Roman"/>
          <w:b w:val="0"/>
          <w:sz w:val="24"/>
        </w:rPr>
        <w:t xml:space="preserve">, A., 't Hart, P., Stern, E., &amp; </w:t>
      </w:r>
      <w:proofErr w:type="spellStart"/>
      <w:r>
        <w:rPr>
          <w:rFonts w:eastAsia="標楷體" w:ascii="Times New Roman" w:hAnsi="Times New Roman"/>
          <w:b w:val="0"/>
          <w:sz w:val="24"/>
        </w:rPr>
        <w:t>Sundelius</w:t>
      </w:r>
      <w:proofErr w:type="spellEnd"/>
      <w:r>
        <w:rPr>
          <w:rFonts w:eastAsia="標楷體" w:ascii="Times New Roman" w:hAnsi="Times New Roman"/>
          <w:b w:val="0"/>
          <w:sz w:val="24"/>
        </w:rPr>
        <w:t>, B. (2016). The politics of crisis management: Public leadership under pressure (2nd ed.). Cambridge University Press.</w:t>
      </w:r>
    </w:p>
    <w:p w:rsidR="005C2B62" w:rsidRDefault="00ED3EB0">
      <w:pPr>
        <w:spacing w:after="0" w:line="480" w:lineRule="auto" w:before="0"/>
        <w:ind w:left="720" w:hanging="720"/>
        <w:jc w:val="left"/>
      </w:pPr>
      <w:proofErr w:type="spellStart"/>
      <w:r>
        <w:rPr>
          <w:rFonts w:eastAsia="標楷體" w:ascii="Times New Roman" w:hAnsi="Times New Roman"/>
          <w:b w:val="0"/>
          <w:sz w:val="24"/>
        </w:rPr>
        <w:t>Bovens</w:t>
      </w:r>
      <w:proofErr w:type="spellEnd"/>
      <w:r>
        <w:rPr>
          <w:rFonts w:eastAsia="標楷體" w:ascii="Times New Roman" w:hAnsi="Times New Roman"/>
          <w:b w:val="0"/>
          <w:sz w:val="24"/>
        </w:rPr>
        <w:t xml:space="preserve">, M., &amp; </w:t>
      </w:r>
      <w:proofErr w:type="spellStart"/>
      <w:r>
        <w:rPr>
          <w:rFonts w:eastAsia="標楷體" w:ascii="Times New Roman" w:hAnsi="Times New Roman"/>
          <w:b w:val="0"/>
          <w:sz w:val="24"/>
        </w:rPr>
        <w:t>Zouridis</w:t>
      </w:r>
      <w:proofErr w:type="spellEnd"/>
      <w:r>
        <w:rPr>
          <w:rFonts w:eastAsia="標楷體" w:ascii="Times New Roman" w:hAnsi="Times New Roman"/>
          <w:b w:val="0"/>
          <w:sz w:val="24"/>
        </w:rPr>
        <w:t xml:space="preserve">, S. (2002). From street-level to system-level bureaucracies. Public </w:t>
      </w:r>
      <w:r>
        <w:rPr>
          <w:rFonts w:eastAsia="標楷體" w:ascii="Times New Roman" w:hAnsi="Times New Roman"/>
          <w:b w:val="0"/>
          <w:sz w:val="24"/>
        </w:rPr>
        <w:t>Administration Review, 62(2), 174–184.</w:t>
      </w:r>
    </w:p>
    <w:p w:rsidR="005C2B62" w:rsidRDefault="00ED3EB0">
      <w:pPr>
        <w:spacing w:after="0" w:line="480" w:lineRule="auto" w:before="0"/>
        <w:ind w:left="720" w:hanging="720"/>
        <w:jc w:val="left"/>
      </w:pPr>
      <w:r>
        <w:rPr>
          <w:rFonts w:eastAsia="標楷體" w:ascii="Times New Roman" w:hAnsi="Times New Roman"/>
          <w:b w:val="0"/>
          <w:sz w:val="24"/>
        </w:rPr>
        <w:t>Bromley, P., &amp; Powell, W. W. (2012). From decoupling to policy-practice gaps: Institutionalization in organizations. The Academy of Management Annals, 6(1), 483–540.</w:t>
      </w:r>
    </w:p>
    <w:p w:rsidR="005C2B62" w:rsidRDefault="00ED3EB0">
      <w:pPr>
        <w:spacing w:after="0" w:line="480" w:lineRule="auto" w:before="0"/>
        <w:ind w:left="720" w:hanging="720"/>
        <w:jc w:val="left"/>
      </w:pPr>
      <w:r>
        <w:rPr>
          <w:rFonts w:eastAsia="標楷體" w:ascii="Times New Roman" w:hAnsi="Times New Roman"/>
          <w:b w:val="0"/>
          <w:sz w:val="24"/>
        </w:rPr>
        <w:t>Citron, D. K. (2008). Technological due process. Wa</w:t>
      </w:r>
      <w:r>
        <w:rPr>
          <w:rFonts w:eastAsia="標楷體" w:ascii="Times New Roman" w:hAnsi="Times New Roman"/>
          <w:b w:val="0"/>
          <w:sz w:val="24"/>
        </w:rPr>
        <w:t>shington University Law Review, 85(6), 1249–1313.</w:t>
      </w:r>
    </w:p>
    <w:p w:rsidR="005C2B62" w:rsidRDefault="00ED3EB0">
      <w:pPr>
        <w:spacing w:after="0" w:line="480" w:lineRule="auto" w:before="0"/>
        <w:ind w:left="720" w:hanging="720"/>
        <w:jc w:val="left"/>
      </w:pPr>
      <w:r>
        <w:rPr>
          <w:rFonts w:eastAsia="標楷體" w:ascii="Times New Roman" w:hAnsi="Times New Roman"/>
          <w:b w:val="0"/>
          <w:sz w:val="24"/>
        </w:rPr>
        <w:t>Cobbe, J. (2019). Administrative law and the machines of government: Judicial review of automated public-sector decision-making. Legal Studies, 39(4), 636–655.</w:t>
      </w:r>
    </w:p>
    <w:p w:rsidR="005C2B62" w:rsidRDefault="00ED3EB0">
      <w:pPr>
        <w:spacing w:after="0" w:line="480" w:lineRule="auto" w:before="0"/>
        <w:ind w:left="720" w:hanging="720"/>
        <w:jc w:val="left"/>
      </w:pPr>
      <w:r>
        <w:rPr>
          <w:rFonts w:eastAsia="標楷體" w:ascii="Times New Roman" w:hAnsi="Times New Roman"/>
          <w:b w:val="0"/>
          <w:sz w:val="24"/>
        </w:rPr>
        <w:t>Green, B. (2022). The flaws of policies requir</w:t>
      </w:r>
      <w:r>
        <w:rPr>
          <w:rFonts w:eastAsia="標楷體" w:ascii="Times New Roman" w:hAnsi="Times New Roman"/>
          <w:b w:val="0"/>
          <w:sz w:val="24"/>
        </w:rPr>
        <w:t>ing human oversight of government algorithms. Computer Law &amp; Security Review, 45, 105681.</w:t>
      </w:r>
    </w:p>
    <w:p w:rsidR="005C2B62" w:rsidRDefault="00ED3EB0">
      <w:pPr>
        <w:spacing w:after="0" w:line="480" w:lineRule="auto" w:before="0"/>
        <w:ind w:left="720" w:hanging="720"/>
        <w:jc w:val="left"/>
      </w:pPr>
      <w:r>
        <w:rPr>
          <w:rFonts w:eastAsia="標楷體" w:ascii="Times New Roman" w:hAnsi="Times New Roman"/>
          <w:b w:val="0"/>
          <w:sz w:val="24"/>
        </w:rPr>
        <w:t>Hood, C. (2011). The blame game: Spin, bureaucracy, and self-preservation in government. Princeton University Press.</w:t>
      </w:r>
    </w:p>
    <w:p w:rsidR="005C2B62" w:rsidRDefault="00ED3EB0">
      <w:pPr>
        <w:spacing w:after="0" w:line="480" w:lineRule="auto" w:before="0"/>
        <w:ind w:left="720" w:hanging="720"/>
        <w:jc w:val="left"/>
      </w:pPr>
      <w:r>
        <w:rPr>
          <w:rFonts w:eastAsia="標楷體" w:ascii="Times New Roman" w:hAnsi="Times New Roman"/>
          <w:b w:val="0"/>
          <w:sz w:val="24"/>
        </w:rPr>
        <w:t>Kaminski, M. E. (2019). The right to explanation,</w:t>
      </w:r>
      <w:r>
        <w:rPr>
          <w:rFonts w:eastAsia="標楷體" w:ascii="Times New Roman" w:hAnsi="Times New Roman"/>
          <w:b w:val="0"/>
          <w:sz w:val="24"/>
        </w:rPr>
        <w:t xml:space="preserve"> explained. Berkeley Technology Law Journal, 34(1), 189–218.</w:t>
      </w:r>
    </w:p>
    <w:p w:rsidR="005C2B62" w:rsidRDefault="00ED3EB0">
      <w:pPr>
        <w:spacing w:after="0" w:line="480" w:lineRule="auto" w:before="0"/>
        <w:ind w:left="720" w:hanging="720"/>
        <w:jc w:val="left"/>
      </w:pPr>
      <w:r>
        <w:rPr>
          <w:rFonts w:eastAsia="標楷體" w:ascii="Times New Roman" w:hAnsi="Times New Roman"/>
          <w:b w:val="0"/>
          <w:sz w:val="24"/>
        </w:rPr>
        <w:t>Lipsky, M. (2010). Street-level bureaucracy: Dilemmas of the individual in public services (30th anniversary expanded ed.). Russell Sage Foundation.</w:t>
      </w:r>
    </w:p>
    <w:p w:rsidR="005C2B62" w:rsidRDefault="00ED3EB0">
      <w:pPr>
        <w:spacing w:after="0" w:line="480" w:lineRule="auto" w:before="0"/>
        <w:ind w:left="720" w:hanging="720"/>
        <w:jc w:val="left"/>
      </w:pPr>
      <w:r>
        <w:rPr>
          <w:rFonts w:eastAsia="標楷體" w:ascii="Times New Roman" w:hAnsi="Times New Roman"/>
          <w:b w:val="0"/>
          <w:sz w:val="24"/>
        </w:rPr>
        <w:t>Lu, L. [</w:t>
      </w:r>
      <w:proofErr w:type="spellStart"/>
      <w:r>
        <w:rPr>
          <w:rFonts w:eastAsia="標楷體" w:ascii="Times New Roman" w:hAnsi="Times New Roman"/>
          <w:b w:val="0"/>
          <w:sz w:val="24"/>
        </w:rPr>
        <w:t>盧建旭</w:t>
      </w:r>
      <w:proofErr w:type="spellEnd"/>
      <w:r>
        <w:rPr>
          <w:rFonts w:eastAsia="標楷體" w:ascii="Times New Roman" w:hAnsi="Times New Roman"/>
          <w:b w:val="0"/>
          <w:sz w:val="24"/>
        </w:rPr>
        <w:t>]. (2026a, manuscript). AI鑲嵌式公共行政理論</w:t>
      </w:r>
      <w:r>
        <w:rPr>
          <w:rFonts w:eastAsia="標楷體" w:ascii="Times New Roman" w:hAnsi="Times New Roman"/>
          <w:b w:val="0"/>
          <w:sz w:val="24"/>
        </w:rPr>
        <w:t xml:space="preserve">壓力測試（第014篇）. </w:t>
      </w:r>
      <w:proofErr w:type="spellStart"/>
      <w:r>
        <w:rPr>
          <w:rFonts w:eastAsia="標楷體" w:ascii="Times New Roman" w:hAnsi="Times New Roman"/>
          <w:b w:val="0"/>
          <w:sz w:val="24"/>
        </w:rPr>
        <w:t>同系列研究</w:t>
      </w:r>
      <w:proofErr w:type="spellEnd"/>
      <w:r>
        <w:rPr>
          <w:rFonts w:eastAsia="標楷體" w:ascii="Times New Roman" w:hAnsi="Times New Roman"/>
          <w:b w:val="0"/>
          <w:sz w:val="24"/>
        </w:rPr>
        <w:t>.</w:t>
      </w:r>
    </w:p>
    <w:p w:rsidR="005C2B62" w:rsidRDefault="00ED3EB0">
      <w:pPr>
        <w:spacing w:after="0" w:line="480" w:lineRule="auto" w:before="0"/>
        <w:ind w:left="720" w:hanging="720"/>
        <w:jc w:val="left"/>
      </w:pPr>
      <w:r>
        <w:rPr>
          <w:rFonts w:eastAsia="標楷體" w:ascii="Times New Roman" w:hAnsi="Times New Roman"/>
          <w:b w:val="0"/>
          <w:sz w:val="24"/>
        </w:rPr>
        <w:t>Lu, L. [</w:t>
      </w:r>
      <w:proofErr w:type="spellStart"/>
      <w:r>
        <w:rPr>
          <w:rFonts w:eastAsia="標楷體" w:ascii="Times New Roman" w:hAnsi="Times New Roman"/>
          <w:b w:val="0"/>
          <w:sz w:val="24"/>
        </w:rPr>
        <w:t>盧建旭</w:t>
      </w:r>
      <w:proofErr w:type="spellEnd"/>
      <w:r>
        <w:rPr>
          <w:rFonts w:eastAsia="標楷體" w:ascii="Times New Roman" w:hAnsi="Times New Roman"/>
          <w:b w:val="0"/>
          <w:sz w:val="24"/>
        </w:rPr>
        <w:t xml:space="preserve">]. (2026b, manuscript). AI治理下文官薪酬與考核制度具體化（第024篇）. </w:t>
      </w:r>
      <w:proofErr w:type="spellStart"/>
      <w:r>
        <w:rPr>
          <w:rFonts w:eastAsia="標楷體" w:ascii="Times New Roman" w:hAnsi="Times New Roman"/>
          <w:b w:val="0"/>
          <w:sz w:val="24"/>
        </w:rPr>
        <w:t>同系列研究</w:t>
      </w:r>
      <w:proofErr w:type="spellEnd"/>
      <w:r>
        <w:rPr>
          <w:rFonts w:eastAsia="標楷體" w:ascii="Times New Roman" w:hAnsi="Times New Roman"/>
          <w:b w:val="0"/>
          <w:sz w:val="24"/>
        </w:rPr>
        <w:t>.</w:t>
      </w:r>
    </w:p>
    <w:p w:rsidR="005C2B62" w:rsidRDefault="00ED3EB0">
      <w:pPr>
        <w:spacing w:after="0" w:line="480" w:lineRule="auto" w:before="0"/>
        <w:ind w:left="720" w:hanging="720"/>
        <w:jc w:val="left"/>
      </w:pPr>
      <w:r>
        <w:rPr>
          <w:rFonts w:eastAsia="標楷體" w:ascii="Times New Roman" w:hAnsi="Times New Roman"/>
          <w:b w:val="0"/>
          <w:sz w:val="24"/>
        </w:rPr>
        <w:t>Meyer, J. W., &amp; Rowan, B. (1977). Institutionalized organizations: Formal structure as myth and ceremony. American Journal of Sociology, 83(2), 340–363.</w:t>
      </w:r>
    </w:p>
    <w:p w:rsidR="005C2B62" w:rsidRDefault="00ED3EB0">
      <w:pPr>
        <w:spacing w:after="0" w:line="480" w:lineRule="auto" w:before="0"/>
        <w:ind w:left="720" w:hanging="720"/>
        <w:jc w:val="left"/>
      </w:pPr>
      <w:r>
        <w:rPr>
          <w:rFonts w:eastAsia="標楷體" w:ascii="Times New Roman" w:hAnsi="Times New Roman"/>
          <w:b w:val="0"/>
          <w:sz w:val="24"/>
        </w:rPr>
        <w:t>OECD. (2025). D</w:t>
      </w:r>
      <w:r>
        <w:rPr>
          <w:rFonts w:eastAsia="標楷體" w:ascii="Times New Roman" w:hAnsi="Times New Roman"/>
          <w:b w:val="0"/>
          <w:sz w:val="24"/>
        </w:rPr>
        <w:t>igital government review of Korea: Harnessing digital and data to transform government. OECD Digital Government Studies, OECD Publishing. https://doi.org/10.1787/9defc197-en</w:t>
      </w:r>
    </w:p>
    <w:p w:rsidR="005C2B62" w:rsidRDefault="00ED3EB0">
      <w:pPr>
        <w:spacing w:after="0" w:line="480" w:lineRule="auto" w:before="0"/>
        <w:ind w:left="720" w:hanging="720"/>
        <w:jc w:val="left"/>
      </w:pPr>
      <w:r>
        <w:rPr>
          <w:rFonts w:eastAsia="標楷體" w:ascii="Times New Roman" w:hAnsi="Times New Roman"/>
          <w:b w:val="0"/>
          <w:sz w:val="24"/>
        </w:rPr>
        <w:lastRenderedPageBreak/>
        <w:t xml:space="preserve">Painter, M., &amp; Peters, B. G. (Eds.). (2010). Tradition and public administration. </w:t>
      </w:r>
      <w:r>
        <w:rPr>
          <w:rFonts w:eastAsia="標楷體" w:ascii="Times New Roman" w:hAnsi="Times New Roman"/>
          <w:b w:val="0"/>
          <w:sz w:val="24"/>
        </w:rPr>
        <w:t>Palgrave Macmillan.</w:t>
      </w:r>
    </w:p>
    <w:p w:rsidR="005C2B62" w:rsidRDefault="00ED3EB0">
      <w:pPr>
        <w:spacing w:after="0" w:line="480" w:lineRule="auto" w:before="0"/>
        <w:ind w:left="720" w:hanging="720"/>
        <w:jc w:val="left"/>
      </w:pPr>
      <w:r>
        <w:rPr>
          <w:rFonts w:eastAsia="標楷體" w:ascii="Times New Roman" w:hAnsi="Times New Roman"/>
          <w:b w:val="0"/>
          <w:sz w:val="24"/>
        </w:rPr>
        <w:t>Ruhl, J. B., &amp; Salzman, J. (2010). Climate change, dead zones, and massive problems in the administrative state: A guide for whittling away. Georgetown Law Journal, 98, 1719–1752.</w:t>
      </w:r>
    </w:p>
    <w:p w:rsidR="005C2B62" w:rsidRDefault="00ED3EB0">
      <w:pPr>
        <w:spacing w:after="0" w:line="480" w:lineRule="auto" w:before="0"/>
        <w:ind w:left="720" w:hanging="720"/>
        <w:jc w:val="left"/>
      </w:pPr>
      <w:r>
        <w:rPr>
          <w:rFonts w:eastAsia="標楷體" w:ascii="Times New Roman" w:hAnsi="Times New Roman"/>
          <w:b w:val="0"/>
          <w:sz w:val="24"/>
        </w:rPr>
        <w:t>Veale, M., &amp; Brass, I. (2019). Administration by algorit</w:t>
      </w:r>
      <w:r>
        <w:rPr>
          <w:rFonts w:eastAsia="標楷體" w:ascii="Times New Roman" w:hAnsi="Times New Roman"/>
          <w:b w:val="0"/>
          <w:sz w:val="24"/>
        </w:rPr>
        <w:t>hm? Public management meets public sector machine learning. In K. Yeung &amp; M. Lodge (Eds.), Algorithmic regulation (pp. 121–149). Oxford University Press.</w:t>
      </w:r>
    </w:p>
    <w:p w:rsidR="005C2B62" w:rsidRDefault="00ED3EB0">
      <w:pPr>
        <w:spacing w:after="0" w:line="480" w:lineRule="auto" w:before="0"/>
        <w:ind w:left="720" w:hanging="720"/>
        <w:jc w:val="left"/>
      </w:pPr>
      <w:r>
        <w:rPr>
          <w:rFonts w:eastAsia="標楷體" w:ascii="Times New Roman" w:hAnsi="Times New Roman"/>
          <w:b w:val="0"/>
          <w:sz w:val="24"/>
        </w:rPr>
        <w:t>Weaver, R. K. (1986). The politics of blame avoidance. Journal of Public Policy, 6(4), 371–398.</w:t>
      </w:r>
    </w:p>
    <w:p w:rsidR="005C2B62" w:rsidRDefault="00ED3EB0">
      <w:pPr>
        <w:spacing w:after="0" w:line="480" w:lineRule="auto" w:before="0"/>
        <w:ind w:left="720" w:hanging="720"/>
        <w:jc w:val="left"/>
      </w:pPr>
      <w:r>
        <w:rPr>
          <w:rFonts w:eastAsia="標楷體" w:ascii="Times New Roman" w:hAnsi="Times New Roman"/>
          <w:b w:val="0"/>
          <w:sz w:val="24"/>
        </w:rPr>
        <w:t xml:space="preserve">Wong, </w:t>
      </w:r>
      <w:r>
        <w:rPr>
          <w:rFonts w:eastAsia="標楷體" w:ascii="Times New Roman" w:hAnsi="Times New Roman"/>
          <w:b w:val="0"/>
          <w:sz w:val="24"/>
        </w:rPr>
        <w:t>J. (2011). Betting on biotech: Innovation and the developmental state in East Asia. Cornell University Press.</w:t>
      </w:r>
    </w:p>
    <w:p w:rsidR="005C2B62" w:rsidRDefault="00ED3EB0">
      <w:pPr>
        <w:spacing w:after="0" w:line="480" w:lineRule="auto" w:before="0"/>
        <w:ind w:left="720" w:hanging="720"/>
        <w:jc w:val="left"/>
      </w:pPr>
      <w:r>
        <w:rPr>
          <w:rFonts w:eastAsia="標楷體" w:ascii="Times New Roman" w:hAnsi="Times New Roman"/>
          <w:b w:val="0"/>
          <w:sz w:val="24"/>
        </w:rPr>
        <w:t xml:space="preserve">Young, M. M., Bullock, J. B., &amp; </w:t>
      </w:r>
      <w:proofErr w:type="spellStart"/>
      <w:r>
        <w:rPr>
          <w:rFonts w:eastAsia="標楷體" w:ascii="Times New Roman" w:hAnsi="Times New Roman"/>
          <w:b w:val="0"/>
          <w:sz w:val="24"/>
        </w:rPr>
        <w:t>Lecy</w:t>
      </w:r>
      <w:proofErr w:type="spellEnd"/>
      <w:r>
        <w:rPr>
          <w:rFonts w:eastAsia="標楷體" w:ascii="Times New Roman" w:hAnsi="Times New Roman"/>
          <w:b w:val="0"/>
          <w:sz w:val="24"/>
        </w:rPr>
        <w:t>, J. D. (2019). Artificial discretion as a tool of governance: A framework for understanding the impact of art</w:t>
      </w:r>
      <w:r>
        <w:rPr>
          <w:rFonts w:eastAsia="標楷體" w:ascii="Times New Roman" w:hAnsi="Times New Roman"/>
          <w:b w:val="0"/>
          <w:sz w:val="24"/>
        </w:rPr>
        <w:t>ificial intelligence on public administration. Perspectives on Public Management and Governance, 2(4), 301–313.</w:t>
      </w:r>
    </w:p>
    <w:p w:rsidR="005C2B62" w:rsidRDefault="00ED3EB0">
      <w:pPr>
        <w:spacing w:after="0" w:line="480" w:lineRule="auto" w:before="0"/>
        <w:ind w:left="720" w:hanging="720"/>
        <w:jc w:val="left"/>
      </w:pPr>
      <w:r>
        <w:rPr>
          <w:rFonts w:eastAsia="標楷體" w:ascii="Times New Roman" w:hAnsi="Times New Roman"/>
          <w:b w:val="0"/>
          <w:sz w:val="24"/>
        </w:rPr>
        <w:t>Yu, C. P., &amp; Lien, G. S. (2020). Digital governance and data-driven policymaking in Taiwan. Asian Journal of Political Science, 28(3), 245–262.</w:t>
      </w:r>
    </w:p>
    <w:p w:rsidR="005C2B62" w:rsidRDefault="00ED3EB0">
      <w:pPr>
        <w:spacing w:after="0" w:line="480" w:lineRule="auto" w:before="0"/>
        <w:ind w:left="720" w:hanging="720"/>
        <w:jc w:val="left"/>
      </w:pPr>
      <w:r>
        <w:rPr>
          <w:rFonts w:eastAsia="標楷體" w:ascii="Times New Roman" w:hAnsi="Times New Roman"/>
          <w:b w:val="0"/>
          <w:sz w:val="24"/>
        </w:rPr>
        <w:t xml:space="preserve">Royal Commission into the </w:t>
      </w:r>
      <w:proofErr w:type="spellStart"/>
      <w:r>
        <w:rPr>
          <w:rFonts w:eastAsia="標楷體" w:ascii="Times New Roman" w:hAnsi="Times New Roman"/>
          <w:b w:val="0"/>
          <w:sz w:val="24"/>
        </w:rPr>
        <w:t>Robodebt</w:t>
      </w:r>
      <w:proofErr w:type="spellEnd"/>
      <w:r>
        <w:rPr>
          <w:rFonts w:eastAsia="標楷體" w:ascii="Times New Roman" w:hAnsi="Times New Roman"/>
          <w:b w:val="0"/>
          <w:sz w:val="24"/>
        </w:rPr>
        <w:t xml:space="preserve"> Scheme. (2023). Final report. Commonwealth of Australia.</w:t>
      </w:r>
    </w:p>
    <w:p w:rsidR="005C2B62" w:rsidRDefault="00ED3EB0">
      <w:pPr>
        <w:spacing w:after="0" w:line="480" w:lineRule="auto" w:before="0"/>
        <w:ind w:left="720" w:hanging="720"/>
        <w:jc w:val="left"/>
      </w:pPr>
      <w:r>
        <w:rPr>
          <w:rFonts w:eastAsia="標楷體" w:ascii="Times New Roman" w:hAnsi="Times New Roman"/>
          <w:b w:val="0"/>
          <w:sz w:val="24"/>
        </w:rPr>
        <w:t>NJCM et al. v. The Dutch State, ECLI:</w:t>
      </w:r>
      <w:proofErr w:type="gramStart"/>
      <w:r>
        <w:rPr>
          <w:rFonts w:eastAsia="標楷體" w:ascii="Times New Roman" w:hAnsi="Times New Roman"/>
          <w:b w:val="0"/>
          <w:sz w:val="24"/>
        </w:rPr>
        <w:t>NL:RBDHA</w:t>
      </w:r>
      <w:proofErr w:type="gramEnd"/>
      <w:r>
        <w:rPr>
          <w:rFonts w:eastAsia="標楷體" w:ascii="Times New Roman" w:hAnsi="Times New Roman"/>
          <w:b w:val="0"/>
          <w:sz w:val="24"/>
        </w:rPr>
        <w:t>:2020:1878 (</w:t>
      </w:r>
      <w:proofErr w:type="spellStart"/>
      <w:r>
        <w:rPr>
          <w:rFonts w:eastAsia="標楷體" w:ascii="Times New Roman" w:hAnsi="Times New Roman"/>
          <w:b w:val="0"/>
          <w:sz w:val="24"/>
        </w:rPr>
        <w:t>Rechtbank</w:t>
      </w:r>
      <w:proofErr w:type="spellEnd"/>
      <w:r>
        <w:rPr>
          <w:rFonts w:eastAsia="標楷體" w:ascii="Times New Roman" w:hAnsi="Times New Roman"/>
          <w:b w:val="0"/>
          <w:sz w:val="24"/>
        </w:rPr>
        <w:t xml:space="preserve"> Den Haag 2020).</w:t>
      </w:r>
    </w:p>
    <w:sectPr w:rsidR="005C2B62">
      <w:headerReference w:type="default" r:id="rId7"/>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3EB0" w:rsidRDefault="00ED3EB0">
      <w:r>
        <w:separator/>
      </w:r>
    </w:p>
  </w:endnote>
  <w:endnote w:type="continuationSeparator" w:id="0">
    <w:p w:rsidR="00ED3EB0" w:rsidRDefault="00ED3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2B62" w:rsidRDefault="00ED3EB0">
    <w:pPr>
      <w:jc w:val="center"/>
    </w:pPr>
    <w:r>
      <w:rPr>
        <w:rFonts w:eastAsia="Times New Roman"/>
        <w:sz w:val="16"/>
        <w:szCs w:val="16"/>
      </w:rPr>
      <w:t xml:space="preserve">第 </w:t>
    </w:r>
    <w:r>
      <w:rPr>
        <w:sz w:val="16"/>
        <w:szCs w:val="16"/>
      </w:rPr>
      <w:fldChar w:fldCharType="begin"/>
    </w:r>
    <w:r>
      <w:rPr>
        <w:rFonts w:eastAsia="Times New Roman"/>
        <w:sz w:val="16"/>
        <w:szCs w:val="16"/>
      </w:rPr>
      <w:instrText>PAGE</w:instrText>
    </w:r>
    <w:r w:rsidR="009F3E2C">
      <w:rPr>
        <w:sz w:val="16"/>
        <w:szCs w:val="16"/>
      </w:rPr>
      <w:fldChar w:fldCharType="separate"/>
    </w:r>
    <w:r w:rsidR="009F3E2C">
      <w:rPr>
        <w:rFonts w:eastAsia="Times New Roman"/>
        <w:noProof/>
        <w:sz w:val="16"/>
        <w:szCs w:val="16"/>
      </w:rPr>
      <w:t>1</w:t>
    </w:r>
    <w:r>
      <w:rPr>
        <w:sz w:val="16"/>
        <w:szCs w:val="16"/>
      </w:rPr>
      <w:fldChar w:fldCharType="end"/>
    </w:r>
    <w:r>
      <w:rPr>
        <w:rFonts w:eastAsia="Times New Roman"/>
        <w:sz w:val="16"/>
        <w:szCs w:val="16"/>
      </w:rPr>
      <w:t xml:space="preserve"> </w:t>
    </w:r>
    <w:proofErr w:type="spellStart"/>
    <w:r>
      <w:rPr>
        <w:rFonts w:eastAsia="Times New Roman"/>
        <w:sz w:val="16"/>
        <w:szCs w:val="16"/>
      </w:rPr>
      <w:t>頁｜探索性概念研究／修訂稿</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3EB0" w:rsidRDefault="00ED3EB0">
      <w:r>
        <w:separator/>
      </w:r>
    </w:p>
  </w:footnote>
  <w:footnote w:type="continuationSeparator" w:id="0">
    <w:p w:rsidR="00ED3EB0" w:rsidRDefault="00ED3E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2B62" w:rsidRDefault="00ED3EB0">
    <w:pPr>
      <w:jc w:val="right"/>
    </w:pPr>
    <w:proofErr w:type="spellStart"/>
    <w:r>
      <w:rPr>
        <w:rFonts w:eastAsia="Times New Roman"/>
        <w:color w:val="666666"/>
        <w:sz w:val="16"/>
        <w:szCs w:val="16"/>
      </w:rPr>
      <w:t>AI鑲嵌式公共行政的東亞制度壓力測試｜修訂稿</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6A78E1"/>
    <w:multiLevelType w:val="hybridMultilevel"/>
    <w:tmpl w:val="27729F42"/>
    <w:lvl w:ilvl="0" w:tplc="32C4EED6">
      <w:start w:val="1"/>
      <w:numFmt w:val="decimal"/>
      <w:lvlText w:val="%1."/>
      <w:lvlJc w:val="left"/>
      <w:pPr>
        <w:ind w:left="720" w:hanging="360"/>
      </w:pPr>
    </w:lvl>
    <w:lvl w:ilvl="1" w:tplc="2D3A8558">
      <w:numFmt w:val="decimal"/>
      <w:lvlText w:val=""/>
      <w:lvlJc w:val="left"/>
    </w:lvl>
    <w:lvl w:ilvl="2" w:tplc="FD60FA50">
      <w:numFmt w:val="decimal"/>
      <w:lvlText w:val=""/>
      <w:lvlJc w:val="left"/>
    </w:lvl>
    <w:lvl w:ilvl="3" w:tplc="8F2AD478">
      <w:numFmt w:val="decimal"/>
      <w:lvlText w:val=""/>
      <w:lvlJc w:val="left"/>
    </w:lvl>
    <w:lvl w:ilvl="4" w:tplc="934445C0">
      <w:numFmt w:val="decimal"/>
      <w:lvlText w:val=""/>
      <w:lvlJc w:val="left"/>
    </w:lvl>
    <w:lvl w:ilvl="5" w:tplc="36908C58">
      <w:numFmt w:val="decimal"/>
      <w:lvlText w:val=""/>
      <w:lvlJc w:val="left"/>
    </w:lvl>
    <w:lvl w:ilvl="6" w:tplc="A8E85E36">
      <w:numFmt w:val="decimal"/>
      <w:lvlText w:val=""/>
      <w:lvlJc w:val="left"/>
    </w:lvl>
    <w:lvl w:ilvl="7" w:tplc="A5423CE6">
      <w:numFmt w:val="decimal"/>
      <w:lvlText w:val=""/>
      <w:lvlJc w:val="left"/>
    </w:lvl>
    <w:lvl w:ilvl="8" w:tplc="CC904C1C">
      <w:numFmt w:val="decimal"/>
      <w:lvlText w:val=""/>
      <w:lvlJc w:val="left"/>
    </w:lvl>
  </w:abstractNum>
  <w:abstractNum w:abstractNumId="1" w15:restartNumberingAfterBreak="0">
    <w:nsid w:val="261C3695"/>
    <w:multiLevelType w:val="hybridMultilevel"/>
    <w:tmpl w:val="7F50B3CC"/>
    <w:lvl w:ilvl="0" w:tplc="47A848F2">
      <w:start w:val="1"/>
      <w:numFmt w:val="decimal"/>
      <w:lvlText w:val="%1."/>
      <w:lvlJc w:val="left"/>
      <w:pPr>
        <w:ind w:left="720" w:hanging="360"/>
      </w:pPr>
    </w:lvl>
    <w:lvl w:ilvl="1" w:tplc="C5ACFC6A">
      <w:numFmt w:val="decimal"/>
      <w:lvlText w:val=""/>
      <w:lvlJc w:val="left"/>
    </w:lvl>
    <w:lvl w:ilvl="2" w:tplc="1BAC159C">
      <w:numFmt w:val="decimal"/>
      <w:lvlText w:val=""/>
      <w:lvlJc w:val="left"/>
    </w:lvl>
    <w:lvl w:ilvl="3" w:tplc="56D0CE60">
      <w:numFmt w:val="decimal"/>
      <w:lvlText w:val=""/>
      <w:lvlJc w:val="left"/>
    </w:lvl>
    <w:lvl w:ilvl="4" w:tplc="D34A3782">
      <w:numFmt w:val="decimal"/>
      <w:lvlText w:val=""/>
      <w:lvlJc w:val="left"/>
    </w:lvl>
    <w:lvl w:ilvl="5" w:tplc="078AAB56">
      <w:numFmt w:val="decimal"/>
      <w:lvlText w:val=""/>
      <w:lvlJc w:val="left"/>
    </w:lvl>
    <w:lvl w:ilvl="6" w:tplc="7CA8A836">
      <w:numFmt w:val="decimal"/>
      <w:lvlText w:val=""/>
      <w:lvlJc w:val="left"/>
    </w:lvl>
    <w:lvl w:ilvl="7" w:tplc="D084EC4E">
      <w:numFmt w:val="decimal"/>
      <w:lvlText w:val=""/>
      <w:lvlJc w:val="left"/>
    </w:lvl>
    <w:lvl w:ilvl="8" w:tplc="0F9EA328">
      <w:numFmt w:val="decimal"/>
      <w:lvlText w:val=""/>
      <w:lvlJc w:val="left"/>
    </w:lvl>
  </w:abstractNum>
  <w:abstractNum w:abstractNumId="2" w15:restartNumberingAfterBreak="0">
    <w:nsid w:val="2BEB1FBF"/>
    <w:multiLevelType w:val="hybridMultilevel"/>
    <w:tmpl w:val="56BE375E"/>
    <w:lvl w:ilvl="0" w:tplc="746A99B0">
      <w:start w:val="1"/>
      <w:numFmt w:val="decimal"/>
      <w:lvlText w:val="%1."/>
      <w:lvlJc w:val="left"/>
      <w:pPr>
        <w:ind w:left="720" w:hanging="360"/>
      </w:pPr>
    </w:lvl>
    <w:lvl w:ilvl="1" w:tplc="713C8F92">
      <w:numFmt w:val="decimal"/>
      <w:lvlText w:val=""/>
      <w:lvlJc w:val="left"/>
    </w:lvl>
    <w:lvl w:ilvl="2" w:tplc="4F32906C">
      <w:numFmt w:val="decimal"/>
      <w:lvlText w:val=""/>
      <w:lvlJc w:val="left"/>
    </w:lvl>
    <w:lvl w:ilvl="3" w:tplc="27984E9E">
      <w:numFmt w:val="decimal"/>
      <w:lvlText w:val=""/>
      <w:lvlJc w:val="left"/>
    </w:lvl>
    <w:lvl w:ilvl="4" w:tplc="6ECC249C">
      <w:numFmt w:val="decimal"/>
      <w:lvlText w:val=""/>
      <w:lvlJc w:val="left"/>
    </w:lvl>
    <w:lvl w:ilvl="5" w:tplc="F334D6E4">
      <w:numFmt w:val="decimal"/>
      <w:lvlText w:val=""/>
      <w:lvlJc w:val="left"/>
    </w:lvl>
    <w:lvl w:ilvl="6" w:tplc="AA983588">
      <w:numFmt w:val="decimal"/>
      <w:lvlText w:val=""/>
      <w:lvlJc w:val="left"/>
    </w:lvl>
    <w:lvl w:ilvl="7" w:tplc="2BCA63B0">
      <w:numFmt w:val="decimal"/>
      <w:lvlText w:val=""/>
      <w:lvlJc w:val="left"/>
    </w:lvl>
    <w:lvl w:ilvl="8" w:tplc="C51E8178">
      <w:numFmt w:val="decimal"/>
      <w:lvlText w:val=""/>
      <w:lvlJc w:val="left"/>
    </w:lvl>
  </w:abstractNum>
  <w:abstractNum w:abstractNumId="3" w15:restartNumberingAfterBreak="0">
    <w:nsid w:val="2D030355"/>
    <w:multiLevelType w:val="hybridMultilevel"/>
    <w:tmpl w:val="1E6670E0"/>
    <w:lvl w:ilvl="0" w:tplc="C6400F92">
      <w:start w:val="1"/>
      <w:numFmt w:val="bullet"/>
      <w:lvlText w:val="●"/>
      <w:lvlJc w:val="left"/>
      <w:pPr>
        <w:ind w:left="720" w:hanging="360"/>
      </w:pPr>
    </w:lvl>
    <w:lvl w:ilvl="1" w:tplc="A77CADA0">
      <w:start w:val="1"/>
      <w:numFmt w:val="bullet"/>
      <w:lvlText w:val="○"/>
      <w:lvlJc w:val="left"/>
      <w:pPr>
        <w:ind w:left="1440" w:hanging="360"/>
      </w:pPr>
    </w:lvl>
    <w:lvl w:ilvl="2" w:tplc="618E0DC6">
      <w:start w:val="1"/>
      <w:numFmt w:val="bullet"/>
      <w:lvlText w:val="■"/>
      <w:lvlJc w:val="left"/>
      <w:pPr>
        <w:ind w:left="2160" w:hanging="360"/>
      </w:pPr>
    </w:lvl>
    <w:lvl w:ilvl="3" w:tplc="E8F22D68">
      <w:start w:val="1"/>
      <w:numFmt w:val="bullet"/>
      <w:lvlText w:val="●"/>
      <w:lvlJc w:val="left"/>
      <w:pPr>
        <w:ind w:left="2880" w:hanging="360"/>
      </w:pPr>
    </w:lvl>
    <w:lvl w:ilvl="4" w:tplc="6F5A3824">
      <w:start w:val="1"/>
      <w:numFmt w:val="bullet"/>
      <w:lvlText w:val="○"/>
      <w:lvlJc w:val="left"/>
      <w:pPr>
        <w:ind w:left="3600" w:hanging="360"/>
      </w:pPr>
    </w:lvl>
    <w:lvl w:ilvl="5" w:tplc="4330019A">
      <w:start w:val="1"/>
      <w:numFmt w:val="bullet"/>
      <w:lvlText w:val="■"/>
      <w:lvlJc w:val="left"/>
      <w:pPr>
        <w:ind w:left="4320" w:hanging="360"/>
      </w:pPr>
    </w:lvl>
    <w:lvl w:ilvl="6" w:tplc="DBAE53D2">
      <w:start w:val="1"/>
      <w:numFmt w:val="bullet"/>
      <w:lvlText w:val="●"/>
      <w:lvlJc w:val="left"/>
      <w:pPr>
        <w:ind w:left="5040" w:hanging="360"/>
      </w:pPr>
    </w:lvl>
    <w:lvl w:ilvl="7" w:tplc="2640BE2C">
      <w:start w:val="1"/>
      <w:numFmt w:val="bullet"/>
      <w:lvlText w:val="●"/>
      <w:lvlJc w:val="left"/>
      <w:pPr>
        <w:ind w:left="5760" w:hanging="360"/>
      </w:pPr>
    </w:lvl>
    <w:lvl w:ilvl="8" w:tplc="494E98AE">
      <w:start w:val="1"/>
      <w:numFmt w:val="bullet"/>
      <w:lvlText w:val="●"/>
      <w:lvlJc w:val="left"/>
      <w:pPr>
        <w:ind w:left="6480" w:hanging="360"/>
      </w:pPr>
    </w:lvl>
  </w:abstractNum>
  <w:abstractNum w:abstractNumId="4" w15:restartNumberingAfterBreak="0">
    <w:nsid w:val="6D0650E2"/>
    <w:multiLevelType w:val="hybridMultilevel"/>
    <w:tmpl w:val="6C5A5378"/>
    <w:lvl w:ilvl="0" w:tplc="810E84BC">
      <w:start w:val="1"/>
      <w:numFmt w:val="decimal"/>
      <w:lvlText w:val="%1."/>
      <w:lvlJc w:val="left"/>
      <w:pPr>
        <w:ind w:left="720" w:hanging="360"/>
      </w:pPr>
    </w:lvl>
    <w:lvl w:ilvl="1" w:tplc="99D62C9E">
      <w:numFmt w:val="decimal"/>
      <w:lvlText w:val=""/>
      <w:lvlJc w:val="left"/>
    </w:lvl>
    <w:lvl w:ilvl="2" w:tplc="07E8BA5E">
      <w:numFmt w:val="decimal"/>
      <w:lvlText w:val=""/>
      <w:lvlJc w:val="left"/>
    </w:lvl>
    <w:lvl w:ilvl="3" w:tplc="1D662450">
      <w:numFmt w:val="decimal"/>
      <w:lvlText w:val=""/>
      <w:lvlJc w:val="left"/>
    </w:lvl>
    <w:lvl w:ilvl="4" w:tplc="81681764">
      <w:numFmt w:val="decimal"/>
      <w:lvlText w:val=""/>
      <w:lvlJc w:val="left"/>
    </w:lvl>
    <w:lvl w:ilvl="5" w:tplc="BA1069C0">
      <w:numFmt w:val="decimal"/>
      <w:lvlText w:val=""/>
      <w:lvlJc w:val="left"/>
    </w:lvl>
    <w:lvl w:ilvl="6" w:tplc="797E741A">
      <w:numFmt w:val="decimal"/>
      <w:lvlText w:val=""/>
      <w:lvlJc w:val="left"/>
    </w:lvl>
    <w:lvl w:ilvl="7" w:tplc="AAC61712">
      <w:numFmt w:val="decimal"/>
      <w:lvlText w:val=""/>
      <w:lvlJc w:val="left"/>
    </w:lvl>
    <w:lvl w:ilvl="8" w:tplc="7C5AF30A">
      <w:numFmt w:val="decimal"/>
      <w:lvlText w:val=""/>
      <w:lvlJc w:val="left"/>
    </w:lvl>
  </w:abstractNum>
  <w:abstractNum w:abstractNumId="5" w15:restartNumberingAfterBreak="0">
    <w:nsid w:val="7109340A"/>
    <w:multiLevelType w:val="hybridMultilevel"/>
    <w:tmpl w:val="53F8E482"/>
    <w:lvl w:ilvl="0" w:tplc="13AE69A8">
      <w:start w:val="1"/>
      <w:numFmt w:val="bullet"/>
      <w:lvlText w:val="•"/>
      <w:lvlJc w:val="left"/>
      <w:pPr>
        <w:ind w:left="720" w:hanging="360"/>
      </w:pPr>
    </w:lvl>
    <w:lvl w:ilvl="1" w:tplc="BECAC0FA">
      <w:numFmt w:val="decimal"/>
      <w:lvlText w:val=""/>
      <w:lvlJc w:val="left"/>
    </w:lvl>
    <w:lvl w:ilvl="2" w:tplc="B95A1FC4">
      <w:numFmt w:val="decimal"/>
      <w:lvlText w:val=""/>
      <w:lvlJc w:val="left"/>
    </w:lvl>
    <w:lvl w:ilvl="3" w:tplc="03C6143A">
      <w:numFmt w:val="decimal"/>
      <w:lvlText w:val=""/>
      <w:lvlJc w:val="left"/>
    </w:lvl>
    <w:lvl w:ilvl="4" w:tplc="73227982">
      <w:numFmt w:val="decimal"/>
      <w:lvlText w:val=""/>
      <w:lvlJc w:val="left"/>
    </w:lvl>
    <w:lvl w:ilvl="5" w:tplc="14569D24">
      <w:numFmt w:val="decimal"/>
      <w:lvlText w:val=""/>
      <w:lvlJc w:val="left"/>
    </w:lvl>
    <w:lvl w:ilvl="6" w:tplc="EC1A5586">
      <w:numFmt w:val="decimal"/>
      <w:lvlText w:val=""/>
      <w:lvlJc w:val="left"/>
    </w:lvl>
    <w:lvl w:ilvl="7" w:tplc="535EBA0A">
      <w:numFmt w:val="decimal"/>
      <w:lvlText w:val=""/>
      <w:lvlJc w:val="left"/>
    </w:lvl>
    <w:lvl w:ilvl="8" w:tplc="B34ACCCA">
      <w:numFmt w:val="decimal"/>
      <w:lvlText w:val=""/>
      <w:lvlJc w:val="left"/>
    </w:lvl>
  </w:abstractNum>
  <w:num w:numId="1">
    <w:abstractNumId w:val="3"/>
    <w:lvlOverride w:ilvl="0">
      <w:startOverride w:val="1"/>
    </w:lvlOverride>
  </w:num>
  <w:num w:numId="2">
    <w:abstractNumId w:val="4"/>
    <w:lvlOverride w:ilvl="0">
      <w:startOverride w:val="1"/>
    </w:lvlOverride>
  </w:num>
  <w:num w:numId="3">
    <w:abstractNumId w:val="5"/>
    <w:lvlOverride w:ilvl="0">
      <w:startOverride w:val="1"/>
    </w:lvlOverride>
  </w:num>
  <w:num w:numId="4">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clean"/>
  <w:defaultTabStop w:val="48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B62"/>
    <w:rsid w:val="005C2B62"/>
    <w:rsid w:val="009F3E2C"/>
    <w:rsid w:val="00ED3EB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B69099-70B9-44D0-86A0-22763B4D7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2"/>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pacing w:line="480" w:lineRule="auto" w:before="0" w:after="0"/>
    </w:pPr>
    <w:rPr>
      <w:rFonts w:ascii="Times New Roman" w:hAnsi="Times New Roman" w:eastAsia="標楷體"/>
      <w:sz w:val="24"/>
    </w:rPr>
  </w:style>
  <w:style w:type="paragraph" w:styleId="1">
    <w:name w:val="heading 1"/>
    <w:uiPriority w:val="9"/>
    <w:qFormat/>
    <w:pPr>
      <w:spacing w:before="300" w:after="160"/>
      <w:outlineLvl w:val="0"/>
    </w:pPr>
    <w:rPr>
      <w:rFonts w:eastAsia="Times New Roman"/>
      <w:b/>
      <w:bCs/>
      <w:sz w:val="26"/>
      <w:szCs w:val="26"/>
    </w:rPr>
  </w:style>
  <w:style w:type="paragraph" w:styleId="2">
    <w:name w:val="heading 2"/>
    <w:uiPriority w:val="9"/>
    <w:unhideWhenUsed/>
    <w:qFormat/>
    <w:pPr>
      <w:spacing w:before="240" w:after="120"/>
      <w:outlineLvl w:val="1"/>
    </w:pPr>
    <w:rPr>
      <w:rFonts w:eastAsia="Times New Roman"/>
      <w:b/>
      <w:bCs/>
      <w:sz w:val="24"/>
      <w:szCs w:val="24"/>
    </w:rPr>
  </w:style>
  <w:style w:type="paragraph" w:styleId="3">
    <w:name w:val="heading 3"/>
    <w:uiPriority w:val="9"/>
    <w:unhideWhenUsed/>
    <w:qFormat/>
    <w:pPr>
      <w:spacing w:before="180" w:after="100"/>
      <w:outlineLvl w:val="2"/>
    </w:pPr>
    <w:rPr>
      <w:rFonts w:eastAsia="Times New Roman"/>
      <w:b/>
      <w:bCs/>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粗體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註腳文字 字元"/>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章節附註文字 字元"/>
    <w:link w:val="a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1906</Words>
  <Characters>10869</Characters>
  <Application>Microsoft Office Word</Application>
  <DocSecurity>0</DocSecurity>
  <Lines>90</Lines>
  <Paragraphs>25</Paragraphs>
  <ScaleCrop>false</ScaleCrop>
  <Company/>
  <LinksUpToDate>false</LinksUpToDate>
  <CharactersWithSpaces>12750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User</cp:lastModifiedBy>
  <cp:revision>2</cp:revision>
  <dcterms:created xsi:type="dcterms:W3CDTF">2026-08-21T16:05:00Z</dcterms:created>
  <dcterms:modified xsi:type="dcterms:W3CDTF">2026-08-22T05:00:00Z</dcterms:modified>
</cp:coreProperties>
</file>