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AI治理下文官薪酬與考核制度具體化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數位治理職能加給分級設計與治理審計導向考核權重公式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Operationalizing Civil Service Compensation and Appraisal under AI Governance</w:t>
      </w:r>
    </w:p>
    <w:p>
      <w:pPr>
        <w:spacing w:after="160"/>
        <w:jc w:val="center"/>
      </w:pPr>
      <w:r>
        <w:rPr>
          <w:rFonts w:ascii="Times New Roman" w:cs="Times New Roman" w:eastAsia="Times New Roman" w:hAnsi="Times New Roman"/>
          <w:sz w:val="17"/>
          <w:szCs w:val="17"/>
        </w:rPr>
        <w:t xml:space="preserve">Lancelot Lu（盧建旭）｜AI治理研究系列｜第024篇｜政策設計型研究／修訂稿｜2026年8月</w:t>
      </w:r>
    </w:p>
    <w:p>
      <w:pPr>
        <w:pStyle w:val="Heading1"/>
        <w:spacing w:after="14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摘要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第014篇指出AI鑲嵌公共行政後，官僚組織之薪酬與考核制度面臨結構性壓力測試，並提出「雙軌文官」與「治理審計導向KPI」作為方向性回應，惟具體加給額度與考績權重須留待後續發展。本文以此為起點，透過比較英國DDaT能力框架與Pay Framework Allowance（PFA）、新加坡法定機構市場薪酬邏輯（概念性對照），以及我國資安人才待遇改革先例，將方向性主張轉譯為可操作之制度設計方案。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本文主張「數位治理職能加給」應定位為技能薪／職能薪（skill-based / competency-based pay）而非績效薪，以避免效率導向誘因重演治理風險。其次提出Level 0至Level 3四級職能分級，並附可驗證能力規準；加給比例以低／中／高三種情境方案呈現，屬示意設計而非實證推導結論。第三，將治理審計導向KPI轉換為可加總量化考核公式，並設計三層次「安全港」（Safe Harbor）：考核保障、加給保障，以及法律責任仍依一般行政法與懲戒法認定。職位綁定式退場機制用以防止加給既得利益化。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本文對照公開可得之政策文件與報導（含「AI公務人才認定指引」試行相關資訊、考績法修正草案動態、人工智慧基本法相關進展），確認「AI能力認證如何轉換為加給與考核」仍屬政策空白。所有數字與條文草案均屬規範性方案，其精確校準與法律效果有賴人事主管機關協商、正式法律審查與試辦驗證。本文定位為政策設計型研究，非已完成之實證或立法結論。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關鍵詞：</w:t>
      </w:r>
      <w:r>
        <w:rPr>
          <w:rFonts w:ascii="Times New Roman" w:cs="Times New Roman" w:eastAsia="Times New Roman" w:hAnsi="Times New Roman"/>
          <w:sz w:val="21"/>
          <w:szCs w:val="21"/>
        </w:rPr>
        <w:t xml:space="preserve">AI治理；文官薪酬；數位治理職能加給；治理審計；考核權重；雙軌文官；比較文官制度；安全港</w:t>
      </w:r>
    </w:p>
    <w:p>
      <w:pPr>
        <w:pStyle w:val="Heading1"/>
        <w:spacing w:after="14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第一章　緒論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1.1　研究背景與動機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第014篇透過壓力測試論證AI鑲嵌後，溝通、KPI、薪酬與資源配置均面臨結構性挑戰，並提出雙軌文官與治理審計導向KPI作為方向，此一挑戰亦與演算法規制文獻對治理工具設計的一般性關切一致（Yeung, 2018）。方向性建議若缺乏分級標準、加給級距與考核公式，難以進入政策辯論與法制研擬。Perry, Mesch, and Paarlberg (2006) 指出，單靠傳統績效薪邏輯不足以驅動治理典範轉型，仍須輔以職能與制度設計。本文動機在於將014篇主張往下推進一層，形成可供檢驗與修正的具體方案。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1.2　研究問題</w:t>
      </w:r>
    </w:p>
    <w:p>
      <w:pPr>
        <w:pStyle w:val="ListParagraph"/>
        <w:numPr>
          <w:ilvl w:val="0"/>
          <w:numId w:val="2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我國《公務人員俸給法》現行加給類別中，何者較適於承載「數位治理職能加給」？其可能法制路徑與授權界線為何？</w:t>
      </w:r>
    </w:p>
    <w:p>
      <w:pPr>
        <w:pStyle w:val="ListParagraph"/>
        <w:numPr>
          <w:ilvl w:val="0"/>
          <w:numId w:val="2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英國DDaT／PFA與新加坡法定機構模式分別體現何種制度邏輯？在可比性與證據強度上如何定位？</w:t>
      </w:r>
    </w:p>
    <w:p>
      <w:pPr>
        <w:pStyle w:val="ListParagraph"/>
        <w:numPr>
          <w:ilvl w:val="0"/>
          <w:numId w:val="2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若以治理審計為基礎設計能力分級，各級可驗證標準、加給情境比例與認證維持機制應如何設計？</w:t>
      </w:r>
    </w:p>
    <w:p>
      <w:pPr>
        <w:pStyle w:val="ListParagraph"/>
        <w:numPr>
          <w:ilvl w:val="0"/>
          <w:numId w:val="2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治理審計導向KPI如何轉換為可加總考核公式，並處理測量、誘因與指標操縱問題？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1.3　研究方法與資料來源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本文採比較制度分析，以次級文獻與公開官方規範為主要資料。比較架構固定為六面向：法源、適用對象、能力認證、給付方式、撤回條件、與考核／責任制度之關係。資料蒐集優先順序為：正式法規與官方公告 &gt; 機關政策文件與操作指引 &gt; 新聞稿與媒體報導 &gt; 二手學術描述。本文明確區分「已施行／已發布試行／草案／媒體報導／作者推論」，此一分級與第025篇之證據強度分級系統（A級：法律條文與正式決定；B級：官方政策文件；C級：新聞稿與政策宣示；D級：學術推論）在精神上一致，惟本文因涉及尚未定案之立法動態，另以施行狀態（已施行／試行／草案／報導／推論）作為主要分類軸，而非逐一標示A–D級別；讀者可依對照關係自行換算，以利與第025、026篇進行系列閱讀。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方法限制：加給比例與考核權重屬示意設計（illustrative design），非實證精算最終數值；新加坡公開薪資資料有限，僅作概念性對照；2025–2026年政策動態多依公開次級資料，最終定案可能調整。本文不將規範性方案表述為已完成的法律或實證結論。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1.4　與第014篇之區隔及本文貢獻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653"/>
        <w:gridCol w:w="3653"/>
      </w:tblGrid>
      <w:tr>
        <w:tc>
          <w:tcPr>
            <w:tcW w:type="dxa" w:w="22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shd w:fill="E8E8E8" w:val="clear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7"/>
                <w:szCs w:val="17"/>
              </w:rPr>
              <w:t xml:space="preserve">項目</w:t>
            </w:r>
          </w:p>
        </w:tc>
        <w:tc>
          <w:tcPr>
            <w:tcW w:type="dxa" w:w="3653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shd w:fill="E8E8E8" w:val="clear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7"/>
                <w:szCs w:val="17"/>
              </w:rPr>
              <w:t xml:space="preserve">第014篇</w:t>
            </w:r>
          </w:p>
        </w:tc>
        <w:tc>
          <w:tcPr>
            <w:tcW w:type="dxa" w:w="3653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shd w:fill="E8E8E8" w:val="clear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7"/>
                <w:szCs w:val="17"/>
              </w:rPr>
              <w:t xml:space="preserve">本文（第024篇）</w:t>
            </w:r>
          </w:p>
        </w:tc>
      </w:tr>
      <w:tr>
        <w:tc>
          <w:tcPr>
            <w:tcW w:type="dxa" w:w="22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定位</w:t>
            </w:r>
          </w:p>
        </w:tc>
        <w:tc>
          <w:tcPr>
            <w:tcW w:type="dxa" w:w="3653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方向性建議</w:t>
            </w:r>
          </w:p>
        </w:tc>
        <w:tc>
          <w:tcPr>
            <w:tcW w:type="dxa" w:w="3653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具體化設計：分級、情境級距、考核公式</w:t>
            </w:r>
          </w:p>
        </w:tc>
      </w:tr>
      <w:tr>
        <w:tc>
          <w:tcPr>
            <w:tcW w:type="dxa" w:w="22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薪酬</w:t>
            </w:r>
          </w:p>
        </w:tc>
        <w:tc>
          <w:tcPr>
            <w:tcW w:type="dxa" w:w="3653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雙軌文官構想，無具體額度</w:t>
            </w:r>
          </w:p>
        </w:tc>
        <w:tc>
          <w:tcPr>
            <w:tcW w:type="dxa" w:w="3653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職能薪定位＋情境式級距＋職位綁定退場</w:t>
            </w:r>
          </w:p>
        </w:tc>
      </w:tr>
      <w:tr>
        <w:tc>
          <w:tcPr>
            <w:tcW w:type="dxa" w:w="22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考核</w:t>
            </w:r>
          </w:p>
        </w:tc>
        <w:tc>
          <w:tcPr>
            <w:tcW w:type="dxa" w:w="3653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定性KPI對照表</w:t>
            </w:r>
          </w:p>
        </w:tc>
        <w:tc>
          <w:tcPr>
            <w:tcW w:type="dxa" w:w="3653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量化權重公式＋防弊機制＋三層安全港</w:t>
            </w:r>
          </w:p>
        </w:tc>
      </w:tr>
      <w:tr>
        <w:tc>
          <w:tcPr>
            <w:tcW w:type="dxa" w:w="22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比較</w:t>
            </w:r>
          </w:p>
        </w:tc>
        <w:tc>
          <w:tcPr>
            <w:tcW w:type="dxa" w:w="3653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無</w:t>
            </w:r>
          </w:p>
        </w:tc>
        <w:tc>
          <w:tcPr>
            <w:tcW w:type="dxa" w:w="3653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英國PFA（主要）＋新加坡（概念對照）＋台灣資安先例</w:t>
            </w:r>
          </w:p>
        </w:tc>
      </w:tr>
      <w:tr>
        <w:tc>
          <w:tcPr>
            <w:tcW w:type="dxa" w:w="22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法制</w:t>
            </w:r>
          </w:p>
        </w:tc>
        <w:tc>
          <w:tcPr>
            <w:tcW w:type="dxa" w:w="3653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概括修法門檻</w:t>
            </w:r>
          </w:p>
        </w:tc>
        <w:tc>
          <w:tcPr>
            <w:tcW w:type="dxa" w:w="3653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區分給付資格與責任免除；辦法層級可能性與界線</w:t>
            </w:r>
          </w:p>
        </w:tc>
      </w:tr>
    </w:tbl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本文貢獻：(1) 將雙核心落差轉譯為薪酬與考核操作邏輯；(2) 建立「治理審計→能力分級→加給級距→考核權重」可複製流程；(3) 釐清給付資格與責任免除之法制界線；(4) 對接公開可得之最新政策動態，標示仍屬空白之處。</w:t>
      </w:r>
    </w:p>
    <w:p>
      <w:pPr>
        <w:pStyle w:val="Heading1"/>
        <w:spacing w:after="14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第二章　理論基礎與文獻回顧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2.1　從雙核心模式到人力資源具體化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第014篇援引雙核心模式，指出技術核心（演算法與資料科學）與行政核心（法規、俸給、職務）的張力，但未處理行政核心內部如何設計具體俸給與考核工具。此一張力與系統層級官僚化（Bovens &amp; Zouridis, 2002）及AI導入後裁量轉移（Bullock, 2019; Young et al., 2019）等文獻脈絡一致，惟既有研究多聚焦裁量本身，較少處理配套之俸給與考核工具設計。本文填補此一缺口。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2.2　公部門薪酬理論：三種邏輯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文獻區分職位薪（pay-for-position）、績效薪（pay-for-performance）與技能薪／職能薪（skill-based / competency-based pay）（Lawler, 1990）。本文主張數位治理職能加給應定位為職能薪：獎勵經認證之能力存量，而非單一期間產出。理由：(1) 成果導向績效管理文獻本身即指出，過度依賴產出指標可能扭曲行政誘因並侵蝕正當程序（Heinrich, 2002）；Robodebt等案例進一步顯示效率導向績效薪可能侵蝕課責（Kettl, 2000; Royal Commission into the Robodebt Scheme, 2023）；(2) 治理審計KPI要求雙向對稱記錄採納／推翻理由，屬審慎判斷能力之認證邏輯。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2.3　比較方法定位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英國與我國同屬官職等式傳統，PFA屬「加給疊加」模式，可比性較高。新加坡採法定機構市場薪酬、體制外延攬，屬不同路徑；因公開薪級資料有限，本文僅作概念性對照，不與英國、台灣先例並列為同等強度證據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2.4　台灣本土文獻與政策空白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目前尚未查得直接以「AI治理下公務人員敘薪或加給設計」為題之期刊論文。相鄰研究如數位發展部委託之公部門AI規範架構（曾憲立主持，2024–2025）將「公務同仁行為」列為治理層級，並以素養與訓練為要素，但未觸及薪酬具體化。人事總處給與福利處對資訊及資安人才待遇之討論可提供「固定薪＋變動薪」邏輯參照。本文定位為填補「能力認證如何轉換為加給與考核」之政策與研究空白。</w:t>
      </w:r>
    </w:p>
    <w:p>
      <w:pPr>
        <w:pStyle w:val="Heading1"/>
        <w:spacing w:after="14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第三章　比較制度分析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3.1　制度可比性矩陣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700"/>
        <w:gridCol w:w="2700"/>
        <w:gridCol w:w="2706"/>
      </w:tblGrid>
      <w:tr>
        <w:tc>
          <w:tcPr>
            <w:tcW w:type="dxa" w:w="14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shd w:fill="E8E8E8" w:val="clear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7"/>
                <w:szCs w:val="17"/>
              </w:rPr>
              <w:t xml:space="preserve">面向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shd w:fill="E8E8E8" w:val="clear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7"/>
                <w:szCs w:val="17"/>
              </w:rPr>
              <w:t xml:space="preserve">英國 DDaT／PFA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shd w:fill="E8E8E8" w:val="clear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7"/>
                <w:szCs w:val="17"/>
              </w:rPr>
              <w:t xml:space="preserve">新加坡法定機構（概念對照）</w:t>
            </w:r>
          </w:p>
        </w:tc>
        <w:tc>
          <w:tcPr>
            <w:tcW w:type="dxa" w:w="2706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shd w:fill="E8E8E8" w:val="clear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7"/>
                <w:szCs w:val="17"/>
              </w:rPr>
              <w:t xml:space="preserve">台灣資安先例與現行框架</w:t>
            </w:r>
          </w:p>
        </w:tc>
      </w:tr>
      <w:tr>
        <w:tc>
          <w:tcPr>
            <w:tcW w:type="dxa" w:w="14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法源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機關人事規範／加給安排；非單一中央法律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法定機構設置與人事規範</w:t>
            </w:r>
          </w:p>
        </w:tc>
        <w:tc>
          <w:tcPr>
            <w:tcW w:type="dxa" w:w="2706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俸給法＋加給給與辦法；資安專業加給調整</w:t>
            </w:r>
          </w:p>
        </w:tc>
      </w:tr>
      <w:tr>
        <w:tc>
          <w:tcPr>
            <w:tcW w:type="dxa" w:w="14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適用對象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特定數位／資料／技術職系；範圍依機關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法定機構數位人才</w:t>
            </w:r>
          </w:p>
        </w:tc>
        <w:tc>
          <w:tcPr>
            <w:tcW w:type="dxa" w:w="2706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資安等人員；AI職能認證轉換仍空白</w:t>
            </w:r>
          </w:p>
        </w:tc>
      </w:tr>
      <w:tr>
        <w:tc>
          <w:tcPr>
            <w:tcW w:type="dxa" w:w="14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認證機制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能力框架＋機關評估（如CaSA等）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市場導向聘用條件</w:t>
            </w:r>
          </w:p>
        </w:tc>
        <w:tc>
          <w:tcPr>
            <w:tcW w:type="dxa" w:w="2706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專長登錄、訓練；統一AI認證轉換待建</w:t>
            </w:r>
          </w:p>
        </w:tc>
      </w:tr>
      <w:tr>
        <w:tc>
          <w:tcPr>
            <w:tcW w:type="dxa" w:w="14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給付性質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加給疊加於本俸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接近市場總薪酬</w:t>
            </w:r>
          </w:p>
        </w:tc>
        <w:tc>
          <w:tcPr>
            <w:tcW w:type="dxa" w:w="2706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技術或專業加給；職位／資格連結待釐清</w:t>
            </w:r>
          </w:p>
        </w:tc>
      </w:tr>
      <w:tr>
        <w:tc>
          <w:tcPr>
            <w:tcW w:type="dxa" w:w="14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決定權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多為機關層級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機構人事權</w:t>
            </w:r>
          </w:p>
        </w:tc>
        <w:tc>
          <w:tcPr>
            <w:tcW w:type="dxa" w:w="2706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考試院／行政院法規命令＋機關執行</w:t>
            </w:r>
          </w:p>
        </w:tc>
      </w:tr>
      <w:tr>
        <w:tc>
          <w:tcPr>
            <w:tcW w:type="dxa" w:w="14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撤回條件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依機關安排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聘用契約條件</w:t>
            </w:r>
          </w:p>
        </w:tc>
        <w:tc>
          <w:tcPr>
            <w:tcW w:type="dxa" w:w="2706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可設計職位綁定與客觀退場</w:t>
            </w:r>
          </w:p>
        </w:tc>
      </w:tr>
      <w:tr>
        <w:tc>
          <w:tcPr>
            <w:tcW w:type="dxa" w:w="14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與考核／責任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能力與職務表現連結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市場績效導向</w:t>
            </w:r>
          </w:p>
        </w:tc>
        <w:tc>
          <w:tcPr>
            <w:tcW w:type="dxa" w:w="2706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加給與考績、責任制度需分層設計</w:t>
            </w:r>
          </w:p>
        </w:tc>
      </w:tr>
      <w:tr>
        <w:tc>
          <w:tcPr>
            <w:tcW w:type="dxa" w:w="14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證據強度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公開人事網頁與框架文件（B級為主）</w:t>
            </w:r>
          </w:p>
        </w:tc>
        <w:tc>
          <w:tcPr>
            <w:tcW w:type="dxa" w:w="27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公開資訊有限（概念對照）</w:t>
            </w:r>
          </w:p>
        </w:tc>
        <w:tc>
          <w:tcPr>
            <w:tcW w:type="dxa" w:w="2706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法規＋官方說明＋新聞（A–C級混合）</w:t>
            </w:r>
          </w:p>
        </w:tc>
      </w:tr>
    </w:tbl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英國DDaT能力框架與Home Office等機關之PFA並非必然由中央統一設計、具完整一一對應之單一制度；PFA適用範圍、與能力層級之固定對應、CaSA等評估之法律效力，均依機關與文件而異。本文將其作為「能力認證＋加給疊加」邏輯的參照，而非主張制度同一性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3.2　新加坡：概念性對照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新加坡GovTech等法定機構以較具市場彈性之薪酬延攬數位人才，體現「體制外分流」邏輯。因具體薪級與法定機構人事規範公開資料有限，本文不將其與英國、台灣先例並列為同等實證依據，僅保留「體制外流動／體制內留才」的制度邏輯啟發，並避免「薪酬通常較具市場競爭力」等缺乏比較基準的概括表述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3.3　台灣：資安先例與政策動態（語氣謹慎）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《公務人員俸給法》第5條規定加給包含職務加給、技術或專業加給、地域加給；第18條授權訂定加給給與辦法。我國資安人才待遇改革（專業加給調整、聘用薪點調整等）顯示「技術或專業加給」框架具有承載特殊職能加給的制度相容性，可作為數位治理職能加給的初步參照，但「完全一致」之表述過強，宜改為「提供初步制度相容性參照」。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關於2025–2026年政策動態，本文依公開新聞稿與報導整理，並標示狀態：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「AI公務人才認定指引」相關資訊：數位發展部與人事總處有試行／Beta版公布之公開說明，屬試行或指引性質，非正式最終法規。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考績法修正：考試院有重大變革方向之公開報導（如取消甲等比例上限等），屬草案或拍板待審議狀態，尚未完成立法程序前不得視為已施行。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人工智慧基本法：依公開報導有立法進展，正式條文與施行狀態須以官方法規資料庫為準。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本文確認：即使上述政策推進，「AI能力認證如何正式轉換為加給資格與考核事由」在公開可得文件中仍屬空白或未完成連結，此為本文方案之問題定位。所有「已拍板／已發布／已落地」等表述，僅在有正式文件支持時使用；其餘改為「公開報導顯示」「試行中」「草案階段」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3.4　比較結論與對台灣方案的啟示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較適合我國路徑依賴的是「體制內加給疊加＋能力認證」模式（近英國邏輯），而非全面體制外市場薪酬。資安先例顯示辦法層級調整具可行性，但能力認證與給付資格、職位綁定、退場條件，以及安全港的責任效果，仍須正式法律審查與人事主管機關協商。</w:t>
      </w:r>
    </w:p>
    <w:p>
      <w:pPr>
        <w:pStyle w:val="Heading1"/>
        <w:spacing w:after="14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第四章　制度方案：分級、情境級距、考核公式與三層安全港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4.1　Level 0–3 能力規準（可驗證化）</w:t>
      </w:r>
    </w:p>
    <w:tbl>
      <w:tblPr>
        <w:tblW w:type="dxa" w:w="95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600"/>
        <w:gridCol w:w="1600"/>
        <w:gridCol w:w="1600"/>
        <w:gridCol w:w="1400"/>
        <w:gridCol w:w="1200"/>
        <w:gridCol w:w="1206"/>
      </w:tblGrid>
      <w:tr>
        <w:tc>
          <w:tcPr>
            <w:tcW w:type="dxa" w:w="9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shd w:fill="E8E8E8" w:val="clear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7"/>
                <w:szCs w:val="17"/>
              </w:rPr>
              <w:t xml:space="preserve">層級</w:t>
            </w:r>
          </w:p>
        </w:tc>
        <w:tc>
          <w:tcPr>
            <w:tcW w:type="dxa" w:w="16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shd w:fill="E8E8E8" w:val="clear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7"/>
                <w:szCs w:val="17"/>
              </w:rPr>
              <w:t xml:space="preserve">核心能力</w:t>
            </w:r>
          </w:p>
        </w:tc>
        <w:tc>
          <w:tcPr>
            <w:tcW w:type="dxa" w:w="16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shd w:fill="E8E8E8" w:val="clear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7"/>
                <w:szCs w:val="17"/>
              </w:rPr>
              <w:t xml:space="preserve">知識要求</w:t>
            </w:r>
          </w:p>
        </w:tc>
        <w:tc>
          <w:tcPr>
            <w:tcW w:type="dxa" w:w="16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shd w:fill="E8E8E8" w:val="clear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7"/>
                <w:szCs w:val="17"/>
              </w:rPr>
              <w:t xml:space="preserve">實作任務（例）</w:t>
            </w:r>
          </w:p>
        </w:tc>
        <w:tc>
          <w:tcPr>
            <w:tcW w:type="dxa" w:w="14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shd w:fill="E8E8E8" w:val="clear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7"/>
                <w:szCs w:val="17"/>
              </w:rPr>
              <w:t xml:space="preserve">評分／通過</w:t>
            </w:r>
          </w:p>
        </w:tc>
        <w:tc>
          <w:tcPr>
            <w:tcW w:type="dxa" w:w="12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shd w:fill="E8E8E8" w:val="clear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7"/>
                <w:szCs w:val="17"/>
              </w:rPr>
              <w:t xml:space="preserve">複審</w:t>
            </w:r>
          </w:p>
        </w:tc>
        <w:tc>
          <w:tcPr>
            <w:tcW w:type="dxa" w:w="1206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shd w:fill="E8E8E8" w:val="clear"/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17"/>
                <w:szCs w:val="17"/>
              </w:rPr>
              <w:t xml:space="preserve">加給類型</w:t>
            </w:r>
          </w:p>
        </w:tc>
      </w:tr>
      <w:tr>
        <w:tc>
          <w:tcPr>
            <w:tcW w:type="dxa" w:w="9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L0</w:t>
            </w:r>
          </w:p>
        </w:tc>
        <w:tc>
          <w:tcPr>
            <w:tcW w:type="dxa" w:w="16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一般使用者</w:t>
            </w:r>
          </w:p>
        </w:tc>
        <w:tc>
          <w:tcPr>
            <w:tcW w:type="dxa" w:w="16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AI基本風險意識</w:t>
            </w:r>
          </w:p>
        </w:tc>
        <w:tc>
          <w:tcPr>
            <w:tcW w:type="dxa" w:w="16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完成共通素養訓練</w:t>
            </w:r>
          </w:p>
        </w:tc>
        <w:tc>
          <w:tcPr>
            <w:tcW w:type="dxa" w:w="14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完訓即可</w:t>
            </w:r>
          </w:p>
        </w:tc>
        <w:tc>
          <w:tcPr>
            <w:tcW w:type="dxa" w:w="12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—</w:t>
            </w:r>
          </w:p>
        </w:tc>
        <w:tc>
          <w:tcPr>
            <w:tcW w:type="dxa" w:w="1206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不加給</w:t>
            </w:r>
          </w:p>
        </w:tc>
      </w:tr>
      <w:tr>
        <w:tc>
          <w:tcPr>
            <w:tcW w:type="dxa" w:w="9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L1</w:t>
            </w:r>
          </w:p>
        </w:tc>
        <w:tc>
          <w:tcPr>
            <w:tcW w:type="dxa" w:w="16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理解建議邏輯與限制</w:t>
            </w:r>
          </w:p>
        </w:tc>
        <w:tc>
          <w:tcPr>
            <w:tcW w:type="dxa" w:w="16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模型輸入輸出、常見偏誤</w:t>
            </w:r>
          </w:p>
        </w:tc>
        <w:tc>
          <w:tcPr>
            <w:tcW w:type="dxa" w:w="16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模擬個案：指出限制並記錄</w:t>
            </w:r>
          </w:p>
        </w:tc>
        <w:tc>
          <w:tcPr>
            <w:tcW w:type="dxa" w:w="14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檢核表達標</w:t>
            </w:r>
          </w:p>
        </w:tc>
        <w:tc>
          <w:tcPr>
            <w:tcW w:type="dxa" w:w="12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2年</w:t>
            </w:r>
          </w:p>
        </w:tc>
        <w:tc>
          <w:tcPr>
            <w:tcW w:type="dxa" w:w="1206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基礎職能加給</w:t>
            </w:r>
          </w:p>
        </w:tc>
      </w:tr>
      <w:tr>
        <w:tc>
          <w:tcPr>
            <w:tcW w:type="dxa" w:w="9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L2</w:t>
            </w:r>
          </w:p>
        </w:tc>
        <w:tc>
          <w:tcPr>
            <w:tcW w:type="dxa" w:w="16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理由審核：採納／推翻</w:t>
            </w:r>
          </w:p>
        </w:tc>
        <w:tc>
          <w:tcPr>
            <w:tcW w:type="dxa" w:w="16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資料品質、法律要件連結</w:t>
            </w:r>
          </w:p>
        </w:tc>
        <w:tc>
          <w:tcPr>
            <w:tcW w:type="dxa" w:w="16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完整個案：品質分析＋法律依據＋理由書</w:t>
            </w:r>
          </w:p>
        </w:tc>
        <w:tc>
          <w:tcPr>
            <w:tcW w:type="dxa" w:w="14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評分門檻＋抽查</w:t>
            </w:r>
          </w:p>
        </w:tc>
        <w:tc>
          <w:tcPr>
            <w:tcW w:type="dxa" w:w="12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2年</w:t>
            </w:r>
          </w:p>
        </w:tc>
        <w:tc>
          <w:tcPr>
            <w:tcW w:type="dxa" w:w="1206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審查級加給</w:t>
            </w:r>
          </w:p>
        </w:tc>
      </w:tr>
      <w:tr>
        <w:tc>
          <w:tcPr>
            <w:tcW w:type="dxa" w:w="9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L3</w:t>
            </w:r>
          </w:p>
        </w:tc>
        <w:tc>
          <w:tcPr>
            <w:tcW w:type="dxa" w:w="16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治理稽核／制度設計</w:t>
            </w:r>
          </w:p>
        </w:tc>
        <w:tc>
          <w:tcPr>
            <w:tcW w:type="dxa" w:w="16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審計方法、風險分級、組織設計</w:t>
            </w:r>
          </w:p>
        </w:tc>
        <w:tc>
          <w:tcPr>
            <w:tcW w:type="dxa" w:w="16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完成治理審計報告或制度修正建議</w:t>
            </w:r>
          </w:p>
        </w:tc>
        <w:tc>
          <w:tcPr>
            <w:tcW w:type="dxa" w:w="14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專家評審＋實績</w:t>
            </w:r>
          </w:p>
        </w:tc>
        <w:tc>
          <w:tcPr>
            <w:tcW w:type="dxa" w:w="1200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1–2年</w:t>
            </w:r>
          </w:p>
        </w:tc>
        <w:tc>
          <w:tcPr>
            <w:tcW w:type="dxa" w:w="1206"/>
            <w:tcBorders>
              <w:top w:val="single" w:color="666666" w:sz="1"/>
              <w:left w:val="single" w:color="666666" w:sz="1"/>
              <w:bottom w:val="single" w:color="666666" w:sz="1"/>
              <w:right w:val="single" w:color="666666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7"/>
                <w:szCs w:val="17"/>
              </w:rPr>
              <w:t xml:space="preserve">稽核專家加給</w:t>
            </w:r>
          </w:p>
        </w:tc>
      </w:tr>
    </w:tbl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認證方式建議採多元組合：訓練時數＋模擬／真實個案實作＋機關審核；必要時介接國際或國內專業證照。不同風險領域可在統一層級下增訂領域模組，避免單一標準過度僵化。撤銷條件包括：複審未通過、連續未完成繼續教育、重大資料違規或未履行理由書義務經查證屬實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4.2　加給比例：情境式級距方案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Level 1約5–10%、Level 2約10–20%、Level 3約20–35%等數字，目前缺乏薪酬調查或德菲法支持，屬示意值。為避免被誤讀為已有統計依據之結論，本文改提三種情境方案（相對於本俸之加給比例區間）：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低方案：L1 3–7%；L2 8–12%；L3 15–22%（較接近小幅誘因、財政保守）。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中方案：L1 5–10%；L2 10–20%；L3 20–30%（示意主方案）。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高方案：L1 8–12%；L2 15–25%；L3 25–35%（人才稀缺或高風險領域）。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推導參考方向（非實證校準）：英國PFA相對本俸之公開資訊、我國資安專業加給相對幅度、職責風險與訓練成本之概念加權。為使推導邏輯可被檢視而非僅為直覺數字，本文提供一個示意性換算方法，供未來薪酬調查取代：以我國現行資安專業加給之相對本俸幅度為基準值（假設約為5–8%，須以官方數據校正），乘以「複雜度倍數」——此倍數反映數位治理職能相對於一般資安職能在跨部門協調、法律責任連結與模型判讀等面向之額外負荷，L1至L3分別假設為1倍、1.5–2倍、2.5–3.5倍。以此推算，L1區間即貼近資安基準本身（低方案3–7%即反映此假設），L2、L3則隨倍數放大。此換算方法之基準值與倍數本身均屬待驗證假設，其唯一功能是讓區間數字有可追溯、可質疑、可修正的推導路徑，而非直接主張其為正確數值；建議後續以德菲法或薪酬調查校正基準值與倍數，而非逐級微調區間本身。精確區間有待人事主管機關訪談、薪酬調查或專家程序後再定。加給採職位綁定：調離數位治理專案職務、未完成繼續教育、或重大違規經查證者，自次月起停止支領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4.3　法制定位：給付資格與責任免除須分開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依《公務人員俸給法》第5條、第18條，透過修正《公務人員加給給與辦法》增訂「數位治理職能加給」細項，在「技術或專業加給」框架下具有討論空間，資安先例提供相容性參照。然而：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「數位治理職能」是否完全落入既有授權範圍、加給究因人／因職／因業務，仍須正式法律解釋。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以能力認證為基礎的加給，是否突破現行加給制度界線，需人事與法制機關審查。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職位綁定與個人資格綁定的法律效果不同，應在辦法中明文。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尤為重要：加給辦法可規範「誰得支領加給」（給付資格），但未必能直接創設「免除行政責任、懲戒或國家賠償」之事由。安全港之法律責任效果，可能需行政程序、公務員懲戒、國家賠償或個別領域法規配合，不能僅以加給辦法或考績施行細則承載。本文因此將安全港拆為三層（見下節）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4.4　三層安全港（Safe Harbor）重新界定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為避免提出超越現行法制授權的全面免責效果，本文將第025篇提出之「善意異議責任安全港」概念進一步細分為以下三層，以釐清其法律效果邊界：</w:t>
      </w:r>
    </w:p>
    <w:p>
      <w:pPr>
        <w:pStyle w:val="ListParagraph"/>
        <w:numPr>
          <w:ilvl w:val="0"/>
          <w:numId w:val="4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考核保障：不得僅因合理推翻或採納AI建議（且已完成雙向理由紀錄）而在平時考核或相關評等上給予不利益。</w:t>
      </w:r>
    </w:p>
    <w:p>
      <w:pPr>
        <w:pStyle w:val="ListParagraph"/>
        <w:numPr>
          <w:ilvl w:val="0"/>
          <w:numId w:val="4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加給保障：不得僅因可預見風險未實現或個案結果不利，而自動扣減或停發已依規定支領之職能加給；停發須符合預先訂定之客觀退場條件。</w:t>
      </w:r>
    </w:p>
    <w:p>
      <w:pPr>
        <w:pStyle w:val="ListParagraph"/>
        <w:numPr>
          <w:ilvl w:val="0"/>
          <w:numId w:val="4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法律責任判斷：行政責任、懲戒、國家賠償等，仍依行政法、懲戒法及個案規範認定；「依SOP」「完整理由書」「非故意或重大過失」可作為有利於行為人的情狀，但不自動構成全面免責。SOP本身錯誤時，遵循SOP不當然無責。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「合理判斷」之認定建議由機關內部法制／考績委員會或跨單位機制為之，並保留事後救濟；認定時應盡量避免純結果偏誤。重大過失標準依既有公務員法理，不另創模糊的「不可預測行政疏失」作為唯一關鍵概念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4.5　考核公式與防弊機制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治理審計導向考核建議優先作為機關內部平時考核／專案績效工具；與年終考績等次之正式掛鉤，須待考績法相關修正完成立法並累積試辦經驗後再議。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公式設計原則：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所有分項分數截斷於0–100。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優先使用比率（如無理由決定件數／AI輔助案件總數），避免絕對次數忽視分母。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依案件風險、領域與案件量調整或分層比較。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設定最低門檻／否決條款：例如課責性或理由完整度低於門檻時，不得因其他面向高分而取得優良評等。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權重應做敏感度分析，避免單一權重組合主導結果。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示意結構（權重可調）：人機協作與理由品質（約30–40%）＋資料與公平性檢核（約20–25%）＋責任歸因與紀錄完整度（約20–25%）＋組織學習／錯誤修正（約15–20%）。公平性指標不宜在「實際申訴率≥基準」時直接歸零而喪失資訊；可改為連續或分段函數，並結合外部申訴與抽查資料。</w:t>
      </w:r>
    </w:p>
    <w:p>
      <w:pPr>
        <w:pStyle w:val="Heading3"/>
        <w:spacing w:after="80" w:before="16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4.5.1　指標操縱與形式合規風險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新制度可能誘發：頻繁製作形式化理由書、壓低申訴登錄、為避免「無理由推翻」扣分而傾向保守採納、挑選易成功案件累積紀錄、以文件完整度取代實質審查。防弊措施建議：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隨機與風險分層抽查理由書與原始資料接觸紀錄。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結合外部申訴、救濟與稽核資料，而非僅依機關自報。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結果追蹤（錯誤修正、模型更新、再申訴率）。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案件難度／風險分層，避免總量比較。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對「理由完整但實質空洞」建立編碼或專家複核。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4.6　擬制條文方向（非正式法律文字）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加給辦法層級可規範：認證等級、職位綁定、支領與停止條件、與平時考核結果之連動。考績相關規定可將「完整落實雙向對稱裁量紀錄並經考評良好」列為有利認定事由之一。安全港之考核保障與加給保障可寫入相應辦法或施行細則；法律責任層仍回歸既有法律，不在加給辦法中創設全面免責。</w:t>
      </w:r>
    </w:p>
    <w:p>
      <w:pPr>
        <w:pStyle w:val="Heading1"/>
        <w:spacing w:after="14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第五章　可行性與過渡路徑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5.1　短期（現行彈性）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人事資料庫專長註記（Level 1／2）作為調度參考。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在既有專業加給裁量空間內，對符合條件者核給有限加成（參照資安操作經驗）。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高風險領域試辦，蒐集工作內容以校準分級標準。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5.2　中期（法規命令：加給給與辦法）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正式增訂數位治理職能加給細項、申請與審查程序、職位綁定與退場、與治理審計自評之連結。此一路徑彈性高於法律本文修法，但仍須考試院會同行政院程序與法律相容性審查。此種「先辦法後專法」的漸進法制化路徑，呼應法規範層級連續體（rulemaking continuum）的討論：規則制定本身即存在多種法效力強度的選項，而非僅有法律與行政裁量兩極（Strauss, 1992）。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5.3　長期（法律本文或專法）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僅當確定將高等級加給永久併入本俸，或採行政法人等體制外分流延攬高階人才時，方需俸給法本文或專法。建議在辦法層級累積一至兩年實證前，不宜貿然進入此層級。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5.4　財政與員額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申請Level 2／3加給預算與員額時，宜檢附治理審計自評，作為主計與人事審核之參考基礎，並建立可累積之資料治理人力投資機制。在財政撙節與人力精簡的政府環境中，此類新增加給倡議須正視財政多重限制下的排擠效應（Lodge &amp; Hood, 2012）。
為使財政規模有粗略可討論的量級（而非僅止於百分比區間），本文提供示意性財政敏感度估算，供主計機關參考：假設全國適用此制度之承辦人員規模分別為1,000人、5,000人、10,000人三種情境，並以中方案加給比例與各機關概略本俸級距（示意性假設平均本俸約新臺幣5萬元／月）試算，L1至L3人數依經驗法則假設為6:3:1之金字塔分布，則年度加給總額約略落在新臺幣數千萬元（1,000人情境）至新臺幣數億元（10,000人情境）之區間，實際數字須以人事總處之在職人數與本俸資料重新試算。此一估算之目的僅在於提供決策者可初步比較的財政量級，避免方案在缺乏任何財政資訊的情況下進入政策辯論；正式數字仍待與主計總處協商後確認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5.5　政治可行性與勞動關係考量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新增一項加給類別，必然牽動既有加給持有者的相對位置，方案設計不能只處理技術與法制層面，須同時正視政治可行性：(1) 相對剝奪感：資安人員與其他專業加給持有者可能質疑「數位治理職能加給」與既有加給的功能重疊或替代關係，若處理不當，可能引發跨職系比較公平性爭議；建議於推動前與資安、資訊職系代表溝通定位差異（如：資安加給著重系統防護，數位治理加給著重AI風險判斷與課責），並可考慮設計過渡性重疊採計規則。(2) 預算排擠：加給屬恆常性經常門支出，一旦設立即難以縮減，其他機關可能將此案例援引為「其他職能也應有專屬加給」的先例，主計機關對此類先例效應通常特別敏感，建議及早提出排除性原則（例如：僅限對外產生法律效果之AI輔助決策職務適用，明確排除純內部工具使用者）。(3) 工會與文官團體立場：本文尚未納入公務人員協會或工會團體對加給與考核連動之意見，尤其"治理審計KPI"若被認為是變相績效控管，可能引發抵制；建議在辦法研擬階段納入文官團體諮詢程序，並明確區分「平時考核」與「年終考績」之連動範圍（如4.5節所述），以降低被視為變相績效管理工具的疑慮。上述考量目前僅作方向性提示，實際政治可行性評估有賴人事主管機關與相關團體之正式諮商過程。</w:t>
      </w:r>
    </w:p>
    <w:p>
      <w:pPr>
        <w:pStyle w:val="Heading1"/>
        <w:spacing w:after="14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第六章　結論與建議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6.1　研究發現（審慎表述）</w:t>
      </w:r>
    </w:p>
    <w:p>
      <w:pPr>
        <w:spacing w:after="9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本文初步顯示：依現行公務人員加給制度及資安人才待遇改革先例，數位治理職能加給具有循「技術或專業加給」框架予以制度化的可能性；英國PFA提供能力認證與加給疊加的邏輯參照。然而，具體法源範圍、能力認證與給付資格的連結、職位綁定與退場的法律效果，以及安全港在考核、加給與行政責任三層的分界，仍須經正式法律審查、人事主管機關協商與試辦資料驗證後，始能確認。本文提出的分級規準、情境級距與考核公式，為可辯論的政策方案，而非已由資料直接推導的實證結論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6.2　研究限制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加給比例與權重為示意／情境設計，非精算結果。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新加坡僅概念對照；英國PFA非全國統一單一制度。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2025–2026政策動態依公開次級資料，最終定案可能變更。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安全港、退場、防弊機制之實務有效性有待試辦。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缺乏人事主管機關訪談與行政資料驗證。</w:t>
      </w:r>
    </w:p>
    <w:p>
      <w:pPr>
        <w:pStyle w:val="Heading2"/>
        <w:spacing w:after="100" w:before="22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6.3　後續研究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考試院、銓敘部、人事總處深度訪談，校準級距與認證介接。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行政法人薪資彈性條款完整查證。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試辦蒐集修改率、理由品質、申訴與抽查資料，驗證公式與防弊。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追蹤AI公務人才認定指引正式版與考績法修正立法結果。</w:t>
      </w:r>
    </w:p>
    <w:p>
      <w:pPr>
        <w:pStyle w:val="ListParagraph"/>
        <w:numPr>
          <w:ilvl w:val="0"/>
          <w:numId w:val="3"/>
        </w:numPr>
        <w:spacing w:after="50" w:line="32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擴大比較（如韓國、愛沙尼亞）並持續觀察澳洲責任制AI政策執行（Digital Transformation Agency, Australia, 2025）。</w:t>
      </w:r>
    </w:p>
    <w:p>
      <w:pPr>
        <w:pStyle w:val="Heading1"/>
        <w:spacing w:after="14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參考文獻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Bovens, M., &amp; Zouridis, S. (2002). From street-level to system-level bureaucracies. Public Administration Review, 62(2), 174–184.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Bullock, J. B. (2019). Artificial intelligence, discretion, and bureaucracy. The American Review of Public Administration, 49(7), 751–761.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Digital Transformation Agency, Australia. (2025). Policy for the responsible use of AI in government 2.0.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Heinrich, C. J. (2002). Outcomes-based performance management in the public sector. Public Administration Review, 62(6), 712–725.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Home Office (UK). (n.d.). Pay Framework Allowance (PFA). https://careers.homeoffice.gov.uk/ (accessed as publicly available institutional information).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Kettl, D. F. (2000). The global public management revolution. Brookings Institution Press.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Lawler, E. E., III. (1990). Strategic pay: Aligning organizational strategies and pay systems. Jossey-Bass.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Lodge, M., &amp; Hood, C. (2012). Into an age of multiple austerities? Governance, 25(1), 79–101.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Lu, L. [盧建旭]. (2026, manuscript). AI鑲嵌式公共行政理論壓力測試（第014篇）.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Perry, J. L., Mesch, D., &amp; Paarlberg, L. (2006). Motivating employees in a new governance era. Public Administration Review, 66(4), 505–514.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Royal Commission into the Robodebt Scheme. (2023). Final report. Commonwealth of Australia.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Strauss, P. L. (1992). The rulemaking continuum. Duke Law Journal, 41(6), 1463–1489.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UK Government Digital Service. (n.d.). Government Digital and Data Profession Capability Framework. https://ddat-capability-framework.service.gov.uk/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Yeung, K. (2018). Algorithmic regulation: A critical interrogation. Regulation &amp; Governance, 12(4), 505–523.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Young, M. M., Bullock, J. B., &amp; Lecy, J. D. (2019). Artificial discretion as a tool of governance. Perspectives on Public Management and Governance, 2(4), 301–313.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公務人員俸給法. 考試院主管法規共用系統.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公務人員加給給與辦法. 全國法規資料庫.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行政院人事行政總處給與福利處. (相關年度). 資訊及資安人才合理待遇之探討. 考試院國家文官學院電子報.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數位治理研究中心（TEG）（曾憲立主持）. (2025). 公部門人工智慧規範架構. 數位發展部委託研究.</w:t>
      </w:r>
    </w:p>
    <w:p>
      <w:pPr>
        <w:spacing w:after="50" w:before="0" w:line="3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（其餘政策新聞稿與機關網頁依正式引用格式於定稿時補齊發布日期、文號與存取日期；本文修訂稿已改為依狀態分級引用，避免將報導誤作已施行法規。）</w:t>
      </w:r>
    </w:p>
    <w:sectPr>
      <w:headerReference w:type="default" r:id="rId7"/>
      <w:footerReference w:type="default" r:id="rId8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16"/>
        <w:szCs w:val="16"/>
      </w:rPr>
      <w:t xml:space="preserve">第 </w:t>
    </w:r>
    <w:r>
      <w:rPr>
        <w:rFonts w:ascii="Times New Roman" w:cs="Times New Roman" w:eastAsia="Times New Roman" w:hAnsi="Times New Roman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sz w:val="16"/>
        <w:szCs w:val="16"/>
      </w:rPr>
      <w:t xml:space="preserve"> 頁｜政策設計型研究／修訂稿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imes New Roman" w:cs="Times New Roman" w:eastAsia="Times New Roman" w:hAnsi="Times New Roman"/>
        <w:color w:val="666666"/>
        <w:sz w:val="16"/>
        <w:szCs w:val="16"/>
      </w:rPr>
      <w:t xml:space="preserve">AI治理下文官薪酬與考核制度具體化｜修訂稿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Times New Roman" w:cs="Times New Roman" w:eastAsia="Times New Roman" w:hAnsi="Times New Roman"/>
      <w:b/>
      <w:bCs/>
      <w:sz w:val="23"/>
      <w:szCs w:val="23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Times New Roman" w:cs="Times New Roman" w:eastAsia="Times New Roman" w:hAnsi="Times New Roman"/>
      <w:b/>
      <w:bCs/>
      <w:sz w:val="21"/>
      <w:szCs w:val="21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2026-08-21T16:15:25.084Z</dcterms:created>
  <dcterms:modified xsi:type="dcterms:W3CDTF">2026-08-21T16:15:25.085Z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