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0E2" w:rsidRDefault="00A13A70">
      <w:pPr>
        <w:spacing w:after="80"/>
      </w:pPr>
      <w:r>
        <w:rPr>
          <w:rFonts w:eastAsia="Noto Serif CJK TC"/>
          <w:b/>
          <w:bCs/>
        </w:rPr>
        <w:t>第</w:t>
      </w:r>
      <w:r>
        <w:rPr>
          <w:rFonts w:eastAsia="Noto Serif CJK TC"/>
          <w:b/>
          <w:bCs/>
        </w:rPr>
        <w:t xml:space="preserve"> 023 </w:t>
      </w:r>
      <w:r>
        <w:rPr>
          <w:rFonts w:eastAsia="Noto Serif CJK TC"/>
          <w:b/>
          <w:bCs/>
        </w:rPr>
        <w:t>篇</w:t>
      </w:r>
    </w:p>
    <w:p w:rsidR="008D60E2" w:rsidRDefault="00A13A70">
      <w:pPr>
        <w:spacing w:after="300"/>
      </w:pPr>
      <w:r>
        <w:rPr>
          <w:rFonts w:eastAsia="Noto Serif CJK TC"/>
          <w:i/>
          <w:iCs/>
          <w:sz w:val="22"/>
          <w:szCs w:val="22"/>
        </w:rPr>
        <w:t>學術論文與政策附錄</w:t>
      </w:r>
    </w:p>
    <w:p w:rsidR="008D60E2" w:rsidRDefault="00A13A70">
      <w:pPr>
        <w:spacing w:after="80"/>
        <w:jc w:val="center"/>
      </w:pPr>
      <w:bookmarkStart w:id="0" w:name="_GoBack"/>
      <w:proofErr w:type="gramStart"/>
      <w:r>
        <w:rPr>
          <w:rFonts w:eastAsia="Noto Serif CJK TC"/>
          <w:b/>
          <w:bCs/>
          <w:sz w:val="34"/>
          <w:szCs w:val="34"/>
        </w:rPr>
        <w:t>破除軟法幻覺</w:t>
      </w:r>
      <w:proofErr w:type="gramEnd"/>
      <w:r>
        <w:rPr>
          <w:rFonts w:eastAsia="Noto Serif CJK TC"/>
          <w:b/>
          <w:bCs/>
          <w:sz w:val="34"/>
          <w:szCs w:val="34"/>
        </w:rPr>
        <w:t>，</w:t>
      </w:r>
      <w:proofErr w:type="gramStart"/>
      <w:r>
        <w:rPr>
          <w:rFonts w:eastAsia="Noto Serif CJK TC"/>
          <w:b/>
          <w:bCs/>
          <w:sz w:val="34"/>
          <w:szCs w:val="34"/>
        </w:rPr>
        <w:t>建構公部</w:t>
      </w:r>
      <w:proofErr w:type="gramEnd"/>
      <w:r>
        <w:rPr>
          <w:rFonts w:eastAsia="Noto Serif CJK TC"/>
          <w:b/>
          <w:bCs/>
          <w:sz w:val="34"/>
          <w:szCs w:val="34"/>
        </w:rPr>
        <w:t>門</w:t>
      </w:r>
      <w:r>
        <w:rPr>
          <w:rFonts w:eastAsia="Noto Serif CJK TC"/>
          <w:b/>
          <w:bCs/>
          <w:sz w:val="34"/>
          <w:szCs w:val="34"/>
        </w:rPr>
        <w:t xml:space="preserve"> AI </w:t>
      </w:r>
      <w:r>
        <w:rPr>
          <w:rFonts w:eastAsia="Noto Serif CJK TC"/>
          <w:b/>
          <w:bCs/>
          <w:sz w:val="34"/>
          <w:szCs w:val="34"/>
        </w:rPr>
        <w:t>治理之</w:t>
      </w:r>
    </w:p>
    <w:p w:rsidR="008D60E2" w:rsidRDefault="00A13A70">
      <w:pPr>
        <w:spacing w:after="80"/>
        <w:jc w:val="center"/>
      </w:pPr>
      <w:r>
        <w:rPr>
          <w:rFonts w:eastAsia="Noto Serif CJK TC"/>
          <w:b/>
          <w:bCs/>
          <w:sz w:val="34"/>
          <w:szCs w:val="34"/>
        </w:rPr>
        <w:t>最低實質控制能力</w:t>
      </w:r>
      <w:bookmarkEnd w:id="0"/>
      <w:r>
        <w:rPr>
          <w:rFonts w:eastAsia="Noto Serif CJK TC"/>
          <w:b/>
          <w:bCs/>
          <w:sz w:val="34"/>
          <w:szCs w:val="34"/>
        </w:rPr>
        <w:t>（</w:t>
      </w:r>
      <w:r>
        <w:rPr>
          <w:rFonts w:eastAsia="Noto Serif CJK TC"/>
          <w:b/>
          <w:bCs/>
          <w:sz w:val="34"/>
          <w:szCs w:val="34"/>
        </w:rPr>
        <w:t>MSCC</w:t>
      </w:r>
      <w:r>
        <w:rPr>
          <w:rFonts w:eastAsia="Noto Serif CJK TC"/>
          <w:b/>
          <w:bCs/>
          <w:sz w:val="34"/>
          <w:szCs w:val="34"/>
        </w:rPr>
        <w:t>）</w:t>
      </w:r>
    </w:p>
    <w:p w:rsidR="008D60E2" w:rsidRDefault="00A13A70">
      <w:pPr>
        <w:spacing w:after="300"/>
        <w:jc w:val="center"/>
        <w:rPr>
          <w:b/>
          <w:bCs/>
          <w:sz w:val="30"/>
          <w:szCs w:val="30"/>
        </w:rPr>
      </w:pPr>
      <w:proofErr w:type="gramStart"/>
      <w:r>
        <w:rPr>
          <w:rFonts w:eastAsia="Noto Serif CJK TC"/>
          <w:b/>
          <w:bCs/>
          <w:sz w:val="30"/>
          <w:szCs w:val="30"/>
        </w:rPr>
        <w:t>——</w:t>
      </w:r>
      <w:proofErr w:type="gramEnd"/>
      <w:r>
        <w:rPr>
          <w:rFonts w:eastAsia="Noto Serif CJK TC"/>
          <w:b/>
          <w:bCs/>
          <w:sz w:val="30"/>
          <w:szCs w:val="30"/>
        </w:rPr>
        <w:t>三機關落地工具矩陣與政策建議書</w:t>
      </w:r>
    </w:p>
    <w:p w:rsidR="000C42B2" w:rsidRDefault="000C42B2" w:rsidP="000C42B2">
      <w:pPr>
        <w:spacing w:after="300"/>
        <w:jc w:val="center"/>
      </w:pPr>
      <w:r>
        <w:rPr>
          <w:rFonts w:hint="eastAsia"/>
        </w:rPr>
        <w:t>盧建旭</w:t>
      </w:r>
      <w:r>
        <w:rPr>
          <w:rFonts w:hint="eastAsia"/>
        </w:rPr>
        <w:t xml:space="preserve"> Lancelot</w:t>
      </w:r>
      <w:r>
        <w:t xml:space="preserve"> </w:t>
      </w:r>
      <w:r>
        <w:rPr>
          <w:rFonts w:hint="eastAsia"/>
        </w:rPr>
        <w:t>Lu</w:t>
      </w:r>
    </w:p>
    <w:p w:rsidR="008D60E2" w:rsidRDefault="00A13A70" w:rsidP="000C42B2">
      <w:pPr>
        <w:spacing w:after="300"/>
      </w:pPr>
      <w:r>
        <w:rPr>
          <w:rFonts w:eastAsia="Noto Serif CJK TC"/>
          <w:b/>
          <w:bCs/>
          <w:sz w:val="28"/>
          <w:szCs w:val="28"/>
        </w:rPr>
        <w:t>摘要</w:t>
      </w:r>
    </w:p>
    <w:p w:rsidR="008D60E2" w:rsidRDefault="00A13A70">
      <w:pPr>
        <w:spacing w:after="200" w:line="360" w:lineRule="auto"/>
        <w:jc w:val="both"/>
      </w:pPr>
      <w:r>
        <w:rPr>
          <w:rFonts w:eastAsia="Noto Serif CJK TC"/>
        </w:rPr>
        <w:t>本研究旨在回應生成式人工智慧（</w:t>
      </w:r>
      <w:r>
        <w:rPr>
          <w:rFonts w:eastAsia="Noto Serif CJK TC"/>
        </w:rPr>
        <w:t>Generative AI</w:t>
      </w:r>
      <w:r>
        <w:rPr>
          <w:rFonts w:eastAsia="Noto Serif CJK TC"/>
        </w:rPr>
        <w:t>）與檢索增強生成（</w:t>
      </w:r>
      <w:r>
        <w:rPr>
          <w:rFonts w:eastAsia="Noto Serif CJK TC"/>
        </w:rPr>
        <w:t>Retrieval-Augmented Generation, RAG</w:t>
      </w:r>
      <w:r>
        <w:rPr>
          <w:rFonts w:eastAsia="Noto Serif CJK TC"/>
        </w:rPr>
        <w:t>）技術導入公部門後所引發的深層治理危機。過去數年，我國以財團法人資訊工業策進會科技法律研究所（資策會科法所）為代表的「</w:t>
      </w:r>
      <w:proofErr w:type="gramStart"/>
      <w:r>
        <w:rPr>
          <w:rFonts w:eastAsia="Noto Serif CJK TC"/>
        </w:rPr>
        <w:t>軟法治理</w:t>
      </w:r>
      <w:proofErr w:type="gramEnd"/>
      <w:r>
        <w:rPr>
          <w:rFonts w:eastAsia="Noto Serif CJK TC"/>
        </w:rPr>
        <w:t>模式」，試圖透過自我合規檢核表與宣示性倫理指引約束演算法；然而，本研究指明此模式已陷入不可調和的「三重體制枷鎖」</w:t>
      </w:r>
      <w:proofErr w:type="gramStart"/>
      <w:r>
        <w:rPr>
          <w:rFonts w:eastAsia="Noto Serif CJK TC"/>
        </w:rPr>
        <w:t>—</w:t>
      </w:r>
      <w:proofErr w:type="gramEnd"/>
      <w:r>
        <w:rPr>
          <w:rFonts w:eastAsia="Noto Serif CJK TC"/>
        </w:rPr>
        <w:t>—</w:t>
      </w:r>
      <w:r>
        <w:rPr>
          <w:rFonts w:eastAsia="Noto Serif CJK TC"/>
        </w:rPr>
        <w:t>受託法人的「業主邊界」、依賴資訊服務業者的「廠商包袱」，以及提供行政機關去責任化避風港的「官僚</w:t>
      </w:r>
      <w:proofErr w:type="gramStart"/>
      <w:r>
        <w:rPr>
          <w:rFonts w:eastAsia="Noto Serif CJK TC"/>
        </w:rPr>
        <w:t>舒適</w:t>
      </w:r>
      <w:proofErr w:type="gramEnd"/>
      <w:r>
        <w:rPr>
          <w:rFonts w:eastAsia="Noto Serif CJK TC"/>
        </w:rPr>
        <w:t>圈」。在技術機理層面，生成式</w:t>
      </w:r>
      <w:r>
        <w:rPr>
          <w:rFonts w:eastAsia="Noto Serif CJK TC"/>
        </w:rPr>
        <w:t xml:space="preserve"> AI </w:t>
      </w:r>
      <w:r>
        <w:rPr>
          <w:rFonts w:eastAsia="Noto Serif CJK TC"/>
        </w:rPr>
        <w:t>引發了國家行政權力的「高結構性分離」，包含</w:t>
      </w:r>
      <w:proofErr w:type="gramStart"/>
      <w:r>
        <w:rPr>
          <w:rFonts w:eastAsia="Noto Serif CJK TC"/>
        </w:rPr>
        <w:t>底層算力設施</w:t>
      </w:r>
      <w:proofErr w:type="gramEnd"/>
      <w:r>
        <w:rPr>
          <w:rFonts w:eastAsia="Noto Serif CJK TC"/>
        </w:rPr>
        <w:t>外包、語意機率生成幻覺、</w:t>
      </w:r>
      <w:r>
        <w:rPr>
          <w:rFonts w:eastAsia="Noto Serif CJK TC"/>
        </w:rPr>
        <w:t xml:space="preserve">RAG </w:t>
      </w:r>
      <w:r>
        <w:rPr>
          <w:rFonts w:eastAsia="Noto Serif CJK TC"/>
        </w:rPr>
        <w:t>向量切片密室，以及誘發</w:t>
      </w:r>
      <w:proofErr w:type="gramStart"/>
      <w:r>
        <w:rPr>
          <w:rFonts w:eastAsia="Noto Serif CJK TC"/>
        </w:rPr>
        <w:t>自動化偏誤</w:t>
      </w:r>
      <w:proofErr w:type="gramEnd"/>
      <w:r>
        <w:rPr>
          <w:rFonts w:eastAsia="Noto Serif CJK TC"/>
        </w:rPr>
        <w:t>的「責任蒸發鏈」。</w:t>
      </w:r>
    </w:p>
    <w:p w:rsidR="008D60E2" w:rsidRDefault="00A13A70">
      <w:pPr>
        <w:spacing w:after="200" w:line="360" w:lineRule="auto"/>
        <w:jc w:val="both"/>
      </w:pPr>
      <w:r>
        <w:rPr>
          <w:rFonts w:eastAsia="Noto Serif CJK TC"/>
        </w:rPr>
        <w:t>為破解此一憲政與行政法理困局，本研究提出「最低實質控制能力」（</w:t>
      </w:r>
      <w:r>
        <w:rPr>
          <w:rFonts w:eastAsia="Noto Serif CJK TC"/>
        </w:rPr>
        <w:t>Minimum Substantive Control Capability, MSCC</w:t>
      </w:r>
      <w:r>
        <w:rPr>
          <w:rFonts w:eastAsia="Noto Serif CJK TC"/>
        </w:rPr>
        <w:t>）作為公部門</w:t>
      </w:r>
      <w:r>
        <w:rPr>
          <w:rFonts w:eastAsia="Noto Serif CJK TC"/>
        </w:rPr>
        <w:t xml:space="preserve"> AI </w:t>
      </w:r>
      <w:r>
        <w:rPr>
          <w:rFonts w:eastAsia="Noto Serif CJK TC"/>
        </w:rPr>
        <w:t>治理</w:t>
      </w:r>
      <w:proofErr w:type="gramStart"/>
      <w:r>
        <w:rPr>
          <w:rFonts w:eastAsia="Noto Serif CJK TC"/>
        </w:rPr>
        <w:t>的硬法核定</w:t>
      </w:r>
      <w:proofErr w:type="gramEnd"/>
      <w:r>
        <w:rPr>
          <w:rFonts w:eastAsia="Noto Serif CJK TC"/>
        </w:rPr>
        <w:t>標準，並具體化為四大硬指標：零資料留存（</w:t>
      </w:r>
      <w:r>
        <w:rPr>
          <w:rFonts w:eastAsia="Noto Serif CJK TC"/>
        </w:rPr>
        <w:t>ZDR</w:t>
      </w:r>
      <w:r>
        <w:rPr>
          <w:rFonts w:eastAsia="Noto Serif CJK TC"/>
        </w:rPr>
        <w:t>）之資料履歷、單向斷路權（</w:t>
      </w:r>
      <w:r>
        <w:rPr>
          <w:rFonts w:eastAsia="Noto Serif CJK TC"/>
        </w:rPr>
        <w:t>Kill-Switch</w:t>
      </w:r>
      <w:r>
        <w:rPr>
          <w:rFonts w:eastAsia="Noto Serif CJK TC"/>
        </w:rPr>
        <w:t>）、切片級</w:t>
      </w:r>
      <w:proofErr w:type="gramStart"/>
      <w:r>
        <w:rPr>
          <w:rFonts w:eastAsia="Noto Serif CJK TC"/>
        </w:rPr>
        <w:t>語意強歸因</w:t>
      </w:r>
      <w:proofErr w:type="gramEnd"/>
      <w:r>
        <w:rPr>
          <w:rFonts w:eastAsia="Noto Serif CJK TC"/>
        </w:rPr>
        <w:t>與全歷程</w:t>
      </w:r>
      <w:r>
        <w:rPr>
          <w:rFonts w:eastAsia="Noto Serif CJK TC"/>
        </w:rPr>
        <w:t xml:space="preserve"> Log </w:t>
      </w:r>
      <w:r>
        <w:rPr>
          <w:rFonts w:eastAsia="Noto Serif CJK TC"/>
        </w:rPr>
        <w:t>稽核。本研究進一步建構三機關落地工具矩陣</w:t>
      </w:r>
      <w:proofErr w:type="gramStart"/>
      <w:r>
        <w:rPr>
          <w:rFonts w:eastAsia="Noto Serif CJK TC"/>
        </w:rPr>
        <w:t>—</w:t>
      </w:r>
      <w:proofErr w:type="gramEnd"/>
      <w:r>
        <w:rPr>
          <w:rFonts w:eastAsia="Noto Serif CJK TC"/>
        </w:rPr>
        <w:t>—</w:t>
      </w:r>
      <w:r>
        <w:rPr>
          <w:rFonts w:eastAsia="Noto Serif CJK TC"/>
        </w:rPr>
        <w:t>數位發展部（</w:t>
      </w:r>
      <w:r>
        <w:rPr>
          <w:rFonts w:eastAsia="Noto Serif CJK TC"/>
        </w:rPr>
        <w:t>MODA</w:t>
      </w:r>
      <w:r>
        <w:rPr>
          <w:rFonts w:eastAsia="Noto Serif CJK TC"/>
        </w:rPr>
        <w:t>）政府採購</w:t>
      </w:r>
      <w:r>
        <w:rPr>
          <w:rFonts w:eastAsia="Noto Serif CJK TC"/>
        </w:rPr>
        <w:t xml:space="preserve"> AI </w:t>
      </w:r>
      <w:r>
        <w:rPr>
          <w:rFonts w:eastAsia="Noto Serif CJK TC"/>
        </w:rPr>
        <w:t>契約標準範本、國家審計部全歷程數位稽核清單，以及行政法院實質審查與舉證責任反轉標準，補足了公共行政與公法學界在面對黑盒演算法時缺乏可營運、</w:t>
      </w:r>
      <w:proofErr w:type="gramStart"/>
      <w:r>
        <w:rPr>
          <w:rFonts w:eastAsia="Noto Serif CJK TC"/>
        </w:rPr>
        <w:t>可裁</w:t>
      </w:r>
      <w:proofErr w:type="gramEnd"/>
      <w:r>
        <w:rPr>
          <w:rFonts w:eastAsia="Noto Serif CJK TC"/>
        </w:rPr>
        <w:t>罰監督工具的理論空白。</w:t>
      </w:r>
    </w:p>
    <w:p w:rsidR="008D60E2" w:rsidRDefault="00A13A70">
      <w:pPr>
        <w:spacing w:after="200" w:line="360" w:lineRule="auto"/>
        <w:jc w:val="both"/>
      </w:pPr>
      <w:r>
        <w:rPr>
          <w:rFonts w:eastAsia="Noto Serif CJK TC"/>
          <w:b/>
          <w:bCs/>
        </w:rPr>
        <w:t>關鍵字：</w:t>
      </w:r>
      <w:r>
        <w:rPr>
          <w:rFonts w:eastAsia="Noto Serif CJK TC"/>
        </w:rPr>
        <w:t>生成式</w:t>
      </w:r>
      <w:r>
        <w:rPr>
          <w:rFonts w:eastAsia="Noto Serif CJK TC"/>
        </w:rPr>
        <w:t xml:space="preserve"> AI</w:t>
      </w:r>
      <w:r>
        <w:rPr>
          <w:rFonts w:eastAsia="Noto Serif CJK TC"/>
        </w:rPr>
        <w:t>、</w:t>
      </w:r>
      <w:proofErr w:type="gramStart"/>
      <w:r>
        <w:rPr>
          <w:rFonts w:eastAsia="Noto Serif CJK TC"/>
        </w:rPr>
        <w:t>軟法治理</w:t>
      </w:r>
      <w:proofErr w:type="gramEnd"/>
      <w:r>
        <w:rPr>
          <w:rFonts w:eastAsia="Noto Serif CJK TC"/>
        </w:rPr>
        <w:t>、最低實質控制能力（</w:t>
      </w:r>
      <w:r>
        <w:rPr>
          <w:rFonts w:eastAsia="Noto Serif CJK TC"/>
        </w:rPr>
        <w:t>MSCC</w:t>
      </w:r>
      <w:r>
        <w:rPr>
          <w:rFonts w:eastAsia="Noto Serif CJK TC"/>
        </w:rPr>
        <w:t>）、零資料留存（</w:t>
      </w:r>
      <w:r>
        <w:rPr>
          <w:rFonts w:eastAsia="Noto Serif CJK TC"/>
        </w:rPr>
        <w:t>ZDR</w:t>
      </w:r>
      <w:r>
        <w:rPr>
          <w:rFonts w:eastAsia="Noto Serif CJK TC"/>
        </w:rPr>
        <w:t>）、責任蒸發鏈</w:t>
      </w:r>
    </w:p>
    <w:p w:rsidR="008D60E2" w:rsidRDefault="00A13A70">
      <w:pPr>
        <w:spacing w:before="200" w:after="120"/>
      </w:pPr>
      <w:r>
        <w:rPr>
          <w:rFonts w:eastAsia="Noto Serif CJK TC"/>
          <w:b/>
          <w:bCs/>
        </w:rPr>
        <w:t>English Abstract</w:t>
      </w:r>
    </w:p>
    <w:p w:rsidR="008D60E2" w:rsidRDefault="00A13A70">
      <w:pPr>
        <w:spacing w:after="200" w:line="360" w:lineRule="auto"/>
        <w:jc w:val="both"/>
      </w:pPr>
      <w:r>
        <w:rPr>
          <w:rFonts w:eastAsia="Noto Serif CJK TC"/>
        </w:rPr>
        <w:t xml:space="preserve">This study addresses the profound governance crisis arising from the deployment of Generative AI and Retrieval-Augmented Generation (RAG) technologies within the public sector. For years, </w:t>
      </w:r>
      <w:r>
        <w:rPr>
          <w:rFonts w:eastAsia="Noto Serif CJK TC"/>
        </w:rPr>
        <w:lastRenderedPageBreak/>
        <w:t>Taiwan’s reliance on "soft law governance"—spearheaded by soft-guidelines and self-compliance checklists drafted by institutes like the Science &amp; Technology Law Institute (STLI)—has fallen into irreversible "triple systemic shackles": the proprietary boundaries of commissioned institutes, heavy reliance on IT vendors, and the creation of a bureaucratic comfort zone for de-responsibility. Technologically, generative AI induces a "high structural decoupling" of administrative power, characterized by outsourced GPU infrastructure, probabilistic hallucination, black-box RAG vector slicing, and a "responsibility evaporation chain" driven by automation bias.</w:t>
      </w:r>
    </w:p>
    <w:p w:rsidR="008D60E2" w:rsidRDefault="00A13A70">
      <w:pPr>
        <w:spacing w:after="200" w:line="360" w:lineRule="auto"/>
        <w:jc w:val="both"/>
      </w:pPr>
      <w:r>
        <w:rPr>
          <w:rFonts w:eastAsia="Noto Serif CJK TC"/>
        </w:rPr>
        <w:t>To dismantle this constitutional and administrative predicament, this research proposes the "Minimum Substantive Control Capability" (MSCC) as a hard-law verification standard for public sector AI deployment. MSCC is operationalized into four pillars: Zero Data Retention (ZDR) lineage, unilateral Kill-Switch mechanisms, chunk-level attribution, and immutable full-lifecycle log auditing. Furthermore, this study constructs a tri-agency implementation matrix: MODA standardized procurement contract clauses, Audit Court full-lifecycle digital audit checklists, and Judicial review standards featuring reversed burden of proof. This architecture fills a crucial academic and practical void in public administration and administrative law, establishing operable, quantifiable, and enforceable supervision over black-box algorithmic governance.</w:t>
      </w:r>
    </w:p>
    <w:p w:rsidR="008D60E2" w:rsidRDefault="00A13A70">
      <w:pPr>
        <w:spacing w:after="200" w:line="360" w:lineRule="auto"/>
        <w:jc w:val="both"/>
      </w:pPr>
      <w:r>
        <w:rPr>
          <w:rFonts w:eastAsia="Noto Serif CJK TC"/>
          <w:b/>
          <w:bCs/>
        </w:rPr>
        <w:t xml:space="preserve">Keywords: </w:t>
      </w:r>
      <w:r>
        <w:rPr>
          <w:rFonts w:eastAsia="Noto Serif CJK TC"/>
        </w:rPr>
        <w:t>Generative AI, Soft Law Governance, Minimum Substantive Control Capability (MSCC), Zero Data Retention (ZDR), Responsibility Evaporation Chain</w:t>
      </w:r>
    </w:p>
    <w:p w:rsidR="008D60E2" w:rsidRDefault="00A13A70">
      <w:pPr>
        <w:pageBreakBefore/>
        <w:spacing w:after="200"/>
      </w:pPr>
      <w:r>
        <w:rPr>
          <w:rFonts w:eastAsia="Noto Serif CJK TC"/>
          <w:b/>
          <w:bCs/>
          <w:sz w:val="28"/>
          <w:szCs w:val="28"/>
        </w:rPr>
        <w:lastRenderedPageBreak/>
        <w:t>目錄</w:t>
      </w:r>
    </w:p>
    <w:sdt>
      <w:sdtPr>
        <w:alias w:val="目錄"/>
        <w:id w:val="1082566154"/>
      </w:sdtPr>
      <w:sdtEndPr/>
      <w:sdtContent>
        <w:p w:rsidR="00A13A70" w:rsidRDefault="00A13A70">
          <w:pPr>
            <w:pStyle w:val="11"/>
            <w:tabs>
              <w:tab w:val="right" w:leader="dot" w:pos="9628"/>
            </w:tabs>
            <w:rPr>
              <w:noProof/>
            </w:rPr>
          </w:pPr>
          <w:r>
            <w:fldChar w:fldCharType="begin"/>
          </w:r>
          <w:r>
            <w:instrText>TOC \h \o "1-3"</w:instrText>
          </w:r>
          <w:r>
            <w:fldChar w:fldCharType="separate"/>
          </w:r>
          <w:hyperlink w:anchor="_Toc238090764" w:history="1">
            <w:r w:rsidRPr="00C85E8A">
              <w:rPr>
                <w:rStyle w:val="a5"/>
                <w:rFonts w:hint="eastAsia"/>
                <w:noProof/>
              </w:rPr>
              <w:t>第一章　緒論</w:t>
            </w:r>
            <w:r>
              <w:rPr>
                <w:noProof/>
              </w:rPr>
              <w:tab/>
            </w:r>
            <w:r>
              <w:rPr>
                <w:noProof/>
              </w:rPr>
              <w:fldChar w:fldCharType="begin"/>
            </w:r>
            <w:r>
              <w:rPr>
                <w:noProof/>
              </w:rPr>
              <w:instrText xml:space="preserve"> PAGEREF _Toc238090764 \h </w:instrText>
            </w:r>
            <w:r>
              <w:rPr>
                <w:noProof/>
              </w:rPr>
            </w:r>
            <w:r>
              <w:rPr>
                <w:noProof/>
              </w:rPr>
              <w:fldChar w:fldCharType="separate"/>
            </w:r>
            <w:r>
              <w:rPr>
                <w:noProof/>
              </w:rPr>
              <w:t>5</w:t>
            </w:r>
            <w:r>
              <w:rPr>
                <w:noProof/>
              </w:rPr>
              <w:fldChar w:fldCharType="end"/>
            </w:r>
          </w:hyperlink>
        </w:p>
        <w:p w:rsidR="00A13A70" w:rsidRDefault="000C42B2">
          <w:pPr>
            <w:pStyle w:val="20"/>
            <w:tabs>
              <w:tab w:val="right" w:leader="dot" w:pos="9628"/>
            </w:tabs>
            <w:rPr>
              <w:noProof/>
            </w:rPr>
          </w:pPr>
          <w:hyperlink w:anchor="_Toc238090765" w:history="1">
            <w:r w:rsidR="00A13A70" w:rsidRPr="00C85E8A">
              <w:rPr>
                <w:rStyle w:val="a5"/>
                <w:noProof/>
              </w:rPr>
              <w:t>1.1</w:t>
            </w:r>
            <w:r w:rsidR="00A13A70" w:rsidRPr="00C85E8A">
              <w:rPr>
                <w:rStyle w:val="a5"/>
                <w:rFonts w:hint="eastAsia"/>
                <w:noProof/>
              </w:rPr>
              <w:t xml:space="preserve">　研究背景與問題意識</w:t>
            </w:r>
            <w:r w:rsidR="00A13A70">
              <w:rPr>
                <w:noProof/>
              </w:rPr>
              <w:tab/>
            </w:r>
            <w:r w:rsidR="00A13A70">
              <w:rPr>
                <w:noProof/>
              </w:rPr>
              <w:fldChar w:fldCharType="begin"/>
            </w:r>
            <w:r w:rsidR="00A13A70">
              <w:rPr>
                <w:noProof/>
              </w:rPr>
              <w:instrText xml:space="preserve"> PAGEREF _Toc238090765 \h </w:instrText>
            </w:r>
            <w:r w:rsidR="00A13A70">
              <w:rPr>
                <w:noProof/>
              </w:rPr>
            </w:r>
            <w:r w:rsidR="00A13A70">
              <w:rPr>
                <w:noProof/>
              </w:rPr>
              <w:fldChar w:fldCharType="separate"/>
            </w:r>
            <w:r w:rsidR="00A13A70">
              <w:rPr>
                <w:noProof/>
              </w:rPr>
              <w:t>5</w:t>
            </w:r>
            <w:r w:rsidR="00A13A70">
              <w:rPr>
                <w:noProof/>
              </w:rPr>
              <w:fldChar w:fldCharType="end"/>
            </w:r>
          </w:hyperlink>
        </w:p>
        <w:p w:rsidR="00A13A70" w:rsidRDefault="000C42B2">
          <w:pPr>
            <w:pStyle w:val="20"/>
            <w:tabs>
              <w:tab w:val="right" w:leader="dot" w:pos="9628"/>
            </w:tabs>
            <w:rPr>
              <w:noProof/>
            </w:rPr>
          </w:pPr>
          <w:hyperlink w:anchor="_Toc238090766" w:history="1">
            <w:r w:rsidR="00A13A70" w:rsidRPr="00C85E8A">
              <w:rPr>
                <w:rStyle w:val="a5"/>
                <w:noProof/>
              </w:rPr>
              <w:t>1.2</w:t>
            </w:r>
            <w:r w:rsidR="00A13A70" w:rsidRPr="00C85E8A">
              <w:rPr>
                <w:rStyle w:val="a5"/>
                <w:rFonts w:hint="eastAsia"/>
                <w:noProof/>
              </w:rPr>
              <w:t xml:space="preserve">　研究目的與核心問題</w:t>
            </w:r>
            <w:r w:rsidR="00A13A70">
              <w:rPr>
                <w:noProof/>
              </w:rPr>
              <w:tab/>
            </w:r>
            <w:r w:rsidR="00A13A70">
              <w:rPr>
                <w:noProof/>
              </w:rPr>
              <w:fldChar w:fldCharType="begin"/>
            </w:r>
            <w:r w:rsidR="00A13A70">
              <w:rPr>
                <w:noProof/>
              </w:rPr>
              <w:instrText xml:space="preserve"> PAGEREF _Toc238090766 \h </w:instrText>
            </w:r>
            <w:r w:rsidR="00A13A70">
              <w:rPr>
                <w:noProof/>
              </w:rPr>
            </w:r>
            <w:r w:rsidR="00A13A70">
              <w:rPr>
                <w:noProof/>
              </w:rPr>
              <w:fldChar w:fldCharType="separate"/>
            </w:r>
            <w:r w:rsidR="00A13A70">
              <w:rPr>
                <w:noProof/>
              </w:rPr>
              <w:t>5</w:t>
            </w:r>
            <w:r w:rsidR="00A13A70">
              <w:rPr>
                <w:noProof/>
              </w:rPr>
              <w:fldChar w:fldCharType="end"/>
            </w:r>
          </w:hyperlink>
        </w:p>
        <w:p w:rsidR="00A13A70" w:rsidRDefault="000C42B2">
          <w:pPr>
            <w:pStyle w:val="20"/>
            <w:tabs>
              <w:tab w:val="right" w:leader="dot" w:pos="9628"/>
            </w:tabs>
            <w:rPr>
              <w:noProof/>
            </w:rPr>
          </w:pPr>
          <w:hyperlink w:anchor="_Toc238090767" w:history="1">
            <w:r w:rsidR="00A13A70" w:rsidRPr="00C85E8A">
              <w:rPr>
                <w:rStyle w:val="a5"/>
                <w:noProof/>
              </w:rPr>
              <w:t>1.3</w:t>
            </w:r>
            <w:r w:rsidR="00A13A70" w:rsidRPr="00C85E8A">
              <w:rPr>
                <w:rStyle w:val="a5"/>
                <w:rFonts w:hint="eastAsia"/>
                <w:noProof/>
              </w:rPr>
              <w:t xml:space="preserve">　研究方法與範圍界定</w:t>
            </w:r>
            <w:r w:rsidR="00A13A70">
              <w:rPr>
                <w:noProof/>
              </w:rPr>
              <w:tab/>
            </w:r>
            <w:r w:rsidR="00A13A70">
              <w:rPr>
                <w:noProof/>
              </w:rPr>
              <w:fldChar w:fldCharType="begin"/>
            </w:r>
            <w:r w:rsidR="00A13A70">
              <w:rPr>
                <w:noProof/>
              </w:rPr>
              <w:instrText xml:space="preserve"> PAGEREF _Toc238090767 \h </w:instrText>
            </w:r>
            <w:r w:rsidR="00A13A70">
              <w:rPr>
                <w:noProof/>
              </w:rPr>
            </w:r>
            <w:r w:rsidR="00A13A70">
              <w:rPr>
                <w:noProof/>
              </w:rPr>
              <w:fldChar w:fldCharType="separate"/>
            </w:r>
            <w:r w:rsidR="00A13A70">
              <w:rPr>
                <w:noProof/>
              </w:rPr>
              <w:t>5</w:t>
            </w:r>
            <w:r w:rsidR="00A13A70">
              <w:rPr>
                <w:noProof/>
              </w:rPr>
              <w:fldChar w:fldCharType="end"/>
            </w:r>
          </w:hyperlink>
        </w:p>
        <w:p w:rsidR="00A13A70" w:rsidRDefault="000C42B2">
          <w:pPr>
            <w:pStyle w:val="11"/>
            <w:tabs>
              <w:tab w:val="right" w:leader="dot" w:pos="9628"/>
            </w:tabs>
            <w:rPr>
              <w:noProof/>
            </w:rPr>
          </w:pPr>
          <w:hyperlink w:anchor="_Toc238090768" w:history="1">
            <w:r w:rsidR="00A13A70" w:rsidRPr="00C85E8A">
              <w:rPr>
                <w:rStyle w:val="a5"/>
                <w:rFonts w:hint="eastAsia"/>
                <w:noProof/>
              </w:rPr>
              <w:t>第二章　理論批判：軟法治理的三重體制枷鎖</w:t>
            </w:r>
            <w:r w:rsidR="00A13A70">
              <w:rPr>
                <w:noProof/>
              </w:rPr>
              <w:tab/>
            </w:r>
            <w:r w:rsidR="00A13A70">
              <w:rPr>
                <w:noProof/>
              </w:rPr>
              <w:fldChar w:fldCharType="begin"/>
            </w:r>
            <w:r w:rsidR="00A13A70">
              <w:rPr>
                <w:noProof/>
              </w:rPr>
              <w:instrText xml:space="preserve"> PAGEREF _Toc238090768 \h </w:instrText>
            </w:r>
            <w:r w:rsidR="00A13A70">
              <w:rPr>
                <w:noProof/>
              </w:rPr>
            </w:r>
            <w:r w:rsidR="00A13A70">
              <w:rPr>
                <w:noProof/>
              </w:rPr>
              <w:fldChar w:fldCharType="separate"/>
            </w:r>
            <w:r w:rsidR="00A13A70">
              <w:rPr>
                <w:noProof/>
              </w:rPr>
              <w:t>7</w:t>
            </w:r>
            <w:r w:rsidR="00A13A70">
              <w:rPr>
                <w:noProof/>
              </w:rPr>
              <w:fldChar w:fldCharType="end"/>
            </w:r>
          </w:hyperlink>
        </w:p>
        <w:p w:rsidR="00A13A70" w:rsidRDefault="000C42B2">
          <w:pPr>
            <w:pStyle w:val="20"/>
            <w:tabs>
              <w:tab w:val="right" w:leader="dot" w:pos="9628"/>
            </w:tabs>
            <w:rPr>
              <w:noProof/>
            </w:rPr>
          </w:pPr>
          <w:hyperlink w:anchor="_Toc238090769" w:history="1">
            <w:r w:rsidR="00A13A70" w:rsidRPr="00C85E8A">
              <w:rPr>
                <w:rStyle w:val="a5"/>
                <w:noProof/>
              </w:rPr>
              <w:t>2.1</w:t>
            </w:r>
            <w:r w:rsidR="00A13A70" w:rsidRPr="00C85E8A">
              <w:rPr>
                <w:rStyle w:val="a5"/>
                <w:rFonts w:hint="eastAsia"/>
                <w:noProof/>
              </w:rPr>
              <w:t xml:space="preserve">　軟法治理的三重體制枷鎖</w:t>
            </w:r>
            <w:r w:rsidR="00A13A70">
              <w:rPr>
                <w:noProof/>
              </w:rPr>
              <w:tab/>
            </w:r>
            <w:r w:rsidR="00A13A70">
              <w:rPr>
                <w:noProof/>
              </w:rPr>
              <w:fldChar w:fldCharType="begin"/>
            </w:r>
            <w:r w:rsidR="00A13A70">
              <w:rPr>
                <w:noProof/>
              </w:rPr>
              <w:instrText xml:space="preserve"> PAGEREF _Toc238090769 \h </w:instrText>
            </w:r>
            <w:r w:rsidR="00A13A70">
              <w:rPr>
                <w:noProof/>
              </w:rPr>
            </w:r>
            <w:r w:rsidR="00A13A70">
              <w:rPr>
                <w:noProof/>
              </w:rPr>
              <w:fldChar w:fldCharType="separate"/>
            </w:r>
            <w:r w:rsidR="00A13A70">
              <w:rPr>
                <w:noProof/>
              </w:rPr>
              <w:t>7</w:t>
            </w:r>
            <w:r w:rsidR="00A13A70">
              <w:rPr>
                <w:noProof/>
              </w:rPr>
              <w:fldChar w:fldCharType="end"/>
            </w:r>
          </w:hyperlink>
        </w:p>
        <w:p w:rsidR="00A13A70" w:rsidRDefault="000C42B2">
          <w:pPr>
            <w:pStyle w:val="20"/>
            <w:tabs>
              <w:tab w:val="right" w:leader="dot" w:pos="9628"/>
            </w:tabs>
            <w:rPr>
              <w:noProof/>
            </w:rPr>
          </w:pPr>
          <w:hyperlink w:anchor="_Toc238090770" w:history="1">
            <w:r w:rsidR="00A13A70" w:rsidRPr="00C85E8A">
              <w:rPr>
                <w:rStyle w:val="a5"/>
                <w:noProof/>
              </w:rPr>
              <w:t>2.2</w:t>
            </w:r>
            <w:r w:rsidR="00A13A70" w:rsidRPr="00C85E8A">
              <w:rPr>
                <w:rStyle w:val="a5"/>
                <w:rFonts w:hint="eastAsia"/>
                <w:noProof/>
              </w:rPr>
              <w:t xml:space="preserve">　與既有演算法課責文獻之批判性對話：</w:t>
            </w:r>
            <w:r w:rsidR="00A13A70" w:rsidRPr="00C85E8A">
              <w:rPr>
                <w:rStyle w:val="a5"/>
                <w:noProof/>
              </w:rPr>
              <w:t xml:space="preserve">MSCC </w:t>
            </w:r>
            <w:r w:rsidR="00A13A70" w:rsidRPr="00C85E8A">
              <w:rPr>
                <w:rStyle w:val="a5"/>
                <w:rFonts w:hint="eastAsia"/>
                <w:noProof/>
              </w:rPr>
              <w:t>超越「可審查性」與「可解釋性」之處</w:t>
            </w:r>
            <w:r w:rsidR="00A13A70">
              <w:rPr>
                <w:noProof/>
              </w:rPr>
              <w:tab/>
            </w:r>
            <w:r w:rsidR="00A13A70">
              <w:rPr>
                <w:noProof/>
              </w:rPr>
              <w:fldChar w:fldCharType="begin"/>
            </w:r>
            <w:r w:rsidR="00A13A70">
              <w:rPr>
                <w:noProof/>
              </w:rPr>
              <w:instrText xml:space="preserve"> PAGEREF _Toc238090770 \h </w:instrText>
            </w:r>
            <w:r w:rsidR="00A13A70">
              <w:rPr>
                <w:noProof/>
              </w:rPr>
            </w:r>
            <w:r w:rsidR="00A13A70">
              <w:rPr>
                <w:noProof/>
              </w:rPr>
              <w:fldChar w:fldCharType="separate"/>
            </w:r>
            <w:r w:rsidR="00A13A70">
              <w:rPr>
                <w:noProof/>
              </w:rPr>
              <w:t>8</w:t>
            </w:r>
            <w:r w:rsidR="00A13A70">
              <w:rPr>
                <w:noProof/>
              </w:rPr>
              <w:fldChar w:fldCharType="end"/>
            </w:r>
          </w:hyperlink>
        </w:p>
        <w:p w:rsidR="00A13A70" w:rsidRDefault="000C42B2">
          <w:pPr>
            <w:pStyle w:val="11"/>
            <w:tabs>
              <w:tab w:val="right" w:leader="dot" w:pos="9628"/>
            </w:tabs>
            <w:rPr>
              <w:noProof/>
            </w:rPr>
          </w:pPr>
          <w:hyperlink w:anchor="_Toc238090771" w:history="1">
            <w:r w:rsidR="00A13A70" w:rsidRPr="00C85E8A">
              <w:rPr>
                <w:rStyle w:val="a5"/>
                <w:rFonts w:hint="eastAsia"/>
                <w:noProof/>
              </w:rPr>
              <w:t>第三章　技術機理：生成式</w:t>
            </w:r>
            <w:r w:rsidR="00A13A70" w:rsidRPr="00C85E8A">
              <w:rPr>
                <w:rStyle w:val="a5"/>
                <w:noProof/>
              </w:rPr>
              <w:t xml:space="preserve"> AI </w:t>
            </w:r>
            <w:r w:rsidR="00A13A70" w:rsidRPr="00C85E8A">
              <w:rPr>
                <w:rStyle w:val="a5"/>
                <w:rFonts w:hint="eastAsia"/>
                <w:noProof/>
              </w:rPr>
              <w:t>的高結構性分離</w:t>
            </w:r>
            <w:r w:rsidR="00A13A70">
              <w:rPr>
                <w:noProof/>
              </w:rPr>
              <w:tab/>
            </w:r>
            <w:r w:rsidR="00A13A70">
              <w:rPr>
                <w:noProof/>
              </w:rPr>
              <w:fldChar w:fldCharType="begin"/>
            </w:r>
            <w:r w:rsidR="00A13A70">
              <w:rPr>
                <w:noProof/>
              </w:rPr>
              <w:instrText xml:space="preserve"> PAGEREF _Toc238090771 \h </w:instrText>
            </w:r>
            <w:r w:rsidR="00A13A70">
              <w:rPr>
                <w:noProof/>
              </w:rPr>
            </w:r>
            <w:r w:rsidR="00A13A70">
              <w:rPr>
                <w:noProof/>
              </w:rPr>
              <w:fldChar w:fldCharType="separate"/>
            </w:r>
            <w:r w:rsidR="00A13A70">
              <w:rPr>
                <w:noProof/>
              </w:rPr>
              <w:t>10</w:t>
            </w:r>
            <w:r w:rsidR="00A13A70">
              <w:rPr>
                <w:noProof/>
              </w:rPr>
              <w:fldChar w:fldCharType="end"/>
            </w:r>
          </w:hyperlink>
        </w:p>
        <w:p w:rsidR="00A13A70" w:rsidRDefault="000C42B2">
          <w:pPr>
            <w:pStyle w:val="11"/>
            <w:tabs>
              <w:tab w:val="right" w:leader="dot" w:pos="9628"/>
            </w:tabs>
            <w:rPr>
              <w:noProof/>
            </w:rPr>
          </w:pPr>
          <w:hyperlink w:anchor="_Toc238090772" w:history="1">
            <w:r w:rsidR="00A13A70" w:rsidRPr="00C85E8A">
              <w:rPr>
                <w:rStyle w:val="a5"/>
                <w:rFonts w:hint="eastAsia"/>
                <w:noProof/>
              </w:rPr>
              <w:t>第四章　核心解方：最低實質控制能力（</w:t>
            </w:r>
            <w:r w:rsidR="00A13A70" w:rsidRPr="00C85E8A">
              <w:rPr>
                <w:rStyle w:val="a5"/>
                <w:noProof/>
              </w:rPr>
              <w:t>MSCC</w:t>
            </w:r>
            <w:r w:rsidR="00A13A70" w:rsidRPr="00C85E8A">
              <w:rPr>
                <w:rStyle w:val="a5"/>
                <w:rFonts w:hint="eastAsia"/>
                <w:noProof/>
              </w:rPr>
              <w:t>）與落地矩陣</w:t>
            </w:r>
            <w:r w:rsidR="00A13A70">
              <w:rPr>
                <w:noProof/>
              </w:rPr>
              <w:tab/>
            </w:r>
            <w:r w:rsidR="00A13A70">
              <w:rPr>
                <w:noProof/>
              </w:rPr>
              <w:fldChar w:fldCharType="begin"/>
            </w:r>
            <w:r w:rsidR="00A13A70">
              <w:rPr>
                <w:noProof/>
              </w:rPr>
              <w:instrText xml:space="preserve"> PAGEREF _Toc238090772 \h </w:instrText>
            </w:r>
            <w:r w:rsidR="00A13A70">
              <w:rPr>
                <w:noProof/>
              </w:rPr>
            </w:r>
            <w:r w:rsidR="00A13A70">
              <w:rPr>
                <w:noProof/>
              </w:rPr>
              <w:fldChar w:fldCharType="separate"/>
            </w:r>
            <w:r w:rsidR="00A13A70">
              <w:rPr>
                <w:noProof/>
              </w:rPr>
              <w:t>11</w:t>
            </w:r>
            <w:r w:rsidR="00A13A70">
              <w:rPr>
                <w:noProof/>
              </w:rPr>
              <w:fldChar w:fldCharType="end"/>
            </w:r>
          </w:hyperlink>
        </w:p>
        <w:p w:rsidR="00A13A70" w:rsidRDefault="000C42B2">
          <w:pPr>
            <w:pStyle w:val="20"/>
            <w:tabs>
              <w:tab w:val="right" w:leader="dot" w:pos="9628"/>
            </w:tabs>
            <w:rPr>
              <w:noProof/>
            </w:rPr>
          </w:pPr>
          <w:hyperlink w:anchor="_Toc238090773" w:history="1">
            <w:r w:rsidR="00A13A70" w:rsidRPr="00C85E8A">
              <w:rPr>
                <w:rStyle w:val="a5"/>
                <w:noProof/>
              </w:rPr>
              <w:t>4.1</w:t>
            </w:r>
            <w:r w:rsidR="00A13A70" w:rsidRPr="00C85E8A">
              <w:rPr>
                <w:rStyle w:val="a5"/>
                <w:rFonts w:hint="eastAsia"/>
                <w:noProof/>
              </w:rPr>
              <w:t xml:space="preserve">　最低實質控制能力（</w:t>
            </w:r>
            <w:r w:rsidR="00A13A70" w:rsidRPr="00C85E8A">
              <w:rPr>
                <w:rStyle w:val="a5"/>
                <w:noProof/>
              </w:rPr>
              <w:t>MSCC</w:t>
            </w:r>
            <w:r w:rsidR="00A13A70" w:rsidRPr="00C85E8A">
              <w:rPr>
                <w:rStyle w:val="a5"/>
                <w:rFonts w:hint="eastAsia"/>
                <w:noProof/>
              </w:rPr>
              <w:t>）四大維度</w:t>
            </w:r>
            <w:r w:rsidR="00A13A70">
              <w:rPr>
                <w:noProof/>
              </w:rPr>
              <w:tab/>
            </w:r>
            <w:r w:rsidR="00A13A70">
              <w:rPr>
                <w:noProof/>
              </w:rPr>
              <w:fldChar w:fldCharType="begin"/>
            </w:r>
            <w:r w:rsidR="00A13A70">
              <w:rPr>
                <w:noProof/>
              </w:rPr>
              <w:instrText xml:space="preserve"> PAGEREF _Toc238090773 \h </w:instrText>
            </w:r>
            <w:r w:rsidR="00A13A70">
              <w:rPr>
                <w:noProof/>
              </w:rPr>
            </w:r>
            <w:r w:rsidR="00A13A70">
              <w:rPr>
                <w:noProof/>
              </w:rPr>
              <w:fldChar w:fldCharType="separate"/>
            </w:r>
            <w:r w:rsidR="00A13A70">
              <w:rPr>
                <w:noProof/>
              </w:rPr>
              <w:t>11</w:t>
            </w:r>
            <w:r w:rsidR="00A13A70">
              <w:rPr>
                <w:noProof/>
              </w:rPr>
              <w:fldChar w:fldCharType="end"/>
            </w:r>
          </w:hyperlink>
        </w:p>
        <w:p w:rsidR="00A13A70" w:rsidRDefault="000C42B2">
          <w:pPr>
            <w:pStyle w:val="20"/>
            <w:tabs>
              <w:tab w:val="right" w:leader="dot" w:pos="9628"/>
            </w:tabs>
            <w:rPr>
              <w:noProof/>
            </w:rPr>
          </w:pPr>
          <w:hyperlink w:anchor="_Toc238090774" w:history="1">
            <w:r w:rsidR="00A13A70" w:rsidRPr="00C85E8A">
              <w:rPr>
                <w:rStyle w:val="a5"/>
                <w:noProof/>
              </w:rPr>
              <w:t>4.2</w:t>
            </w:r>
            <w:r w:rsidR="00A13A70" w:rsidRPr="00C85E8A">
              <w:rPr>
                <w:rStyle w:val="a5"/>
                <w:rFonts w:hint="eastAsia"/>
                <w:noProof/>
              </w:rPr>
              <w:t xml:space="preserve">　法定授權與三機關落地工具矩陣</w:t>
            </w:r>
            <w:r w:rsidR="00A13A70">
              <w:rPr>
                <w:noProof/>
              </w:rPr>
              <w:tab/>
            </w:r>
            <w:r w:rsidR="00A13A70">
              <w:rPr>
                <w:noProof/>
              </w:rPr>
              <w:fldChar w:fldCharType="begin"/>
            </w:r>
            <w:r w:rsidR="00A13A70">
              <w:rPr>
                <w:noProof/>
              </w:rPr>
              <w:instrText xml:space="preserve"> PAGEREF _Toc238090774 \h </w:instrText>
            </w:r>
            <w:r w:rsidR="00A13A70">
              <w:rPr>
                <w:noProof/>
              </w:rPr>
            </w:r>
            <w:r w:rsidR="00A13A70">
              <w:rPr>
                <w:noProof/>
              </w:rPr>
              <w:fldChar w:fldCharType="separate"/>
            </w:r>
            <w:r w:rsidR="00A13A70">
              <w:rPr>
                <w:noProof/>
              </w:rPr>
              <w:t>11</w:t>
            </w:r>
            <w:r w:rsidR="00A13A70">
              <w:rPr>
                <w:noProof/>
              </w:rPr>
              <w:fldChar w:fldCharType="end"/>
            </w:r>
          </w:hyperlink>
        </w:p>
        <w:p w:rsidR="00A13A70" w:rsidRDefault="000C42B2">
          <w:pPr>
            <w:pStyle w:val="20"/>
            <w:tabs>
              <w:tab w:val="right" w:leader="dot" w:pos="9628"/>
            </w:tabs>
            <w:rPr>
              <w:noProof/>
            </w:rPr>
          </w:pPr>
          <w:hyperlink w:anchor="_Toc238090775" w:history="1">
            <w:r w:rsidR="00A13A70" w:rsidRPr="00C85E8A">
              <w:rPr>
                <w:rStyle w:val="a5"/>
                <w:noProof/>
              </w:rPr>
              <w:t>4.3</w:t>
            </w:r>
            <w:r w:rsidR="00A13A70" w:rsidRPr="00C85E8A">
              <w:rPr>
                <w:rStyle w:val="a5"/>
                <w:rFonts w:hint="eastAsia"/>
                <w:noProof/>
              </w:rPr>
              <w:t xml:space="preserve">　化解「廠商包袱」與契約槓桿落差之機制</w:t>
            </w:r>
            <w:r w:rsidR="00A13A70">
              <w:rPr>
                <w:noProof/>
              </w:rPr>
              <w:tab/>
            </w:r>
            <w:r w:rsidR="00A13A70">
              <w:rPr>
                <w:noProof/>
              </w:rPr>
              <w:fldChar w:fldCharType="begin"/>
            </w:r>
            <w:r w:rsidR="00A13A70">
              <w:rPr>
                <w:noProof/>
              </w:rPr>
              <w:instrText xml:space="preserve"> PAGEREF _Toc238090775 \h </w:instrText>
            </w:r>
            <w:r w:rsidR="00A13A70">
              <w:rPr>
                <w:noProof/>
              </w:rPr>
            </w:r>
            <w:r w:rsidR="00A13A70">
              <w:rPr>
                <w:noProof/>
              </w:rPr>
              <w:fldChar w:fldCharType="separate"/>
            </w:r>
            <w:r w:rsidR="00A13A70">
              <w:rPr>
                <w:noProof/>
              </w:rPr>
              <w:t>13</w:t>
            </w:r>
            <w:r w:rsidR="00A13A70">
              <w:rPr>
                <w:noProof/>
              </w:rPr>
              <w:fldChar w:fldCharType="end"/>
            </w:r>
          </w:hyperlink>
        </w:p>
        <w:p w:rsidR="00A13A70" w:rsidRDefault="000C42B2">
          <w:pPr>
            <w:pStyle w:val="11"/>
            <w:tabs>
              <w:tab w:val="right" w:leader="dot" w:pos="9628"/>
            </w:tabs>
            <w:rPr>
              <w:noProof/>
            </w:rPr>
          </w:pPr>
          <w:hyperlink w:anchor="_Toc238090776" w:history="1">
            <w:r w:rsidR="00A13A70" w:rsidRPr="00C85E8A">
              <w:rPr>
                <w:rStyle w:val="a5"/>
                <w:rFonts w:hint="eastAsia"/>
                <w:noProof/>
              </w:rPr>
              <w:t>第五章　結論與政策建議</w:t>
            </w:r>
            <w:r w:rsidR="00A13A70">
              <w:rPr>
                <w:noProof/>
              </w:rPr>
              <w:tab/>
            </w:r>
            <w:r w:rsidR="00A13A70">
              <w:rPr>
                <w:noProof/>
              </w:rPr>
              <w:fldChar w:fldCharType="begin"/>
            </w:r>
            <w:r w:rsidR="00A13A70">
              <w:rPr>
                <w:noProof/>
              </w:rPr>
              <w:instrText xml:space="preserve"> PAGEREF _Toc238090776 \h </w:instrText>
            </w:r>
            <w:r w:rsidR="00A13A70">
              <w:rPr>
                <w:noProof/>
              </w:rPr>
            </w:r>
            <w:r w:rsidR="00A13A70">
              <w:rPr>
                <w:noProof/>
              </w:rPr>
              <w:fldChar w:fldCharType="separate"/>
            </w:r>
            <w:r w:rsidR="00A13A70">
              <w:rPr>
                <w:noProof/>
              </w:rPr>
              <w:t>16</w:t>
            </w:r>
            <w:r w:rsidR="00A13A70">
              <w:rPr>
                <w:noProof/>
              </w:rPr>
              <w:fldChar w:fldCharType="end"/>
            </w:r>
          </w:hyperlink>
        </w:p>
        <w:p w:rsidR="00A13A70" w:rsidRDefault="000C42B2">
          <w:pPr>
            <w:pStyle w:val="20"/>
            <w:tabs>
              <w:tab w:val="right" w:leader="dot" w:pos="9628"/>
            </w:tabs>
            <w:rPr>
              <w:noProof/>
            </w:rPr>
          </w:pPr>
          <w:hyperlink w:anchor="_Toc238090777" w:history="1">
            <w:r w:rsidR="00A13A70" w:rsidRPr="00C85E8A">
              <w:rPr>
                <w:rStyle w:val="a5"/>
                <w:noProof/>
              </w:rPr>
              <w:t>5.1</w:t>
            </w:r>
            <w:r w:rsidR="00A13A70" w:rsidRPr="00C85E8A">
              <w:rPr>
                <w:rStyle w:val="a5"/>
                <w:rFonts w:hint="eastAsia"/>
                <w:noProof/>
              </w:rPr>
              <w:t xml:space="preserve">　研究發現與理論貢獻</w:t>
            </w:r>
            <w:r w:rsidR="00A13A70">
              <w:rPr>
                <w:noProof/>
              </w:rPr>
              <w:tab/>
            </w:r>
            <w:r w:rsidR="00A13A70">
              <w:rPr>
                <w:noProof/>
              </w:rPr>
              <w:fldChar w:fldCharType="begin"/>
            </w:r>
            <w:r w:rsidR="00A13A70">
              <w:rPr>
                <w:noProof/>
              </w:rPr>
              <w:instrText xml:space="preserve"> PAGEREF _Toc238090777 \h </w:instrText>
            </w:r>
            <w:r w:rsidR="00A13A70">
              <w:rPr>
                <w:noProof/>
              </w:rPr>
            </w:r>
            <w:r w:rsidR="00A13A70">
              <w:rPr>
                <w:noProof/>
              </w:rPr>
              <w:fldChar w:fldCharType="separate"/>
            </w:r>
            <w:r w:rsidR="00A13A70">
              <w:rPr>
                <w:noProof/>
              </w:rPr>
              <w:t>16</w:t>
            </w:r>
            <w:r w:rsidR="00A13A70">
              <w:rPr>
                <w:noProof/>
              </w:rPr>
              <w:fldChar w:fldCharType="end"/>
            </w:r>
          </w:hyperlink>
        </w:p>
        <w:p w:rsidR="00A13A70" w:rsidRDefault="000C42B2">
          <w:pPr>
            <w:pStyle w:val="20"/>
            <w:tabs>
              <w:tab w:val="right" w:leader="dot" w:pos="9628"/>
            </w:tabs>
            <w:rPr>
              <w:noProof/>
            </w:rPr>
          </w:pPr>
          <w:hyperlink w:anchor="_Toc238090778" w:history="1">
            <w:r w:rsidR="00A13A70" w:rsidRPr="00C85E8A">
              <w:rPr>
                <w:rStyle w:val="a5"/>
                <w:noProof/>
              </w:rPr>
              <w:t>5.2</w:t>
            </w:r>
            <w:r w:rsidR="00A13A70" w:rsidRPr="00C85E8A">
              <w:rPr>
                <w:rStyle w:val="a5"/>
                <w:rFonts w:hint="eastAsia"/>
                <w:noProof/>
              </w:rPr>
              <w:t xml:space="preserve">　四階段政策改革藍圖</w:t>
            </w:r>
            <w:r w:rsidR="00A13A70">
              <w:rPr>
                <w:noProof/>
              </w:rPr>
              <w:tab/>
            </w:r>
            <w:r w:rsidR="00A13A70">
              <w:rPr>
                <w:noProof/>
              </w:rPr>
              <w:fldChar w:fldCharType="begin"/>
            </w:r>
            <w:r w:rsidR="00A13A70">
              <w:rPr>
                <w:noProof/>
              </w:rPr>
              <w:instrText xml:space="preserve"> PAGEREF _Toc238090778 \h </w:instrText>
            </w:r>
            <w:r w:rsidR="00A13A70">
              <w:rPr>
                <w:noProof/>
              </w:rPr>
            </w:r>
            <w:r w:rsidR="00A13A70">
              <w:rPr>
                <w:noProof/>
              </w:rPr>
              <w:fldChar w:fldCharType="separate"/>
            </w:r>
            <w:r w:rsidR="00A13A70">
              <w:rPr>
                <w:noProof/>
              </w:rPr>
              <w:t>18</w:t>
            </w:r>
            <w:r w:rsidR="00A13A70">
              <w:rPr>
                <w:noProof/>
              </w:rPr>
              <w:fldChar w:fldCharType="end"/>
            </w:r>
          </w:hyperlink>
        </w:p>
        <w:p w:rsidR="00A13A70" w:rsidRDefault="000C42B2">
          <w:pPr>
            <w:pStyle w:val="11"/>
            <w:tabs>
              <w:tab w:val="right" w:leader="dot" w:pos="9628"/>
            </w:tabs>
            <w:rPr>
              <w:noProof/>
            </w:rPr>
          </w:pPr>
          <w:hyperlink w:anchor="_Toc238090779" w:history="1">
            <w:r w:rsidR="00A13A70" w:rsidRPr="00C85E8A">
              <w:rPr>
                <w:rStyle w:val="a5"/>
                <w:rFonts w:hint="eastAsia"/>
                <w:noProof/>
              </w:rPr>
              <w:t>參考文獻</w:t>
            </w:r>
            <w:r w:rsidR="00A13A70">
              <w:rPr>
                <w:noProof/>
              </w:rPr>
              <w:tab/>
            </w:r>
            <w:r w:rsidR="00A13A70">
              <w:rPr>
                <w:noProof/>
              </w:rPr>
              <w:fldChar w:fldCharType="begin"/>
            </w:r>
            <w:r w:rsidR="00A13A70">
              <w:rPr>
                <w:noProof/>
              </w:rPr>
              <w:instrText xml:space="preserve"> PAGEREF _Toc238090779 \h </w:instrText>
            </w:r>
            <w:r w:rsidR="00A13A70">
              <w:rPr>
                <w:noProof/>
              </w:rPr>
            </w:r>
            <w:r w:rsidR="00A13A70">
              <w:rPr>
                <w:noProof/>
              </w:rPr>
              <w:fldChar w:fldCharType="separate"/>
            </w:r>
            <w:r w:rsidR="00A13A70">
              <w:rPr>
                <w:noProof/>
              </w:rPr>
              <w:t>20</w:t>
            </w:r>
            <w:r w:rsidR="00A13A70">
              <w:rPr>
                <w:noProof/>
              </w:rPr>
              <w:fldChar w:fldCharType="end"/>
            </w:r>
          </w:hyperlink>
        </w:p>
        <w:p w:rsidR="00A13A70" w:rsidRDefault="000C42B2">
          <w:pPr>
            <w:pStyle w:val="11"/>
            <w:tabs>
              <w:tab w:val="right" w:leader="dot" w:pos="9628"/>
            </w:tabs>
            <w:rPr>
              <w:noProof/>
            </w:rPr>
          </w:pPr>
          <w:hyperlink w:anchor="_Toc238090780" w:history="1">
            <w:r w:rsidR="00A13A70" w:rsidRPr="00C85E8A">
              <w:rPr>
                <w:rStyle w:val="a5"/>
                <w:rFonts w:hint="eastAsia"/>
                <w:noProof/>
              </w:rPr>
              <w:t>政策附錄</w:t>
            </w:r>
            <w:r w:rsidR="00A13A70">
              <w:rPr>
                <w:noProof/>
              </w:rPr>
              <w:tab/>
            </w:r>
            <w:r w:rsidR="00A13A70">
              <w:rPr>
                <w:noProof/>
              </w:rPr>
              <w:fldChar w:fldCharType="begin"/>
            </w:r>
            <w:r w:rsidR="00A13A70">
              <w:rPr>
                <w:noProof/>
              </w:rPr>
              <w:instrText xml:space="preserve"> PAGEREF _Toc238090780 \h </w:instrText>
            </w:r>
            <w:r w:rsidR="00A13A70">
              <w:rPr>
                <w:noProof/>
              </w:rPr>
            </w:r>
            <w:r w:rsidR="00A13A70">
              <w:rPr>
                <w:noProof/>
              </w:rPr>
              <w:fldChar w:fldCharType="separate"/>
            </w:r>
            <w:r w:rsidR="00A13A70">
              <w:rPr>
                <w:noProof/>
              </w:rPr>
              <w:t>22</w:t>
            </w:r>
            <w:r w:rsidR="00A13A70">
              <w:rPr>
                <w:noProof/>
              </w:rPr>
              <w:fldChar w:fldCharType="end"/>
            </w:r>
          </w:hyperlink>
        </w:p>
        <w:p w:rsidR="00A13A70" w:rsidRDefault="000C42B2">
          <w:pPr>
            <w:pStyle w:val="20"/>
            <w:tabs>
              <w:tab w:val="right" w:leader="dot" w:pos="9628"/>
            </w:tabs>
            <w:rPr>
              <w:noProof/>
            </w:rPr>
          </w:pPr>
          <w:hyperlink w:anchor="_Toc238090781" w:history="1">
            <w:r w:rsidR="00A13A70" w:rsidRPr="00C85E8A">
              <w:rPr>
                <w:rStyle w:val="a5"/>
                <w:rFonts w:hint="eastAsia"/>
                <w:noProof/>
              </w:rPr>
              <w:t>附錄一：行政院簽呈（假設性範例文件）</w:t>
            </w:r>
            <w:r w:rsidR="00A13A70">
              <w:rPr>
                <w:noProof/>
              </w:rPr>
              <w:tab/>
            </w:r>
            <w:r w:rsidR="00A13A70">
              <w:rPr>
                <w:noProof/>
              </w:rPr>
              <w:fldChar w:fldCharType="begin"/>
            </w:r>
            <w:r w:rsidR="00A13A70">
              <w:rPr>
                <w:noProof/>
              </w:rPr>
              <w:instrText xml:space="preserve"> PAGEREF _Toc238090781 \h </w:instrText>
            </w:r>
            <w:r w:rsidR="00A13A70">
              <w:rPr>
                <w:noProof/>
              </w:rPr>
            </w:r>
            <w:r w:rsidR="00A13A70">
              <w:rPr>
                <w:noProof/>
              </w:rPr>
              <w:fldChar w:fldCharType="separate"/>
            </w:r>
            <w:r w:rsidR="00A13A70">
              <w:rPr>
                <w:noProof/>
              </w:rPr>
              <w:t>22</w:t>
            </w:r>
            <w:r w:rsidR="00A13A70">
              <w:rPr>
                <w:noProof/>
              </w:rPr>
              <w:fldChar w:fldCharType="end"/>
            </w:r>
          </w:hyperlink>
        </w:p>
        <w:p w:rsidR="00A13A70" w:rsidRDefault="000C42B2">
          <w:pPr>
            <w:pStyle w:val="20"/>
            <w:tabs>
              <w:tab w:val="right" w:leader="dot" w:pos="9628"/>
            </w:tabs>
            <w:rPr>
              <w:noProof/>
            </w:rPr>
          </w:pPr>
          <w:hyperlink w:anchor="_Toc238090782" w:history="1">
            <w:r w:rsidR="00A13A70" w:rsidRPr="00C85E8A">
              <w:rPr>
                <w:rStyle w:val="a5"/>
                <w:rFonts w:hint="eastAsia"/>
                <w:noProof/>
              </w:rPr>
              <w:t>附錄二：三機關套裝工具包（完整條文，假設性範例）</w:t>
            </w:r>
            <w:r w:rsidR="00A13A70">
              <w:rPr>
                <w:noProof/>
              </w:rPr>
              <w:tab/>
            </w:r>
            <w:r w:rsidR="00A13A70">
              <w:rPr>
                <w:noProof/>
              </w:rPr>
              <w:fldChar w:fldCharType="begin"/>
            </w:r>
            <w:r w:rsidR="00A13A70">
              <w:rPr>
                <w:noProof/>
              </w:rPr>
              <w:instrText xml:space="preserve"> PAGEREF _Toc238090782 \h </w:instrText>
            </w:r>
            <w:r w:rsidR="00A13A70">
              <w:rPr>
                <w:noProof/>
              </w:rPr>
            </w:r>
            <w:r w:rsidR="00A13A70">
              <w:rPr>
                <w:noProof/>
              </w:rPr>
              <w:fldChar w:fldCharType="separate"/>
            </w:r>
            <w:r w:rsidR="00A13A70">
              <w:rPr>
                <w:noProof/>
              </w:rPr>
              <w:t>23</w:t>
            </w:r>
            <w:r w:rsidR="00A13A70">
              <w:rPr>
                <w:noProof/>
              </w:rPr>
              <w:fldChar w:fldCharType="end"/>
            </w:r>
          </w:hyperlink>
        </w:p>
        <w:p w:rsidR="00A13A70" w:rsidRDefault="000C42B2">
          <w:pPr>
            <w:pStyle w:val="30"/>
            <w:tabs>
              <w:tab w:val="right" w:leader="dot" w:pos="9628"/>
            </w:tabs>
            <w:rPr>
              <w:noProof/>
            </w:rPr>
          </w:pPr>
          <w:hyperlink w:anchor="_Toc238090783" w:history="1">
            <w:r w:rsidR="00A13A70" w:rsidRPr="00C85E8A">
              <w:rPr>
                <w:rStyle w:val="a5"/>
                <w:rFonts w:hint="eastAsia"/>
                <w:noProof/>
              </w:rPr>
              <w:t>工具包一：數位發展部（</w:t>
            </w:r>
            <w:r w:rsidR="00A13A70" w:rsidRPr="00C85E8A">
              <w:rPr>
                <w:rStyle w:val="a5"/>
                <w:noProof/>
              </w:rPr>
              <w:t>MODA</w:t>
            </w:r>
            <w:r w:rsidR="00A13A70" w:rsidRPr="00C85E8A">
              <w:rPr>
                <w:rStyle w:val="a5"/>
                <w:rFonts w:hint="eastAsia"/>
                <w:noProof/>
              </w:rPr>
              <w:t>）</w:t>
            </w:r>
            <w:r w:rsidR="00A13A70" w:rsidRPr="00C85E8A">
              <w:rPr>
                <w:rStyle w:val="a5"/>
                <w:noProof/>
              </w:rPr>
              <w:t>——</w:t>
            </w:r>
            <w:r w:rsidR="00A13A70" w:rsidRPr="00C85E8A">
              <w:rPr>
                <w:rStyle w:val="a5"/>
                <w:rFonts w:hint="eastAsia"/>
                <w:noProof/>
              </w:rPr>
              <w:t>政府採購</w:t>
            </w:r>
            <w:r w:rsidR="00A13A70" w:rsidRPr="00C85E8A">
              <w:rPr>
                <w:rStyle w:val="a5"/>
                <w:noProof/>
              </w:rPr>
              <w:t xml:space="preserve"> AI </w:t>
            </w:r>
            <w:r w:rsidR="00A13A70" w:rsidRPr="00C85E8A">
              <w:rPr>
                <w:rStyle w:val="a5"/>
                <w:rFonts w:hint="eastAsia"/>
                <w:noProof/>
              </w:rPr>
              <w:t>契約標準範本（</w:t>
            </w:r>
            <w:r w:rsidR="00A13A70" w:rsidRPr="00C85E8A">
              <w:rPr>
                <w:rStyle w:val="a5"/>
                <w:noProof/>
              </w:rPr>
              <w:t xml:space="preserve">MSCC </w:t>
            </w:r>
            <w:r w:rsidR="00A13A70" w:rsidRPr="00C85E8A">
              <w:rPr>
                <w:rStyle w:val="a5"/>
                <w:rFonts w:hint="eastAsia"/>
                <w:noProof/>
              </w:rPr>
              <w:t>強制條款完整版）</w:t>
            </w:r>
            <w:r w:rsidR="00A13A70">
              <w:rPr>
                <w:noProof/>
              </w:rPr>
              <w:tab/>
            </w:r>
            <w:r w:rsidR="00A13A70">
              <w:rPr>
                <w:noProof/>
              </w:rPr>
              <w:fldChar w:fldCharType="begin"/>
            </w:r>
            <w:r w:rsidR="00A13A70">
              <w:rPr>
                <w:noProof/>
              </w:rPr>
              <w:instrText xml:space="preserve"> PAGEREF _Toc238090783 \h </w:instrText>
            </w:r>
            <w:r w:rsidR="00A13A70">
              <w:rPr>
                <w:noProof/>
              </w:rPr>
            </w:r>
            <w:r w:rsidR="00A13A70">
              <w:rPr>
                <w:noProof/>
              </w:rPr>
              <w:fldChar w:fldCharType="separate"/>
            </w:r>
            <w:r w:rsidR="00A13A70">
              <w:rPr>
                <w:noProof/>
              </w:rPr>
              <w:t>23</w:t>
            </w:r>
            <w:r w:rsidR="00A13A70">
              <w:rPr>
                <w:noProof/>
              </w:rPr>
              <w:fldChar w:fldCharType="end"/>
            </w:r>
          </w:hyperlink>
        </w:p>
        <w:p w:rsidR="00A13A70" w:rsidRDefault="000C42B2">
          <w:pPr>
            <w:pStyle w:val="30"/>
            <w:tabs>
              <w:tab w:val="right" w:leader="dot" w:pos="9628"/>
            </w:tabs>
            <w:rPr>
              <w:noProof/>
            </w:rPr>
          </w:pPr>
          <w:hyperlink w:anchor="_Toc238090784" w:history="1">
            <w:r w:rsidR="00A13A70" w:rsidRPr="00C85E8A">
              <w:rPr>
                <w:rStyle w:val="a5"/>
                <w:rFonts w:hint="eastAsia"/>
                <w:noProof/>
              </w:rPr>
              <w:t>工具包二：國家審計部</w:t>
            </w:r>
            <w:r w:rsidR="00A13A70" w:rsidRPr="00C85E8A">
              <w:rPr>
                <w:rStyle w:val="a5"/>
                <w:noProof/>
              </w:rPr>
              <w:t xml:space="preserve">——AI </w:t>
            </w:r>
            <w:r w:rsidR="00A13A70" w:rsidRPr="00C85E8A">
              <w:rPr>
                <w:rStyle w:val="a5"/>
                <w:rFonts w:hint="eastAsia"/>
                <w:noProof/>
              </w:rPr>
              <w:t>決策全歷程數位稽核清單（完整版）</w:t>
            </w:r>
            <w:r w:rsidR="00A13A70">
              <w:rPr>
                <w:noProof/>
              </w:rPr>
              <w:tab/>
            </w:r>
            <w:r w:rsidR="00A13A70">
              <w:rPr>
                <w:noProof/>
              </w:rPr>
              <w:fldChar w:fldCharType="begin"/>
            </w:r>
            <w:r w:rsidR="00A13A70">
              <w:rPr>
                <w:noProof/>
              </w:rPr>
              <w:instrText xml:space="preserve"> PAGEREF _Toc238090784 \h </w:instrText>
            </w:r>
            <w:r w:rsidR="00A13A70">
              <w:rPr>
                <w:noProof/>
              </w:rPr>
            </w:r>
            <w:r w:rsidR="00A13A70">
              <w:rPr>
                <w:noProof/>
              </w:rPr>
              <w:fldChar w:fldCharType="separate"/>
            </w:r>
            <w:r w:rsidR="00A13A70">
              <w:rPr>
                <w:noProof/>
              </w:rPr>
              <w:t>24</w:t>
            </w:r>
            <w:r w:rsidR="00A13A70">
              <w:rPr>
                <w:noProof/>
              </w:rPr>
              <w:fldChar w:fldCharType="end"/>
            </w:r>
          </w:hyperlink>
        </w:p>
        <w:p w:rsidR="00A13A70" w:rsidRDefault="000C42B2">
          <w:pPr>
            <w:pStyle w:val="30"/>
            <w:tabs>
              <w:tab w:val="right" w:leader="dot" w:pos="9628"/>
            </w:tabs>
            <w:rPr>
              <w:noProof/>
            </w:rPr>
          </w:pPr>
          <w:hyperlink w:anchor="_Toc238090785" w:history="1">
            <w:r w:rsidR="00A13A70" w:rsidRPr="00C85E8A">
              <w:rPr>
                <w:rStyle w:val="a5"/>
                <w:rFonts w:hint="eastAsia"/>
                <w:noProof/>
              </w:rPr>
              <w:t>工具包三：行政法院／訴願會</w:t>
            </w:r>
            <w:r w:rsidR="00A13A70" w:rsidRPr="00C85E8A">
              <w:rPr>
                <w:rStyle w:val="a5"/>
                <w:noProof/>
              </w:rPr>
              <w:t xml:space="preserve">——AI </w:t>
            </w:r>
            <w:r w:rsidR="00A13A70" w:rsidRPr="00C85E8A">
              <w:rPr>
                <w:rStyle w:val="a5"/>
                <w:rFonts w:hint="eastAsia"/>
                <w:noProof/>
              </w:rPr>
              <w:t>輔助處分實質審查標準（完整版）</w:t>
            </w:r>
            <w:r w:rsidR="00A13A70">
              <w:rPr>
                <w:noProof/>
              </w:rPr>
              <w:tab/>
            </w:r>
            <w:r w:rsidR="00A13A70">
              <w:rPr>
                <w:noProof/>
              </w:rPr>
              <w:fldChar w:fldCharType="begin"/>
            </w:r>
            <w:r w:rsidR="00A13A70">
              <w:rPr>
                <w:noProof/>
              </w:rPr>
              <w:instrText xml:space="preserve"> PAGEREF _Toc238090785 \h </w:instrText>
            </w:r>
            <w:r w:rsidR="00A13A70">
              <w:rPr>
                <w:noProof/>
              </w:rPr>
            </w:r>
            <w:r w:rsidR="00A13A70">
              <w:rPr>
                <w:noProof/>
              </w:rPr>
              <w:fldChar w:fldCharType="separate"/>
            </w:r>
            <w:r w:rsidR="00A13A70">
              <w:rPr>
                <w:noProof/>
              </w:rPr>
              <w:t>25</w:t>
            </w:r>
            <w:r w:rsidR="00A13A70">
              <w:rPr>
                <w:noProof/>
              </w:rPr>
              <w:fldChar w:fldCharType="end"/>
            </w:r>
          </w:hyperlink>
        </w:p>
        <w:p w:rsidR="008D60E2" w:rsidRDefault="00A13A70">
          <w:r>
            <w:fldChar w:fldCharType="end"/>
          </w:r>
        </w:p>
      </w:sdtContent>
    </w:sdt>
    <w:p w:rsidR="008D60E2" w:rsidRDefault="00A13A70">
      <w:pPr>
        <w:pStyle w:val="1"/>
        <w:pageBreakBefore/>
      </w:pPr>
      <w:bookmarkStart w:id="1" w:name="_Toc238090764"/>
      <w:r>
        <w:lastRenderedPageBreak/>
        <w:t>第一章　緒論</w:t>
      </w:r>
      <w:bookmarkEnd w:id="1"/>
    </w:p>
    <w:p w:rsidR="008D60E2" w:rsidRDefault="00A13A70">
      <w:pPr>
        <w:pStyle w:val="2"/>
        <w:spacing w:before="300"/>
      </w:pPr>
      <w:bookmarkStart w:id="2" w:name="_Toc238090765"/>
      <w:r>
        <w:t>1.1</w:t>
      </w:r>
      <w:r>
        <w:t xml:space="preserve">　研究背景與問題意識</w:t>
      </w:r>
      <w:bookmarkEnd w:id="2"/>
    </w:p>
    <w:p w:rsidR="008D60E2" w:rsidRDefault="00A13A70">
      <w:pPr>
        <w:spacing w:after="200" w:line="360" w:lineRule="auto"/>
        <w:jc w:val="both"/>
      </w:pPr>
      <w:r>
        <w:rPr>
          <w:rFonts w:eastAsia="Noto Serif CJK TC"/>
        </w:rPr>
        <w:t>隨著大型語言模型（</w:t>
      </w:r>
      <w:r>
        <w:rPr>
          <w:rFonts w:eastAsia="Noto Serif CJK TC"/>
        </w:rPr>
        <w:t>LLMs</w:t>
      </w:r>
      <w:r>
        <w:rPr>
          <w:rFonts w:eastAsia="Noto Serif CJK TC"/>
        </w:rPr>
        <w:t>）與檢索增強生成（</w:t>
      </w:r>
      <w:r>
        <w:rPr>
          <w:rFonts w:eastAsia="Noto Serif CJK TC"/>
        </w:rPr>
        <w:t>Retrieval-Augmented Generation, RAG</w:t>
      </w:r>
      <w:r>
        <w:rPr>
          <w:rFonts w:eastAsia="Noto Serif CJK TC"/>
        </w:rPr>
        <w:t>）技術的突破性發展，各級政府機關為提升行政效率，紛紛引進</w:t>
      </w:r>
      <w:r>
        <w:rPr>
          <w:rFonts w:eastAsia="Noto Serif CJK TC"/>
        </w:rPr>
        <w:t xml:space="preserve"> AI </w:t>
      </w:r>
      <w:r>
        <w:rPr>
          <w:rFonts w:eastAsia="Noto Serif CJK TC"/>
        </w:rPr>
        <w:t>系統輔助公文撰擬、法規檢索、民意陳情分析乃至行政處分草案之擬定。然而，此種技術擴散並非無痛升級，而是對傳統「依法行政」、「正當法律程序」與「</w:t>
      </w:r>
      <w:proofErr w:type="gramStart"/>
      <w:r>
        <w:rPr>
          <w:rFonts w:eastAsia="Noto Serif CJK TC"/>
        </w:rPr>
        <w:t>民主問責</w:t>
      </w:r>
      <w:proofErr w:type="gramEnd"/>
      <w:r>
        <w:rPr>
          <w:rFonts w:eastAsia="Noto Serif CJK TC"/>
        </w:rPr>
        <w:t>」原則帶來了前所未有的嚴峻挑戰。</w:t>
      </w:r>
    </w:p>
    <w:p w:rsidR="008D60E2" w:rsidRDefault="00A13A70">
      <w:pPr>
        <w:spacing w:after="200" w:line="360" w:lineRule="auto"/>
        <w:jc w:val="both"/>
      </w:pPr>
      <w:r>
        <w:rPr>
          <w:rFonts w:eastAsia="Noto Serif CJK TC"/>
        </w:rPr>
        <w:t>過去我國推動公部門</w:t>
      </w:r>
      <w:r>
        <w:rPr>
          <w:rFonts w:eastAsia="Noto Serif CJK TC"/>
        </w:rPr>
        <w:t xml:space="preserve"> AI </w:t>
      </w:r>
      <w:r>
        <w:rPr>
          <w:rFonts w:eastAsia="Noto Serif CJK TC"/>
        </w:rPr>
        <w:t>治理，高度仰賴由智庫法人（如資策會科法所）所草擬之參考指引與自我合</w:t>
      </w:r>
      <w:proofErr w:type="gramStart"/>
      <w:r>
        <w:rPr>
          <w:rFonts w:eastAsia="Noto Serif CJK TC"/>
        </w:rPr>
        <w:t>規</w:t>
      </w:r>
      <w:proofErr w:type="gramEnd"/>
      <w:r>
        <w:rPr>
          <w:rFonts w:eastAsia="Noto Serif CJK TC"/>
        </w:rPr>
        <w:t>檢核表。此種「</w:t>
      </w:r>
      <w:proofErr w:type="gramStart"/>
      <w:r>
        <w:rPr>
          <w:rFonts w:eastAsia="Noto Serif CJK TC"/>
        </w:rPr>
        <w:t>軟法治理</w:t>
      </w:r>
      <w:proofErr w:type="gramEnd"/>
      <w:r>
        <w:rPr>
          <w:rFonts w:eastAsia="Noto Serif CJK TC"/>
        </w:rPr>
        <w:t>（</w:t>
      </w:r>
      <w:r>
        <w:rPr>
          <w:rFonts w:eastAsia="Noto Serif CJK TC"/>
        </w:rPr>
        <w:t>Soft Law Governance</w:t>
      </w:r>
      <w:r>
        <w:rPr>
          <w:rFonts w:eastAsia="Noto Serif CJK TC"/>
        </w:rPr>
        <w:t>）」模式在推廣初期雖具備調整彈性與回應速度，但在面對商業雲端</w:t>
      </w:r>
      <w:r>
        <w:rPr>
          <w:rFonts w:eastAsia="Noto Serif CJK TC"/>
        </w:rPr>
        <w:t xml:space="preserve"> API </w:t>
      </w:r>
      <w:r>
        <w:rPr>
          <w:rFonts w:eastAsia="Noto Serif CJK TC"/>
        </w:rPr>
        <w:t>壟斷、大型模型參數黑盒與複雜</w:t>
      </w:r>
      <w:r>
        <w:rPr>
          <w:rFonts w:eastAsia="Noto Serif CJK TC"/>
        </w:rPr>
        <w:t xml:space="preserve"> RAG </w:t>
      </w:r>
      <w:r>
        <w:rPr>
          <w:rFonts w:eastAsia="Noto Serif CJK TC"/>
        </w:rPr>
        <w:t>架構時，已被證實完全無法對行政機關與資訊服務業者形成實質的約束力。近期跨國實證研究亦指出，生成式</w:t>
      </w:r>
      <w:r>
        <w:rPr>
          <w:rFonts w:eastAsia="Noto Serif CJK TC"/>
        </w:rPr>
        <w:t xml:space="preserve"> AI </w:t>
      </w:r>
      <w:r>
        <w:rPr>
          <w:rFonts w:eastAsia="Noto Serif CJK TC"/>
        </w:rPr>
        <w:t>在公部門的採用速度已遠超過</w:t>
      </w:r>
      <w:proofErr w:type="gramStart"/>
      <w:r>
        <w:rPr>
          <w:rFonts w:eastAsia="Noto Serif CJK TC"/>
        </w:rPr>
        <w:t>既有課責機制</w:t>
      </w:r>
      <w:proofErr w:type="gramEnd"/>
      <w:r>
        <w:rPr>
          <w:rFonts w:eastAsia="Noto Serif CJK TC"/>
        </w:rPr>
        <w:t>的調適能力（</w:t>
      </w:r>
      <w:proofErr w:type="spellStart"/>
      <w:r>
        <w:rPr>
          <w:rFonts w:eastAsia="Noto Serif CJK TC"/>
        </w:rPr>
        <w:t>Porumbescu</w:t>
      </w:r>
      <w:proofErr w:type="spellEnd"/>
      <w:r>
        <w:rPr>
          <w:rFonts w:eastAsia="Noto Serif CJK TC"/>
        </w:rPr>
        <w:t xml:space="preserve">, Young, &amp; Yang, 2025; Chen &amp; </w:t>
      </w:r>
      <w:proofErr w:type="spellStart"/>
      <w:r>
        <w:rPr>
          <w:rFonts w:eastAsia="Noto Serif CJK TC"/>
        </w:rPr>
        <w:t>Gascó</w:t>
      </w:r>
      <w:proofErr w:type="spellEnd"/>
      <w:r>
        <w:rPr>
          <w:rFonts w:eastAsia="Noto Serif CJK TC"/>
        </w:rPr>
        <w:t>-Hernández, 2024</w:t>
      </w:r>
      <w:proofErr w:type="gramStart"/>
      <w:r>
        <w:rPr>
          <w:rFonts w:eastAsia="Noto Serif CJK TC"/>
        </w:rPr>
        <w:t>）</w:t>
      </w:r>
      <w:proofErr w:type="gramEnd"/>
      <w:r>
        <w:rPr>
          <w:rFonts w:eastAsia="Noto Serif CJK TC"/>
        </w:rPr>
        <w:t>，凸顯本研究所欲處理之治理落差絕非我國獨有，而是各國公共行政學界共同面對的新興課題。</w:t>
      </w:r>
    </w:p>
    <w:p w:rsidR="008D60E2" w:rsidRDefault="00A13A70">
      <w:pPr>
        <w:pStyle w:val="2"/>
        <w:spacing w:before="300"/>
      </w:pPr>
      <w:bookmarkStart w:id="3" w:name="_Toc238090766"/>
      <w:r>
        <w:t>1.2</w:t>
      </w:r>
      <w:r>
        <w:t xml:space="preserve">　研究目的與核心問題</w:t>
      </w:r>
      <w:bookmarkEnd w:id="3"/>
    </w:p>
    <w:p w:rsidR="008D60E2" w:rsidRDefault="00A13A70">
      <w:pPr>
        <w:spacing w:after="200" w:line="360" w:lineRule="auto"/>
        <w:jc w:val="both"/>
      </w:pPr>
      <w:r>
        <w:rPr>
          <w:rFonts w:eastAsia="Noto Serif CJK TC"/>
        </w:rPr>
        <w:t>為徹底解構</w:t>
      </w:r>
      <w:proofErr w:type="gramStart"/>
      <w:r>
        <w:rPr>
          <w:rFonts w:eastAsia="Noto Serif CJK TC"/>
        </w:rPr>
        <w:t>並重塑公部門</w:t>
      </w:r>
      <w:proofErr w:type="gramEnd"/>
      <w:r>
        <w:rPr>
          <w:rFonts w:eastAsia="Noto Serif CJK TC"/>
        </w:rPr>
        <w:t xml:space="preserve"> AI </w:t>
      </w:r>
      <w:r>
        <w:rPr>
          <w:rFonts w:eastAsia="Noto Serif CJK TC"/>
        </w:rPr>
        <w:t>治理體制，本研究旨在回答下列三個核心問題：</w:t>
      </w:r>
    </w:p>
    <w:p w:rsidR="008D60E2" w:rsidRDefault="00A13A70">
      <w:pPr>
        <w:spacing w:after="200" w:line="360" w:lineRule="auto"/>
        <w:ind w:left="480" w:hanging="480"/>
        <w:jc w:val="both"/>
      </w:pPr>
      <w:r>
        <w:rPr>
          <w:rFonts w:eastAsia="Noto Serif CJK TC"/>
          <w:b/>
          <w:bCs/>
        </w:rPr>
        <w:t xml:space="preserve">1. </w:t>
      </w:r>
      <w:r>
        <w:rPr>
          <w:rFonts w:eastAsia="Noto Serif CJK TC"/>
        </w:rPr>
        <w:t>現行以資策會科法所為代表</w:t>
      </w:r>
      <w:proofErr w:type="gramStart"/>
      <w:r>
        <w:rPr>
          <w:rFonts w:eastAsia="Noto Serif CJK TC"/>
        </w:rPr>
        <w:t>之軟法治理</w:t>
      </w:r>
      <w:proofErr w:type="gramEnd"/>
      <w:r>
        <w:rPr>
          <w:rFonts w:eastAsia="Noto Serif CJK TC"/>
        </w:rPr>
        <w:t>模式，為何無法有效約束公部門導入生成式</w:t>
      </w:r>
      <w:r>
        <w:rPr>
          <w:rFonts w:eastAsia="Noto Serif CJK TC"/>
        </w:rPr>
        <w:t xml:space="preserve"> AI </w:t>
      </w:r>
      <w:r>
        <w:rPr>
          <w:rFonts w:eastAsia="Noto Serif CJK TC"/>
        </w:rPr>
        <w:t>之技術風險？其背後之體制枷鎖為何？</w:t>
      </w:r>
    </w:p>
    <w:p w:rsidR="008D60E2" w:rsidRDefault="00A13A70">
      <w:pPr>
        <w:spacing w:after="200" w:line="360" w:lineRule="auto"/>
        <w:ind w:left="480" w:hanging="480"/>
        <w:jc w:val="both"/>
      </w:pPr>
      <w:r>
        <w:rPr>
          <w:rFonts w:eastAsia="Noto Serif CJK TC"/>
          <w:b/>
          <w:bCs/>
        </w:rPr>
        <w:t xml:space="preserve">2. </w:t>
      </w:r>
      <w:r>
        <w:rPr>
          <w:rFonts w:eastAsia="Noto Serif CJK TC"/>
        </w:rPr>
        <w:t>生成式</w:t>
      </w:r>
      <w:r>
        <w:rPr>
          <w:rFonts w:eastAsia="Noto Serif CJK TC"/>
        </w:rPr>
        <w:t xml:space="preserve"> AI </w:t>
      </w:r>
      <w:r>
        <w:rPr>
          <w:rFonts w:eastAsia="Noto Serif CJK TC"/>
        </w:rPr>
        <w:t>與</w:t>
      </w:r>
      <w:r>
        <w:rPr>
          <w:rFonts w:eastAsia="Noto Serif CJK TC"/>
        </w:rPr>
        <w:t xml:space="preserve"> RAG </w:t>
      </w:r>
      <w:r>
        <w:rPr>
          <w:rFonts w:eastAsia="Noto Serif CJK TC"/>
        </w:rPr>
        <w:t>架構在技術機理上，如何導致國家行政權力與技術結構之「高結構性分離」？</w:t>
      </w:r>
    </w:p>
    <w:p w:rsidR="008D60E2" w:rsidRDefault="00A13A70">
      <w:pPr>
        <w:spacing w:after="200" w:line="360" w:lineRule="auto"/>
        <w:ind w:left="480" w:hanging="480"/>
        <w:jc w:val="both"/>
      </w:pPr>
      <w:r>
        <w:rPr>
          <w:rFonts w:eastAsia="Noto Serif CJK TC"/>
          <w:b/>
          <w:bCs/>
        </w:rPr>
        <w:t xml:space="preserve">3. </w:t>
      </w:r>
      <w:r>
        <w:rPr>
          <w:rFonts w:eastAsia="Noto Serif CJK TC"/>
        </w:rPr>
        <w:t>如何建構一套具備法律強制力與技術可操作性之「最低實質控制能力（</w:t>
      </w:r>
      <w:r>
        <w:rPr>
          <w:rFonts w:eastAsia="Noto Serif CJK TC"/>
        </w:rPr>
        <w:t>MSCC</w:t>
      </w:r>
      <w:r>
        <w:rPr>
          <w:rFonts w:eastAsia="Noto Serif CJK TC"/>
        </w:rPr>
        <w:t>）」標準，並透過跨部會工具矩陣予以落地？</w:t>
      </w:r>
    </w:p>
    <w:p w:rsidR="008D60E2" w:rsidRDefault="00A13A70">
      <w:pPr>
        <w:pStyle w:val="2"/>
        <w:spacing w:before="300"/>
      </w:pPr>
      <w:bookmarkStart w:id="4" w:name="_Toc238090767"/>
      <w:r>
        <w:t>1.3</w:t>
      </w:r>
      <w:r>
        <w:t xml:space="preserve">　研究方法與範圍界定</w:t>
      </w:r>
      <w:bookmarkEnd w:id="4"/>
    </w:p>
    <w:p w:rsidR="008D60E2" w:rsidRDefault="00A13A70">
      <w:pPr>
        <w:spacing w:after="200" w:line="360" w:lineRule="auto"/>
        <w:jc w:val="both"/>
      </w:pPr>
      <w:r>
        <w:rPr>
          <w:rFonts w:eastAsia="Noto Serif CJK TC"/>
        </w:rPr>
        <w:t>本研究性質上屬「規範性研究（</w:t>
      </w:r>
      <w:r>
        <w:rPr>
          <w:rFonts w:eastAsia="Noto Serif CJK TC"/>
        </w:rPr>
        <w:t>Normative Research</w:t>
      </w:r>
      <w:r>
        <w:rPr>
          <w:rFonts w:eastAsia="Noto Serif CJK TC"/>
        </w:rPr>
        <w:t>）」與「政策設計研究（</w:t>
      </w:r>
      <w:r>
        <w:rPr>
          <w:rFonts w:eastAsia="Noto Serif CJK TC"/>
        </w:rPr>
        <w:t>Policy Design Research</w:t>
      </w:r>
      <w:r>
        <w:rPr>
          <w:rFonts w:eastAsia="Noto Serif CJK TC"/>
        </w:rPr>
        <w:t>）」之結合，而非實證研究，於此</w:t>
      </w:r>
      <w:proofErr w:type="gramStart"/>
      <w:r>
        <w:rPr>
          <w:rFonts w:eastAsia="Noto Serif CJK TC"/>
        </w:rPr>
        <w:t>先予敘明</w:t>
      </w:r>
      <w:proofErr w:type="gramEnd"/>
      <w:r>
        <w:rPr>
          <w:rFonts w:eastAsia="Noto Serif CJK TC"/>
        </w:rPr>
        <w:t>，以利讀者評估本文論證</w:t>
      </w:r>
      <w:proofErr w:type="gramStart"/>
      <w:r>
        <w:rPr>
          <w:rFonts w:eastAsia="Noto Serif CJK TC"/>
        </w:rPr>
        <w:t>之效度邊</w:t>
      </w:r>
      <w:proofErr w:type="gramEnd"/>
      <w:r>
        <w:rPr>
          <w:rFonts w:eastAsia="Noto Serif CJK TC"/>
        </w:rPr>
        <w:t>界。具體而言，本研究之推論路徑分為兩層：</w:t>
      </w:r>
      <w:proofErr w:type="gramStart"/>
      <w:r>
        <w:rPr>
          <w:rFonts w:eastAsia="Noto Serif CJK TC"/>
        </w:rPr>
        <w:t>其一，</w:t>
      </w:r>
      <w:proofErr w:type="gramEnd"/>
      <w:r>
        <w:rPr>
          <w:rFonts w:eastAsia="Noto Serif CJK TC"/>
        </w:rPr>
        <w:t>第二章「三重體制枷鎖」之分析架構，係透過對</w:t>
      </w:r>
      <w:proofErr w:type="gramStart"/>
      <w:r>
        <w:rPr>
          <w:rFonts w:eastAsia="Noto Serif CJK TC"/>
        </w:rPr>
        <w:t>既有軟法治</w:t>
      </w:r>
      <w:proofErr w:type="gramEnd"/>
      <w:r>
        <w:rPr>
          <w:rFonts w:eastAsia="Noto Serif CJK TC"/>
        </w:rPr>
        <w:t>理文件（如資策會科法所之自評包、數位發展部之生成式</w:t>
      </w:r>
      <w:r>
        <w:rPr>
          <w:rFonts w:eastAsia="Noto Serif CJK TC"/>
        </w:rPr>
        <w:t xml:space="preserve"> AI </w:t>
      </w:r>
      <w:r>
        <w:rPr>
          <w:rFonts w:eastAsia="Noto Serif CJK TC"/>
        </w:rPr>
        <w:t>參考指引）進</w:t>
      </w:r>
      <w:r>
        <w:rPr>
          <w:rFonts w:eastAsia="Noto Serif CJK TC"/>
        </w:rPr>
        <w:lastRenderedPageBreak/>
        <w:t>行文本分析，並與國際</w:t>
      </w:r>
      <w:proofErr w:type="gramStart"/>
      <w:r>
        <w:rPr>
          <w:rFonts w:eastAsia="Noto Serif CJK TC"/>
        </w:rPr>
        <w:t>演算法課責文</w:t>
      </w:r>
      <w:proofErr w:type="gramEnd"/>
      <w:r>
        <w:rPr>
          <w:rFonts w:eastAsia="Noto Serif CJK TC"/>
        </w:rPr>
        <w:t>獻（如</w:t>
      </w:r>
      <w:r>
        <w:rPr>
          <w:rFonts w:eastAsia="Noto Serif CJK TC"/>
        </w:rPr>
        <w:t xml:space="preserve"> </w:t>
      </w:r>
      <w:proofErr w:type="spellStart"/>
      <w:r>
        <w:rPr>
          <w:rFonts w:eastAsia="Noto Serif CJK TC"/>
        </w:rPr>
        <w:t>Busuioc</w:t>
      </w:r>
      <w:proofErr w:type="spellEnd"/>
      <w:r>
        <w:rPr>
          <w:rFonts w:eastAsia="Noto Serif CJK TC"/>
        </w:rPr>
        <w:t>, 2021; Cobbe, Lee, &amp; Singh, 2021</w:t>
      </w:r>
      <w:proofErr w:type="gramStart"/>
      <w:r>
        <w:rPr>
          <w:rFonts w:eastAsia="Noto Serif CJK TC"/>
        </w:rPr>
        <w:t>）</w:t>
      </w:r>
      <w:proofErr w:type="gramEnd"/>
      <w:r>
        <w:rPr>
          <w:rFonts w:eastAsia="Noto Serif CJK TC"/>
        </w:rPr>
        <w:t>進行對照後歸納而得；</w:t>
      </w:r>
      <w:proofErr w:type="gramStart"/>
      <w:r>
        <w:rPr>
          <w:rFonts w:eastAsia="Noto Serif CJK TC"/>
        </w:rPr>
        <w:t>其二，</w:t>
      </w:r>
      <w:proofErr w:type="gramEnd"/>
      <w:r>
        <w:rPr>
          <w:rFonts w:eastAsia="Noto Serif CJK TC"/>
        </w:rPr>
        <w:t>第四章</w:t>
      </w:r>
      <w:r>
        <w:rPr>
          <w:rFonts w:eastAsia="Noto Serif CJK TC"/>
        </w:rPr>
        <w:t xml:space="preserve"> MSCC </w:t>
      </w:r>
      <w:r>
        <w:rPr>
          <w:rFonts w:eastAsia="Noto Serif CJK TC"/>
        </w:rPr>
        <w:t>四大硬指標，則係透過將第三</w:t>
      </w:r>
      <w:proofErr w:type="gramStart"/>
      <w:r>
        <w:rPr>
          <w:rFonts w:eastAsia="Noto Serif CJK TC"/>
        </w:rPr>
        <w:t>章所析</w:t>
      </w:r>
      <w:proofErr w:type="gramEnd"/>
      <w:r>
        <w:rPr>
          <w:rFonts w:eastAsia="Noto Serif CJK TC"/>
        </w:rPr>
        <w:t>論之技術機理（資料流向、模型再訓練、</w:t>
      </w:r>
      <w:r>
        <w:rPr>
          <w:rFonts w:eastAsia="Noto Serif CJK TC"/>
        </w:rPr>
        <w:t xml:space="preserve">RAG </w:t>
      </w:r>
      <w:r>
        <w:rPr>
          <w:rFonts w:eastAsia="Noto Serif CJK TC"/>
        </w:rPr>
        <w:t>檢索、決策留痕）逐一對應至可課予法律義務之管制節點（</w:t>
      </w:r>
      <w:r>
        <w:rPr>
          <w:rFonts w:eastAsia="Noto Serif CJK TC"/>
        </w:rPr>
        <w:t>Regulatory Chokepoint</w:t>
      </w:r>
      <w:r>
        <w:rPr>
          <w:rFonts w:eastAsia="Noto Serif CJK TC"/>
        </w:rPr>
        <w:t>）後演繹而得，而非透過訪談或問卷等一手資料萃取。</w:t>
      </w:r>
    </w:p>
    <w:p w:rsidR="008D60E2" w:rsidRDefault="00A13A70">
      <w:pPr>
        <w:spacing w:after="200" w:line="360" w:lineRule="auto"/>
        <w:jc w:val="both"/>
      </w:pPr>
      <w:r>
        <w:rPr>
          <w:rFonts w:eastAsia="Noto Serif CJK TC"/>
        </w:rPr>
        <w:t>本研究之範圍界定與限制包括：（</w:t>
      </w:r>
      <w:r>
        <w:rPr>
          <w:rFonts w:eastAsia="Noto Serif CJK TC"/>
        </w:rPr>
        <w:t>1</w:t>
      </w:r>
      <w:r>
        <w:rPr>
          <w:rFonts w:eastAsia="Noto Serif CJK TC"/>
        </w:rPr>
        <w:t>）本研究未對我國機關實際導入生成式</w:t>
      </w:r>
      <w:r>
        <w:rPr>
          <w:rFonts w:eastAsia="Noto Serif CJK TC"/>
        </w:rPr>
        <w:t xml:space="preserve"> AI </w:t>
      </w:r>
      <w:r>
        <w:rPr>
          <w:rFonts w:eastAsia="Noto Serif CJK TC"/>
        </w:rPr>
        <w:t>之採購契約文本進行系統性蒐集與分析，亦未進行機關人員之深度訪談或焦點團體，故「責任蒸發鏈」等組織現象之描述，其經驗基礎目前仍以既有文獻與公開報導為主，尚待後續實證研究補強；（</w:t>
      </w:r>
      <w:r>
        <w:rPr>
          <w:rFonts w:eastAsia="Noto Serif CJK TC"/>
        </w:rPr>
        <w:t>2</w:t>
      </w:r>
      <w:r>
        <w:rPr>
          <w:rFonts w:eastAsia="Noto Serif CJK TC"/>
        </w:rPr>
        <w:t>）本研究所引用之幻覺率等量化數據</w:t>
      </w:r>
      <w:proofErr w:type="gramStart"/>
      <w:r>
        <w:rPr>
          <w:rFonts w:eastAsia="Noto Serif CJK TC"/>
        </w:rPr>
        <w:t>（</w:t>
      </w:r>
      <w:proofErr w:type="gramEnd"/>
      <w:r>
        <w:rPr>
          <w:rFonts w:eastAsia="Noto Serif CJK TC"/>
        </w:rPr>
        <w:t>如</w:t>
      </w:r>
      <w:r>
        <w:rPr>
          <w:rFonts w:eastAsia="Noto Serif CJK TC"/>
        </w:rPr>
        <w:t xml:space="preserve"> Dahl et al., 2024; Magesh et al., 2025</w:t>
      </w:r>
      <w:r>
        <w:rPr>
          <w:rFonts w:eastAsia="Noto Serif CJK TC"/>
        </w:rPr>
        <w:t>），均取自美國法律領域之實證研究，尚無我國本土或一般行政（而非法律）領域之對應實證數據，不同應用領域之幻覺率是否存在顯著差異，仍待未來研究以我國公部門實際導入案例進行檢驗；（</w:t>
      </w:r>
      <w:r>
        <w:rPr>
          <w:rFonts w:eastAsia="Noto Serif CJK TC"/>
        </w:rPr>
        <w:t>3</w:t>
      </w:r>
      <w:r>
        <w:rPr>
          <w:rFonts w:eastAsia="Noto Serif CJK TC"/>
        </w:rPr>
        <w:t>）本研究之政策建議屬「制度設計理論（</w:t>
      </w:r>
      <w:r>
        <w:rPr>
          <w:rFonts w:eastAsia="Noto Serif CJK TC"/>
        </w:rPr>
        <w:t>Institutional Design Theory</w:t>
      </w:r>
      <w:r>
        <w:rPr>
          <w:rFonts w:eastAsia="Noto Serif CJK TC"/>
        </w:rPr>
        <w:t>）」層次之嘗試，旨在提供可操作之硬法標準與工具矩陣，而非對特定公法教義（如國家擔保責任之構成要件）進行體系性再建構，合先敘明。</w:t>
      </w:r>
    </w:p>
    <w:p w:rsidR="008D60E2" w:rsidRDefault="00A13A70">
      <w:pPr>
        <w:spacing w:after="200" w:line="360" w:lineRule="auto"/>
        <w:jc w:val="both"/>
      </w:pPr>
      <w:r>
        <w:rPr>
          <w:rFonts w:eastAsia="Noto Serif CJK TC"/>
        </w:rPr>
        <w:t>惟本研究仍能提出至少兩項本土公開案例，作為上述經驗限制之部分補強，而非全然仰賴邏輯推演。</w:t>
      </w:r>
      <w:proofErr w:type="gramStart"/>
      <w:r>
        <w:rPr>
          <w:rFonts w:eastAsia="Noto Serif CJK TC"/>
        </w:rPr>
        <w:t>其一，</w:t>
      </w:r>
      <w:proofErr w:type="gramEnd"/>
      <w:r>
        <w:rPr>
          <w:rFonts w:eastAsia="Noto Serif CJK TC"/>
        </w:rPr>
        <w:t>監察委員賴鼎銘、林郁容、葉宜津針對我國</w:t>
      </w:r>
      <w:r>
        <w:rPr>
          <w:rFonts w:eastAsia="Noto Serif CJK TC"/>
        </w:rPr>
        <w:t xml:space="preserve"> AI </w:t>
      </w:r>
      <w:r>
        <w:rPr>
          <w:rFonts w:eastAsia="Noto Serif CJK TC"/>
        </w:rPr>
        <w:t>與大型語言模型發展現況立案調查，其調查報告於民國</w:t>
      </w:r>
      <w:r>
        <w:rPr>
          <w:rFonts w:eastAsia="Noto Serif CJK TC"/>
        </w:rPr>
        <w:t xml:space="preserve"> 114 </w:t>
      </w:r>
      <w:r>
        <w:rPr>
          <w:rFonts w:eastAsia="Noto Serif CJK TC"/>
        </w:rPr>
        <w:t>年</w:t>
      </w:r>
      <w:r>
        <w:rPr>
          <w:rFonts w:eastAsia="Noto Serif CJK TC"/>
        </w:rPr>
        <w:t xml:space="preserve"> 4 </w:t>
      </w:r>
      <w:r>
        <w:rPr>
          <w:rFonts w:eastAsia="Noto Serif CJK TC"/>
        </w:rPr>
        <w:t>月</w:t>
      </w:r>
      <w:r>
        <w:rPr>
          <w:rFonts w:eastAsia="Noto Serif CJK TC"/>
        </w:rPr>
        <w:t xml:space="preserve"> 8 </w:t>
      </w:r>
      <w:r>
        <w:rPr>
          <w:rFonts w:eastAsia="Noto Serif CJK TC"/>
        </w:rPr>
        <w:t>日經監察院教育及文化、交通及採購、財政及經濟委員會聯席會議審議通過，正式認定數位</w:t>
      </w:r>
      <w:proofErr w:type="gramStart"/>
      <w:r>
        <w:rPr>
          <w:rFonts w:eastAsia="Noto Serif CJK TC"/>
        </w:rPr>
        <w:t>發展部於我</w:t>
      </w:r>
      <w:proofErr w:type="gramEnd"/>
      <w:r>
        <w:rPr>
          <w:rFonts w:eastAsia="Noto Serif CJK TC"/>
        </w:rPr>
        <w:t>國主權</w:t>
      </w:r>
      <w:r>
        <w:rPr>
          <w:rFonts w:eastAsia="Noto Serif CJK TC"/>
        </w:rPr>
        <w:t xml:space="preserve"> AI </w:t>
      </w:r>
      <w:r>
        <w:rPr>
          <w:rFonts w:eastAsia="Noto Serif CJK TC"/>
        </w:rPr>
        <w:t>發展之資料治理工作上「怠於研謀對策」，行政院亦「未善盡督導協調職責」，並具體指出用於訓練</w:t>
      </w:r>
      <w:r>
        <w:rPr>
          <w:rFonts w:eastAsia="Noto Serif CJK TC"/>
        </w:rPr>
        <w:t xml:space="preserve"> TAIDE </w:t>
      </w:r>
      <w:r>
        <w:rPr>
          <w:rFonts w:eastAsia="Noto Serif CJK TC"/>
        </w:rPr>
        <w:t>模型之公部門繁體中文</w:t>
      </w:r>
      <w:proofErr w:type="gramStart"/>
      <w:r>
        <w:rPr>
          <w:rFonts w:eastAsia="Noto Serif CJK TC"/>
        </w:rPr>
        <w:t>語料集</w:t>
      </w:r>
      <w:proofErr w:type="gramEnd"/>
      <w:r>
        <w:rPr>
          <w:rFonts w:eastAsia="Noto Serif CJK TC"/>
        </w:rPr>
        <w:t>僅</w:t>
      </w:r>
      <w:r>
        <w:rPr>
          <w:rFonts w:eastAsia="Noto Serif CJK TC"/>
        </w:rPr>
        <w:t xml:space="preserve"> 58 </w:t>
      </w:r>
      <w:r>
        <w:rPr>
          <w:rFonts w:eastAsia="Noto Serif CJK TC"/>
        </w:rPr>
        <w:t>個，其中完整收錄於政府資料開放平台者更僅</w:t>
      </w:r>
      <w:r>
        <w:rPr>
          <w:rFonts w:eastAsia="Noto Serif CJK TC"/>
        </w:rPr>
        <w:t xml:space="preserve"> 2 </w:t>
      </w:r>
      <w:r>
        <w:rPr>
          <w:rFonts w:eastAsia="Noto Serif CJK TC"/>
        </w:rPr>
        <w:t>個，政府網站符合公眾領域貢獻宣告而可直接</w:t>
      </w:r>
      <w:proofErr w:type="gramStart"/>
      <w:r>
        <w:rPr>
          <w:rFonts w:eastAsia="Noto Serif CJK TC"/>
        </w:rPr>
        <w:t>爬取</w:t>
      </w:r>
      <w:proofErr w:type="gramEnd"/>
      <w:r>
        <w:rPr>
          <w:rFonts w:eastAsia="Noto Serif CJK TC"/>
        </w:rPr>
        <w:t>者亦僅佔</w:t>
      </w:r>
      <w:r>
        <w:rPr>
          <w:rFonts w:eastAsia="Noto Serif CJK TC"/>
        </w:rPr>
        <w:t xml:space="preserve"> 2%</w:t>
      </w:r>
      <w:r>
        <w:rPr>
          <w:rFonts w:eastAsia="Noto Serif CJK TC"/>
        </w:rPr>
        <w:t>（監察院，</w:t>
      </w:r>
      <w:r>
        <w:rPr>
          <w:rFonts w:eastAsia="Noto Serif CJK TC"/>
        </w:rPr>
        <w:t>2025</w:t>
      </w:r>
      <w:r>
        <w:rPr>
          <w:rFonts w:eastAsia="Noto Serif CJK TC"/>
        </w:rPr>
        <w:t>）。此一官方調查結果，可作為本研究第二章「官僚</w:t>
      </w:r>
      <w:proofErr w:type="gramStart"/>
      <w:r>
        <w:rPr>
          <w:rFonts w:eastAsia="Noto Serif CJK TC"/>
        </w:rPr>
        <w:t>舒適圈</w:t>
      </w:r>
      <w:proofErr w:type="gramEnd"/>
      <w:r>
        <w:rPr>
          <w:rFonts w:eastAsia="Noto Serif CJK TC"/>
        </w:rPr>
        <w:t>」與跨機關協調失靈論點之具體實例佐證；惟須誠實說明，該案聚焦於</w:t>
      </w:r>
      <w:r>
        <w:rPr>
          <w:rFonts w:eastAsia="Noto Serif CJK TC"/>
        </w:rPr>
        <w:t xml:space="preserve"> AI </w:t>
      </w:r>
      <w:r>
        <w:rPr>
          <w:rFonts w:eastAsia="Noto Serif CJK TC"/>
        </w:rPr>
        <w:t>訓練資料治理之跨機關協調層面，與本研究第三章所稱聚焦於個別行政決策之「責任蒸發鏈」，在具體作用機制上仍有差異，不宜逕自等同視之，僅能作為同一體制病理之旁證。</w:t>
      </w:r>
      <w:proofErr w:type="gramStart"/>
      <w:r>
        <w:rPr>
          <w:rFonts w:eastAsia="Noto Serif CJK TC"/>
        </w:rPr>
        <w:t>其二，</w:t>
      </w:r>
      <w:proofErr w:type="gramEnd"/>
      <w:r>
        <w:rPr>
          <w:rFonts w:eastAsia="Noto Serif CJK TC"/>
        </w:rPr>
        <w:t>中央研究院自行研發之語言模型</w:t>
      </w:r>
      <w:r>
        <w:rPr>
          <w:rFonts w:eastAsia="Noto Serif CJK TC"/>
        </w:rPr>
        <w:t xml:space="preserve"> CKIP-Llama-2-7b</w:t>
      </w:r>
      <w:r>
        <w:rPr>
          <w:rFonts w:eastAsia="Noto Serif CJK TC"/>
        </w:rPr>
        <w:t>，曾因訓練語料摻雜簡體中文來源資料，產生「國慶日為</w:t>
      </w:r>
      <w:r>
        <w:rPr>
          <w:rFonts w:eastAsia="Noto Serif CJK TC"/>
        </w:rPr>
        <w:t>10</w:t>
      </w:r>
      <w:r>
        <w:rPr>
          <w:rFonts w:eastAsia="Noto Serif CJK TC"/>
        </w:rPr>
        <w:t>月</w:t>
      </w:r>
      <w:r>
        <w:rPr>
          <w:rFonts w:eastAsia="Noto Serif CJK TC"/>
        </w:rPr>
        <w:t>1</w:t>
      </w:r>
      <w:r>
        <w:rPr>
          <w:rFonts w:eastAsia="Noto Serif CJK TC"/>
        </w:rPr>
        <w:t>日」等明顯不符我國國情之錯誤輸出，事件經媒體披露後，亦成為前述監察院調查之促因之一。此一案例具體印證本研究第三章所述生成式</w:t>
      </w:r>
      <w:r>
        <w:rPr>
          <w:rFonts w:eastAsia="Noto Serif CJK TC"/>
        </w:rPr>
        <w:t xml:space="preserve"> AI </w:t>
      </w:r>
      <w:r>
        <w:rPr>
          <w:rFonts w:eastAsia="Noto Serif CJK TC"/>
        </w:rPr>
        <w:t>之「幻覺」風險，並非僅屬抽象理論疑慮，而係已在我國公部門相關研究系統中實際發生之現象。</w:t>
      </w:r>
    </w:p>
    <w:p w:rsidR="008D60E2" w:rsidRDefault="00A13A70">
      <w:pPr>
        <w:pStyle w:val="1"/>
        <w:pageBreakBefore/>
      </w:pPr>
      <w:bookmarkStart w:id="5" w:name="_Toc238090768"/>
      <w:r>
        <w:lastRenderedPageBreak/>
        <w:t>第二章　理論批判：</w:t>
      </w:r>
      <w:proofErr w:type="gramStart"/>
      <w:r>
        <w:t>軟法治理</w:t>
      </w:r>
      <w:proofErr w:type="gramEnd"/>
      <w:r>
        <w:t>的三重體制枷鎖</w:t>
      </w:r>
      <w:bookmarkEnd w:id="5"/>
    </w:p>
    <w:p w:rsidR="008D60E2" w:rsidRDefault="00A13A70">
      <w:pPr>
        <w:pStyle w:val="2"/>
        <w:spacing w:before="300"/>
      </w:pPr>
      <w:bookmarkStart w:id="6" w:name="_Toc238090769"/>
      <w:r>
        <w:t>2.1</w:t>
      </w:r>
      <w:r>
        <w:t xml:space="preserve">　</w:t>
      </w:r>
      <w:proofErr w:type="gramStart"/>
      <w:r>
        <w:t>軟法治理</w:t>
      </w:r>
      <w:proofErr w:type="gramEnd"/>
      <w:r>
        <w:t>的三重體制枷鎖</w:t>
      </w:r>
      <w:bookmarkEnd w:id="6"/>
    </w:p>
    <w:p w:rsidR="008D60E2" w:rsidRDefault="00A13A70">
      <w:pPr>
        <w:spacing w:after="200" w:line="360" w:lineRule="auto"/>
        <w:jc w:val="both"/>
      </w:pPr>
      <w:r>
        <w:rPr>
          <w:rFonts w:eastAsia="Noto Serif CJK TC"/>
        </w:rPr>
        <w:t>本研究精確指明，現行以智庫法人主導、以指引與自我檢核表為核心</w:t>
      </w:r>
      <w:proofErr w:type="gramStart"/>
      <w:r>
        <w:rPr>
          <w:rFonts w:eastAsia="Noto Serif CJK TC"/>
        </w:rPr>
        <w:t>的軟法治理</w:t>
      </w:r>
      <w:proofErr w:type="gramEnd"/>
      <w:r>
        <w:rPr>
          <w:rFonts w:eastAsia="Noto Serif CJK TC"/>
        </w:rPr>
        <w:t>，實質上已陷入不可調和的「三重體制枷鎖」：</w:t>
      </w:r>
    </w:p>
    <w:p w:rsidR="008D60E2" w:rsidRDefault="00A13A70">
      <w:pPr>
        <w:spacing w:before="200" w:after="120"/>
        <w:jc w:val="center"/>
      </w:pPr>
      <w:r>
        <w:rPr>
          <w:rFonts w:eastAsia="Noto Serif CJK TC"/>
          <w:b/>
          <w:bCs/>
        </w:rPr>
        <w:t>表</w:t>
      </w:r>
      <w:r>
        <w:rPr>
          <w:rFonts w:eastAsia="Noto Serif CJK TC"/>
          <w:b/>
          <w:bCs/>
        </w:rPr>
        <w:t xml:space="preserve"> 2.1</w:t>
      </w:r>
      <w:r>
        <w:rPr>
          <w:rFonts w:eastAsia="Noto Serif CJK TC"/>
          <w:b/>
          <w:bCs/>
        </w:rPr>
        <w:t xml:space="preserve">　</w:t>
      </w:r>
      <w:proofErr w:type="gramStart"/>
      <w:r>
        <w:rPr>
          <w:rFonts w:eastAsia="Noto Serif CJK TC"/>
          <w:b/>
          <w:bCs/>
        </w:rPr>
        <w:t>軟法治理</w:t>
      </w:r>
      <w:proofErr w:type="gramEnd"/>
      <w:r>
        <w:rPr>
          <w:rFonts w:eastAsia="Noto Serif CJK TC"/>
          <w:b/>
          <w:bCs/>
        </w:rPr>
        <w:t>的三重體制枷鎖分析表</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800"/>
        <w:gridCol w:w="3438"/>
      </w:tblGrid>
      <w:tr w:rsidR="008D60E2">
        <w:trPr>
          <w:tblHeader/>
        </w:trPr>
        <w:tc>
          <w:tcPr>
            <w:tcW w:w="24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體制枷鎖層面</w:t>
            </w:r>
          </w:p>
        </w:tc>
        <w:tc>
          <w:tcPr>
            <w:tcW w:w="38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結構性成因與運作機制</w:t>
            </w:r>
          </w:p>
        </w:tc>
        <w:tc>
          <w:tcPr>
            <w:tcW w:w="3438"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對</w:t>
            </w:r>
            <w:r>
              <w:rPr>
                <w:rFonts w:eastAsia="Noto Serif CJK TC"/>
                <w:b/>
                <w:bCs/>
                <w:sz w:val="22"/>
                <w:szCs w:val="22"/>
              </w:rPr>
              <w:t xml:space="preserve"> AI </w:t>
            </w:r>
            <w:r>
              <w:rPr>
                <w:rFonts w:eastAsia="Noto Serif CJK TC"/>
                <w:b/>
                <w:bCs/>
                <w:sz w:val="22"/>
                <w:szCs w:val="22"/>
              </w:rPr>
              <w:t>治理產生的實質危害</w:t>
            </w:r>
          </w:p>
        </w:tc>
      </w:tr>
      <w:tr w:rsidR="008D60E2">
        <w:tc>
          <w:tcPr>
            <w:tcW w:w="2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w:t>
            </w:r>
            <w:r>
              <w:rPr>
                <w:rFonts w:eastAsia="Noto Serif CJK TC"/>
                <w:sz w:val="22"/>
                <w:szCs w:val="22"/>
              </w:rPr>
              <w:t>業主邊界（</w:t>
            </w:r>
            <w:r>
              <w:rPr>
                <w:rFonts w:eastAsia="Noto Serif CJK TC"/>
                <w:sz w:val="22"/>
                <w:szCs w:val="22"/>
              </w:rPr>
              <w:t>Boundary</w:t>
            </w:r>
            <w:r>
              <w:rPr>
                <w:rFonts w:eastAsia="Noto Serif CJK TC"/>
                <w:sz w:val="22"/>
                <w:szCs w:val="22"/>
              </w:rPr>
              <w:t>）</w:t>
            </w:r>
          </w:p>
        </w:tc>
        <w:tc>
          <w:tcPr>
            <w:tcW w:w="3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受託財團法人本質上屬於政府專案補助之輔助角色，缺乏行政立法權與實質裁罰權。</w:t>
            </w:r>
          </w:p>
        </w:tc>
        <w:tc>
          <w:tcPr>
            <w:tcW w:w="34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所產出之規範僅能停留在宣示性道德呼籲與倫理宣導，無法在政府採購或行政程序中建立法律拘束力。</w:t>
            </w:r>
          </w:p>
        </w:tc>
      </w:tr>
      <w:tr w:rsidR="008D60E2">
        <w:tc>
          <w:tcPr>
            <w:tcW w:w="2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2. </w:t>
            </w:r>
            <w:r>
              <w:rPr>
                <w:rFonts w:eastAsia="Noto Serif CJK TC"/>
                <w:sz w:val="22"/>
                <w:szCs w:val="22"/>
              </w:rPr>
              <w:t>廠商包袱（</w:t>
            </w:r>
            <w:r>
              <w:rPr>
                <w:rFonts w:eastAsia="Noto Serif CJK TC"/>
                <w:sz w:val="22"/>
                <w:szCs w:val="22"/>
              </w:rPr>
              <w:t>Vendor Burden</w:t>
            </w:r>
            <w:r>
              <w:rPr>
                <w:rFonts w:eastAsia="Noto Serif CJK TC"/>
                <w:sz w:val="22"/>
                <w:szCs w:val="22"/>
              </w:rPr>
              <w:t>）</w:t>
            </w:r>
          </w:p>
        </w:tc>
        <w:tc>
          <w:tcPr>
            <w:tcW w:w="3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政府採購長期高度依賴少數資訊服務業者與系統整合商，智庫受限於產業利益與既有生態。</w:t>
            </w:r>
          </w:p>
        </w:tc>
        <w:tc>
          <w:tcPr>
            <w:tcW w:w="34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不敢對</w:t>
            </w:r>
            <w:r>
              <w:rPr>
                <w:rFonts w:eastAsia="Noto Serif CJK TC"/>
                <w:sz w:val="22"/>
                <w:szCs w:val="22"/>
              </w:rPr>
              <w:t xml:space="preserve"> API </w:t>
            </w:r>
            <w:r>
              <w:rPr>
                <w:rFonts w:eastAsia="Noto Serif CJK TC"/>
                <w:sz w:val="22"/>
                <w:szCs w:val="22"/>
              </w:rPr>
              <w:t>供應商主張「零資料留存（</w:t>
            </w:r>
            <w:r>
              <w:rPr>
                <w:rFonts w:eastAsia="Noto Serif CJK TC"/>
                <w:sz w:val="22"/>
                <w:szCs w:val="22"/>
              </w:rPr>
              <w:t>ZDR</w:t>
            </w:r>
            <w:r>
              <w:rPr>
                <w:rFonts w:eastAsia="Noto Serif CJK TC"/>
                <w:sz w:val="22"/>
                <w:szCs w:val="22"/>
              </w:rPr>
              <w:t>）」或「權重導出」，實質讓渡了國家對演算法的技術控制權。</w:t>
            </w:r>
          </w:p>
        </w:tc>
      </w:tr>
      <w:tr w:rsidR="008D60E2">
        <w:tc>
          <w:tcPr>
            <w:tcW w:w="2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3. </w:t>
            </w:r>
            <w:r>
              <w:rPr>
                <w:rFonts w:eastAsia="Noto Serif CJK TC"/>
                <w:sz w:val="22"/>
                <w:szCs w:val="22"/>
              </w:rPr>
              <w:t>官僚</w:t>
            </w:r>
            <w:proofErr w:type="gramStart"/>
            <w:r>
              <w:rPr>
                <w:rFonts w:eastAsia="Noto Serif CJK TC"/>
                <w:sz w:val="22"/>
                <w:szCs w:val="22"/>
              </w:rPr>
              <w:t>舒適圈</w:t>
            </w:r>
            <w:proofErr w:type="gramEnd"/>
            <w:r>
              <w:rPr>
                <w:rFonts w:eastAsia="Noto Serif CJK TC"/>
                <w:sz w:val="22"/>
                <w:szCs w:val="22"/>
              </w:rPr>
              <w:t>（</w:t>
            </w:r>
            <w:r>
              <w:rPr>
                <w:rFonts w:eastAsia="Noto Serif CJK TC"/>
                <w:sz w:val="22"/>
                <w:szCs w:val="22"/>
              </w:rPr>
              <w:t>Bureaucratic Comfort</w:t>
            </w:r>
            <w:r>
              <w:rPr>
                <w:rFonts w:eastAsia="Noto Serif CJK TC"/>
                <w:sz w:val="22"/>
                <w:szCs w:val="22"/>
              </w:rPr>
              <w:t>）</w:t>
            </w:r>
          </w:p>
        </w:tc>
        <w:tc>
          <w:tcPr>
            <w:tcW w:w="3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行政機關利用「勾選自我檢核表」製造形式上的合</w:t>
            </w:r>
            <w:proofErr w:type="gramStart"/>
            <w:r>
              <w:rPr>
                <w:rFonts w:eastAsia="Noto Serif CJK TC"/>
                <w:sz w:val="22"/>
                <w:szCs w:val="22"/>
              </w:rPr>
              <w:t>規</w:t>
            </w:r>
            <w:proofErr w:type="gramEnd"/>
            <w:r>
              <w:rPr>
                <w:rFonts w:eastAsia="Noto Serif CJK TC"/>
                <w:sz w:val="22"/>
                <w:szCs w:val="22"/>
              </w:rPr>
              <w:t>幻覺（</w:t>
            </w:r>
            <w:r>
              <w:rPr>
                <w:rFonts w:eastAsia="Noto Serif CJK TC"/>
                <w:sz w:val="22"/>
                <w:szCs w:val="22"/>
              </w:rPr>
              <w:t>Illusion of Compliance</w:t>
            </w:r>
            <w:r>
              <w:rPr>
                <w:rFonts w:eastAsia="Noto Serif CJK TC"/>
                <w:sz w:val="22"/>
                <w:szCs w:val="22"/>
              </w:rPr>
              <w:t>）。</w:t>
            </w:r>
          </w:p>
        </w:tc>
        <w:tc>
          <w:tcPr>
            <w:tcW w:w="34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建立去責任化的避風港，將演算法黑盒所生的法律瑕疵轉嫁予第一線蓋章之基層文官，導致責任蒸發。</w:t>
            </w:r>
          </w:p>
        </w:tc>
      </w:tr>
    </w:tbl>
    <w:p w:rsidR="008D60E2" w:rsidRDefault="00A13A70">
      <w:pPr>
        <w:spacing w:after="200" w:line="360" w:lineRule="auto"/>
        <w:jc w:val="both"/>
      </w:pPr>
      <w:proofErr w:type="gramStart"/>
      <w:r>
        <w:rPr>
          <w:rFonts w:eastAsia="Noto Serif CJK TC"/>
        </w:rPr>
        <w:t>進一步析</w:t>
      </w:r>
      <w:proofErr w:type="gramEnd"/>
      <w:r>
        <w:rPr>
          <w:rFonts w:eastAsia="Noto Serif CJK TC"/>
        </w:rPr>
        <w:t>論：</w:t>
      </w:r>
    </w:p>
    <w:p w:rsidR="008D60E2" w:rsidRDefault="00A13A70">
      <w:pPr>
        <w:spacing w:after="200" w:line="360" w:lineRule="auto"/>
        <w:ind w:left="480" w:hanging="480"/>
        <w:jc w:val="both"/>
      </w:pPr>
      <w:r>
        <w:rPr>
          <w:rFonts w:eastAsia="Noto Serif CJK TC"/>
          <w:b/>
          <w:bCs/>
        </w:rPr>
        <w:t xml:space="preserve">1. </w:t>
      </w:r>
      <w:r>
        <w:rPr>
          <w:rFonts w:eastAsia="Noto Serif CJK TC"/>
          <w:b/>
          <w:bCs/>
        </w:rPr>
        <w:t>業主邊界（</w:t>
      </w:r>
      <w:r>
        <w:rPr>
          <w:rFonts w:eastAsia="Noto Serif CJK TC"/>
          <w:b/>
          <w:bCs/>
        </w:rPr>
        <w:t>Boundary of Commissioned Institutes</w:t>
      </w:r>
      <w:r>
        <w:rPr>
          <w:rFonts w:eastAsia="Noto Serif CJK TC"/>
          <w:b/>
          <w:bCs/>
        </w:rPr>
        <w:t>）：</w:t>
      </w:r>
      <w:r>
        <w:rPr>
          <w:rFonts w:eastAsia="Noto Serif CJK TC"/>
        </w:rPr>
        <w:t>受託財團法人本質上屬於智庫輔助角色，缺乏行政立法與實質裁罰權，其產出之規範僅能停留在宣示性道德呼籲。由於受託身分之限制，無法在採購與行政程序中強制執行約束力；此一「</w:t>
      </w:r>
      <w:proofErr w:type="gramStart"/>
      <w:r>
        <w:rPr>
          <w:rFonts w:eastAsia="Noto Serif CJK TC"/>
        </w:rPr>
        <w:t>課責缺口</w:t>
      </w:r>
      <w:proofErr w:type="gramEnd"/>
      <w:r>
        <w:rPr>
          <w:rFonts w:eastAsia="Noto Serif CJK TC"/>
        </w:rPr>
        <w:t>」與國際文獻所指出之</w:t>
      </w:r>
      <w:proofErr w:type="gramStart"/>
      <w:r>
        <w:rPr>
          <w:rFonts w:eastAsia="Noto Serif CJK TC"/>
        </w:rPr>
        <w:t>演算法課責困</w:t>
      </w:r>
      <w:proofErr w:type="gramEnd"/>
      <w:r>
        <w:rPr>
          <w:rFonts w:eastAsia="Noto Serif CJK TC"/>
        </w:rPr>
        <w:t>境相互呼應（</w:t>
      </w:r>
      <w:proofErr w:type="spellStart"/>
      <w:r>
        <w:rPr>
          <w:rFonts w:eastAsia="Noto Serif CJK TC"/>
        </w:rPr>
        <w:t>Busuioc</w:t>
      </w:r>
      <w:proofErr w:type="spellEnd"/>
      <w:r>
        <w:rPr>
          <w:rFonts w:eastAsia="Noto Serif CJK TC"/>
        </w:rPr>
        <w:t>, 2021; Cobbe, Lee, &amp; Singh, 2021</w:t>
      </w:r>
      <w:proofErr w:type="gramStart"/>
      <w:r>
        <w:rPr>
          <w:rFonts w:eastAsia="Noto Serif CJK TC"/>
        </w:rPr>
        <w:t>）</w:t>
      </w:r>
      <w:proofErr w:type="gramEnd"/>
      <w:r>
        <w:rPr>
          <w:rFonts w:eastAsia="Noto Serif CJK TC"/>
        </w:rPr>
        <w:t>——</w:t>
      </w:r>
      <w:r>
        <w:rPr>
          <w:rFonts w:eastAsia="Noto Serif CJK TC"/>
        </w:rPr>
        <w:t>單靠資訊揭露或自我檢核，並不足以產生真正的</w:t>
      </w:r>
      <w:proofErr w:type="gramStart"/>
      <w:r>
        <w:rPr>
          <w:rFonts w:eastAsia="Noto Serif CJK TC"/>
        </w:rPr>
        <w:t>制度課</w:t>
      </w:r>
      <w:proofErr w:type="gramEnd"/>
      <w:r>
        <w:rPr>
          <w:rFonts w:eastAsia="Noto Serif CJK TC"/>
        </w:rPr>
        <w:t>責。</w:t>
      </w:r>
    </w:p>
    <w:p w:rsidR="008D60E2" w:rsidRDefault="00A13A70">
      <w:pPr>
        <w:spacing w:after="200" w:line="360" w:lineRule="auto"/>
        <w:ind w:left="480" w:hanging="480"/>
        <w:jc w:val="both"/>
      </w:pPr>
      <w:r>
        <w:rPr>
          <w:rFonts w:eastAsia="Noto Serif CJK TC"/>
          <w:b/>
          <w:bCs/>
        </w:rPr>
        <w:t xml:space="preserve">2. </w:t>
      </w:r>
      <w:r>
        <w:rPr>
          <w:rFonts w:eastAsia="Noto Serif CJK TC"/>
          <w:b/>
          <w:bCs/>
        </w:rPr>
        <w:t>廠商包袱（</w:t>
      </w:r>
      <w:r>
        <w:rPr>
          <w:rFonts w:eastAsia="Noto Serif CJK TC"/>
          <w:b/>
          <w:bCs/>
        </w:rPr>
        <w:t>Vendor Burden</w:t>
      </w:r>
      <w:r>
        <w:rPr>
          <w:rFonts w:eastAsia="Noto Serif CJK TC"/>
          <w:b/>
          <w:bCs/>
        </w:rPr>
        <w:t>）：</w:t>
      </w:r>
      <w:r>
        <w:rPr>
          <w:rFonts w:eastAsia="Noto Serif CJK TC"/>
        </w:rPr>
        <w:t>政府採購長期高度依賴少數資訊服務業者，機關在既有生態下不敢對</w:t>
      </w:r>
      <w:r>
        <w:rPr>
          <w:rFonts w:eastAsia="Noto Serif CJK TC"/>
        </w:rPr>
        <w:t xml:space="preserve"> API </w:t>
      </w:r>
      <w:r>
        <w:rPr>
          <w:rFonts w:eastAsia="Noto Serif CJK TC"/>
        </w:rPr>
        <w:t>供應商提出「零資料留存（</w:t>
      </w:r>
      <w:r>
        <w:rPr>
          <w:rFonts w:eastAsia="Noto Serif CJK TC"/>
        </w:rPr>
        <w:t>ZDR</w:t>
      </w:r>
      <w:r>
        <w:rPr>
          <w:rFonts w:eastAsia="Noto Serif CJK TC"/>
        </w:rPr>
        <w:t>）」或「權重導出」等硬性規範，實質讓渡了技術控制權。</w:t>
      </w:r>
    </w:p>
    <w:p w:rsidR="008D60E2" w:rsidRDefault="00A13A70">
      <w:pPr>
        <w:spacing w:after="200" w:line="360" w:lineRule="auto"/>
        <w:ind w:left="480" w:hanging="480"/>
        <w:jc w:val="both"/>
      </w:pPr>
      <w:r>
        <w:rPr>
          <w:rFonts w:eastAsia="Noto Serif CJK TC"/>
          <w:b/>
          <w:bCs/>
        </w:rPr>
        <w:t xml:space="preserve">3. </w:t>
      </w:r>
      <w:r>
        <w:rPr>
          <w:rFonts w:eastAsia="Noto Serif CJK TC"/>
          <w:b/>
          <w:bCs/>
        </w:rPr>
        <w:t>官僚</w:t>
      </w:r>
      <w:proofErr w:type="gramStart"/>
      <w:r>
        <w:rPr>
          <w:rFonts w:eastAsia="Noto Serif CJK TC"/>
          <w:b/>
          <w:bCs/>
        </w:rPr>
        <w:t>舒適圈</w:t>
      </w:r>
      <w:proofErr w:type="gramEnd"/>
      <w:r>
        <w:rPr>
          <w:rFonts w:eastAsia="Noto Serif CJK TC"/>
          <w:b/>
          <w:bCs/>
        </w:rPr>
        <w:t>（</w:t>
      </w:r>
      <w:r>
        <w:rPr>
          <w:rFonts w:eastAsia="Noto Serif CJK TC"/>
          <w:b/>
          <w:bCs/>
        </w:rPr>
        <w:t>Bureaucratic Comfort Zone</w:t>
      </w:r>
      <w:r>
        <w:rPr>
          <w:rFonts w:eastAsia="Noto Serif CJK TC"/>
          <w:b/>
          <w:bCs/>
        </w:rPr>
        <w:t>）：</w:t>
      </w:r>
      <w:r>
        <w:rPr>
          <w:rFonts w:eastAsia="Noto Serif CJK TC"/>
        </w:rPr>
        <w:t>行政機關利用「填寫</w:t>
      </w:r>
      <w:proofErr w:type="gramStart"/>
      <w:r>
        <w:rPr>
          <w:rFonts w:eastAsia="Noto Serif CJK TC"/>
        </w:rPr>
        <w:t>勾選表</w:t>
      </w:r>
      <w:proofErr w:type="gramEnd"/>
      <w:r>
        <w:rPr>
          <w:rFonts w:eastAsia="Noto Serif CJK TC"/>
        </w:rPr>
        <w:t>」製造形式合規</w:t>
      </w:r>
      <w:r>
        <w:rPr>
          <w:rFonts w:eastAsia="Noto Serif CJK TC"/>
        </w:rPr>
        <w:lastRenderedPageBreak/>
        <w:t>之避風港，將演算法產生之法律瑕疵風險轉嫁予第一線蓋章之基層文官，造成責任去中心化與蒸發。</w:t>
      </w:r>
    </w:p>
    <w:p w:rsidR="008D60E2" w:rsidRDefault="00A13A70">
      <w:pPr>
        <w:pStyle w:val="2"/>
        <w:spacing w:before="300"/>
      </w:pPr>
      <w:bookmarkStart w:id="7" w:name="_Toc238090770"/>
      <w:r>
        <w:t>2.2</w:t>
      </w:r>
      <w:r>
        <w:t xml:space="preserve">　與既有</w:t>
      </w:r>
      <w:proofErr w:type="gramStart"/>
      <w:r>
        <w:t>演算法課責文獻</w:t>
      </w:r>
      <w:proofErr w:type="gramEnd"/>
      <w:r>
        <w:t>之批判性對話：</w:t>
      </w:r>
      <w:r>
        <w:t xml:space="preserve">MSCC </w:t>
      </w:r>
      <w:r>
        <w:t>超越「可審查性」與「可解釋性」之處</w:t>
      </w:r>
      <w:bookmarkEnd w:id="7"/>
    </w:p>
    <w:p w:rsidR="008D60E2" w:rsidRDefault="00A13A70">
      <w:pPr>
        <w:spacing w:after="200" w:line="360" w:lineRule="auto"/>
        <w:jc w:val="both"/>
      </w:pPr>
      <w:r>
        <w:rPr>
          <w:rFonts w:eastAsia="Noto Serif CJK TC"/>
        </w:rPr>
        <w:t>既有</w:t>
      </w:r>
      <w:proofErr w:type="gramStart"/>
      <w:r>
        <w:rPr>
          <w:rFonts w:eastAsia="Noto Serif CJK TC"/>
        </w:rPr>
        <w:t>演算法課責文獻</w:t>
      </w:r>
      <w:proofErr w:type="gramEnd"/>
      <w:r>
        <w:rPr>
          <w:rFonts w:eastAsia="Noto Serif CJK TC"/>
        </w:rPr>
        <w:t>，如</w:t>
      </w:r>
      <w:r>
        <w:rPr>
          <w:rFonts w:eastAsia="Noto Serif CJK TC"/>
        </w:rPr>
        <w:t xml:space="preserve"> Citron</w:t>
      </w:r>
      <w:r>
        <w:rPr>
          <w:rFonts w:eastAsia="Noto Serif CJK TC"/>
        </w:rPr>
        <w:t>（</w:t>
      </w:r>
      <w:r>
        <w:rPr>
          <w:rFonts w:eastAsia="Noto Serif CJK TC"/>
        </w:rPr>
        <w:t>2008</w:t>
      </w:r>
      <w:r>
        <w:rPr>
          <w:rFonts w:eastAsia="Noto Serif CJK TC"/>
        </w:rPr>
        <w:t>）之「技術正當程序（</w:t>
      </w:r>
      <w:r>
        <w:rPr>
          <w:rFonts w:eastAsia="Noto Serif CJK TC"/>
        </w:rPr>
        <w:t>Technological Due Process</w:t>
      </w:r>
      <w:r>
        <w:rPr>
          <w:rFonts w:eastAsia="Noto Serif CJK TC"/>
        </w:rPr>
        <w:t>）」、</w:t>
      </w:r>
      <w:proofErr w:type="spellStart"/>
      <w:r>
        <w:rPr>
          <w:rFonts w:eastAsia="Noto Serif CJK TC"/>
        </w:rPr>
        <w:t>Coglianese</w:t>
      </w:r>
      <w:proofErr w:type="spellEnd"/>
      <w:r>
        <w:rPr>
          <w:rFonts w:eastAsia="Noto Serif CJK TC"/>
        </w:rPr>
        <w:t xml:space="preserve"> &amp; Lehr</w:t>
      </w:r>
      <w:r>
        <w:rPr>
          <w:rFonts w:eastAsia="Noto Serif CJK TC"/>
        </w:rPr>
        <w:t>（</w:t>
      </w:r>
      <w:r>
        <w:rPr>
          <w:rFonts w:eastAsia="Noto Serif CJK TC"/>
        </w:rPr>
        <w:t>2019</w:t>
      </w:r>
      <w:r>
        <w:rPr>
          <w:rFonts w:eastAsia="Noto Serif CJK TC"/>
        </w:rPr>
        <w:t>）之「機器學習時代之機器人管制」，以及</w:t>
      </w:r>
      <w:r>
        <w:rPr>
          <w:rFonts w:eastAsia="Noto Serif CJK TC"/>
        </w:rPr>
        <w:t xml:space="preserve"> Cobbe, Lee, &amp; Singh</w:t>
      </w:r>
      <w:r>
        <w:rPr>
          <w:rFonts w:eastAsia="Noto Serif CJK TC"/>
        </w:rPr>
        <w:t>（</w:t>
      </w:r>
      <w:r>
        <w:rPr>
          <w:rFonts w:eastAsia="Noto Serif CJK TC"/>
        </w:rPr>
        <w:t>2021</w:t>
      </w:r>
      <w:r>
        <w:rPr>
          <w:rFonts w:eastAsia="Noto Serif CJK TC"/>
        </w:rPr>
        <w:t>）所提出之「可審查性（</w:t>
      </w:r>
      <w:r>
        <w:rPr>
          <w:rFonts w:eastAsia="Noto Serif CJK TC"/>
        </w:rPr>
        <w:t>Reviewability</w:t>
      </w:r>
      <w:r>
        <w:rPr>
          <w:rFonts w:eastAsia="Noto Serif CJK TC"/>
        </w:rPr>
        <w:t>）」框架，</w:t>
      </w:r>
      <w:proofErr w:type="gramStart"/>
      <w:r>
        <w:rPr>
          <w:rFonts w:eastAsia="Noto Serif CJK TC"/>
        </w:rPr>
        <w:t>均已</w:t>
      </w:r>
      <w:proofErr w:type="gramEnd"/>
      <w:r>
        <w:rPr>
          <w:rFonts w:eastAsia="Noto Serif CJK TC"/>
        </w:rPr>
        <w:t>對自動化決策</w:t>
      </w:r>
      <w:proofErr w:type="gramStart"/>
      <w:r>
        <w:rPr>
          <w:rFonts w:eastAsia="Noto Serif CJK TC"/>
        </w:rPr>
        <w:t>之課責困</w:t>
      </w:r>
      <w:proofErr w:type="gramEnd"/>
      <w:r>
        <w:rPr>
          <w:rFonts w:eastAsia="Noto Serif CJK TC"/>
        </w:rPr>
        <w:t>境提出重要診斷，其核心解方多聚焦於「資訊揭露」與「決策留痕」</w:t>
      </w:r>
      <w:r>
        <w:rPr>
          <w:rFonts w:eastAsia="Noto Serif CJK TC"/>
        </w:rPr>
        <w:t>——</w:t>
      </w:r>
      <w:r>
        <w:rPr>
          <w:rFonts w:eastAsia="Noto Serif CJK TC"/>
        </w:rPr>
        <w:t>即透過要求系統留存充分之技術與組織紀錄，使外部監督者「事後」得以審查決策過程是否合法妥當。</w:t>
      </w:r>
      <w:proofErr w:type="spellStart"/>
      <w:r>
        <w:rPr>
          <w:rFonts w:eastAsia="Noto Serif CJK TC"/>
        </w:rPr>
        <w:t>Busuioc</w:t>
      </w:r>
      <w:proofErr w:type="spellEnd"/>
      <w:r>
        <w:rPr>
          <w:rFonts w:eastAsia="Noto Serif CJK TC"/>
        </w:rPr>
        <w:t>（</w:t>
      </w:r>
      <w:r>
        <w:rPr>
          <w:rFonts w:eastAsia="Noto Serif CJK TC"/>
        </w:rPr>
        <w:t>2021</w:t>
      </w:r>
      <w:r>
        <w:rPr>
          <w:rFonts w:eastAsia="Noto Serif CJK TC"/>
        </w:rPr>
        <w:t>）進一步指出，僅有「可解釋性（</w:t>
      </w:r>
      <w:proofErr w:type="spellStart"/>
      <w:r>
        <w:rPr>
          <w:rFonts w:eastAsia="Noto Serif CJK TC"/>
        </w:rPr>
        <w:t>Explainability</w:t>
      </w:r>
      <w:proofErr w:type="spellEnd"/>
      <w:r>
        <w:rPr>
          <w:rFonts w:eastAsia="Noto Serif CJK TC"/>
        </w:rPr>
        <w:t>）」尚不足以構成</w:t>
      </w:r>
      <w:proofErr w:type="gramStart"/>
      <w:r>
        <w:rPr>
          <w:rFonts w:eastAsia="Noto Serif CJK TC"/>
        </w:rPr>
        <w:t>實質課責</w:t>
      </w:r>
      <w:proofErr w:type="gramEnd"/>
      <w:r>
        <w:rPr>
          <w:rFonts w:eastAsia="Noto Serif CJK TC"/>
        </w:rPr>
        <w:t>，仍須輔以組織層面</w:t>
      </w:r>
      <w:proofErr w:type="gramStart"/>
      <w:r>
        <w:rPr>
          <w:rFonts w:eastAsia="Noto Serif CJK TC"/>
        </w:rPr>
        <w:t>之課責機</w:t>
      </w:r>
      <w:proofErr w:type="gramEnd"/>
      <w:r>
        <w:rPr>
          <w:rFonts w:eastAsia="Noto Serif CJK TC"/>
        </w:rPr>
        <w:t>制設計。</w:t>
      </w:r>
    </w:p>
    <w:p w:rsidR="008D60E2" w:rsidRDefault="00A13A70">
      <w:pPr>
        <w:spacing w:after="200" w:line="360" w:lineRule="auto"/>
        <w:jc w:val="both"/>
      </w:pPr>
      <w:r>
        <w:rPr>
          <w:rFonts w:eastAsia="Noto Serif CJK TC"/>
        </w:rPr>
        <w:t>本研究認為，上述框架雖具高度理論價值，然而在我國「</w:t>
      </w:r>
      <w:proofErr w:type="gramStart"/>
      <w:r>
        <w:rPr>
          <w:rFonts w:eastAsia="Noto Serif CJK TC"/>
        </w:rPr>
        <w:t>軟法治理</w:t>
      </w:r>
      <w:proofErr w:type="gramEnd"/>
      <w:r>
        <w:rPr>
          <w:rFonts w:eastAsia="Noto Serif CJK TC"/>
        </w:rPr>
        <w:t>」之脈絡下，仍面臨一項未被充分處理之前提性問題：「可審查性」與「可解釋性」均預設監督機關（如審計部、法院）與受監督之技術系統</w:t>
      </w:r>
      <w:proofErr w:type="gramStart"/>
      <w:r>
        <w:rPr>
          <w:rFonts w:eastAsia="Noto Serif CJK TC"/>
        </w:rPr>
        <w:t>之間，</w:t>
      </w:r>
      <w:proofErr w:type="gramEnd"/>
      <w:r>
        <w:rPr>
          <w:rFonts w:eastAsia="Noto Serif CJK TC"/>
        </w:rPr>
        <w:t>存在得以要求留存紀錄、開放查核之最低法律拘束力；但本研究第一節所述之「業主邊界」與「廠商包袱」，恰恰指出我國現行採購與委外體制，可能使機關從一開始即未取得要求廠商留存</w:t>
      </w:r>
      <w:r>
        <w:rPr>
          <w:rFonts w:eastAsia="Noto Serif CJK TC"/>
        </w:rPr>
        <w:t xml:space="preserve"> Log</w:t>
      </w:r>
      <w:r>
        <w:rPr>
          <w:rFonts w:eastAsia="Noto Serif CJK TC"/>
        </w:rPr>
        <w:t>、開放稽核之契約權利。換言之，「可審查性」框架回答的是「紀錄留存後，如何據</w:t>
      </w:r>
      <w:proofErr w:type="gramStart"/>
      <w:r>
        <w:rPr>
          <w:rFonts w:eastAsia="Noto Serif CJK TC"/>
        </w:rPr>
        <w:t>以課責</w:t>
      </w:r>
      <w:proofErr w:type="gramEnd"/>
      <w:r>
        <w:rPr>
          <w:rFonts w:eastAsia="Noto Serif CJK TC"/>
        </w:rPr>
        <w:t>」，而</w:t>
      </w:r>
      <w:r>
        <w:rPr>
          <w:rFonts w:eastAsia="Noto Serif CJK TC"/>
        </w:rPr>
        <w:t xml:space="preserve"> MSCC </w:t>
      </w:r>
      <w:r>
        <w:rPr>
          <w:rFonts w:eastAsia="Noto Serif CJK TC"/>
        </w:rPr>
        <w:t>所欲補充回答的，是更前置的問題：「機關有沒有法律與契約上之權利，去要求紀錄被留存、被開放查核？」若欠缺</w:t>
      </w:r>
      <w:r>
        <w:rPr>
          <w:rFonts w:eastAsia="Noto Serif CJK TC"/>
        </w:rPr>
        <w:t xml:space="preserve"> MSCC </w:t>
      </w:r>
      <w:r>
        <w:rPr>
          <w:rFonts w:eastAsia="Noto Serif CJK TC"/>
        </w:rPr>
        <w:t>所主張之硬性契約與市場准入條件，再完善之可審查性理論設計，都可能因機關根本無權要求廠商配合而無從落實。就此而言，本研究將</w:t>
      </w:r>
      <w:r>
        <w:rPr>
          <w:rFonts w:eastAsia="Noto Serif CJK TC"/>
        </w:rPr>
        <w:t xml:space="preserve"> MSCC </w:t>
      </w:r>
      <w:r>
        <w:rPr>
          <w:rFonts w:eastAsia="Noto Serif CJK TC"/>
        </w:rPr>
        <w:t>定位為「可審查性」與「可解釋性」等</w:t>
      </w:r>
      <w:proofErr w:type="gramStart"/>
      <w:r>
        <w:rPr>
          <w:rFonts w:eastAsia="Noto Serif CJK TC"/>
        </w:rPr>
        <w:t>既有課責框架</w:t>
      </w:r>
      <w:proofErr w:type="gramEnd"/>
      <w:r>
        <w:rPr>
          <w:rFonts w:eastAsia="Noto Serif CJK TC"/>
        </w:rPr>
        <w:t>得以在採購委外情境下實際運作之「前置制度條件」，而非取代既有理論，</w:t>
      </w:r>
      <w:proofErr w:type="gramStart"/>
      <w:r>
        <w:rPr>
          <w:rFonts w:eastAsia="Noto Serif CJK TC"/>
        </w:rPr>
        <w:t>合先</w:t>
      </w:r>
      <w:proofErr w:type="gramEnd"/>
      <w:r>
        <w:rPr>
          <w:rFonts w:eastAsia="Noto Serif CJK TC"/>
        </w:rPr>
        <w:t>敘明。</w:t>
      </w:r>
    </w:p>
    <w:p w:rsidR="008D60E2" w:rsidRDefault="00A13A70">
      <w:pPr>
        <w:spacing w:after="200" w:line="360" w:lineRule="auto"/>
        <w:jc w:val="both"/>
      </w:pPr>
      <w:r>
        <w:rPr>
          <w:rFonts w:eastAsia="Noto Serif CJK TC"/>
        </w:rPr>
        <w:t>值得特別指出的是，我國本土法學界對機器學習型人工智慧與法治關係之研究，近年亦已累積相當深度之成果，並非本研究第一節所述</w:t>
      </w:r>
      <w:proofErr w:type="gramStart"/>
      <w:r>
        <w:rPr>
          <w:rFonts w:eastAsia="Noto Serif CJK TC"/>
        </w:rPr>
        <w:t>之軟法治理</w:t>
      </w:r>
      <w:proofErr w:type="gramEnd"/>
      <w:r>
        <w:rPr>
          <w:rFonts w:eastAsia="Noto Serif CJK TC"/>
        </w:rPr>
        <w:t>批判所能一概而論。中央研究院法律學研究所邱文聰於</w:t>
      </w:r>
      <w:r>
        <w:rPr>
          <w:rFonts w:eastAsia="Noto Serif CJK TC"/>
        </w:rPr>
        <w:t xml:space="preserve"> 2020 </w:t>
      </w:r>
      <w:r>
        <w:rPr>
          <w:rFonts w:eastAsia="Noto Serif CJK TC"/>
        </w:rPr>
        <w:t>年即已系統性引</w:t>
      </w:r>
      <w:proofErr w:type="gramStart"/>
      <w:r>
        <w:rPr>
          <w:rFonts w:eastAsia="Noto Serif CJK TC"/>
        </w:rPr>
        <w:t>介</w:t>
      </w:r>
      <w:proofErr w:type="gramEnd"/>
      <w:r>
        <w:rPr>
          <w:rFonts w:eastAsia="Noto Serif CJK TC"/>
        </w:rPr>
        <w:t>科技與社會研究（</w:t>
      </w:r>
      <w:r>
        <w:rPr>
          <w:rFonts w:eastAsia="Noto Serif CJK TC"/>
        </w:rPr>
        <w:t>STS</w:t>
      </w:r>
      <w:r>
        <w:rPr>
          <w:rFonts w:eastAsia="Noto Serif CJK TC"/>
        </w:rPr>
        <w:t>）視角，分析第二波人工智慧之知識學習與生產模式對法學方法論帶來之衝擊（邱文聰，</w:t>
      </w:r>
      <w:r>
        <w:rPr>
          <w:rFonts w:eastAsia="Noto Serif CJK TC"/>
        </w:rPr>
        <w:t>2020</w:t>
      </w:r>
      <w:r>
        <w:rPr>
          <w:rFonts w:eastAsia="Noto Serif CJK TC"/>
        </w:rPr>
        <w:t>）；其發表於《中研院法學期刊》之最新研究（邱文聰，</w:t>
      </w:r>
      <w:r>
        <w:rPr>
          <w:rFonts w:eastAsia="Noto Serif CJK TC"/>
        </w:rPr>
        <w:t>2025</w:t>
      </w:r>
      <w:r>
        <w:rPr>
          <w:rFonts w:eastAsia="Noto Serif CJK TC"/>
        </w:rPr>
        <w:t>），更直接針對「智慧政府」全自動化決策之法治相容性問題，提出「模仿型」（</w:t>
      </w:r>
      <w:r>
        <w:rPr>
          <w:rFonts w:eastAsia="Noto Serif CJK TC"/>
        </w:rPr>
        <w:t>imitative</w:t>
      </w:r>
      <w:r>
        <w:rPr>
          <w:rFonts w:eastAsia="Noto Serif CJK TC"/>
        </w:rPr>
        <w:t>）與「相關性發掘型」（</w:t>
      </w:r>
      <w:r>
        <w:rPr>
          <w:rFonts w:eastAsia="Noto Serif CJK TC"/>
        </w:rPr>
        <w:t>correlation-discovery</w:t>
      </w:r>
      <w:r>
        <w:rPr>
          <w:rFonts w:eastAsia="Noto Serif CJK TC"/>
        </w:rPr>
        <w:t>）人工智慧</w:t>
      </w:r>
      <w:r>
        <w:rPr>
          <w:rFonts w:eastAsia="Noto Serif CJK TC"/>
        </w:rPr>
        <w:lastRenderedPageBreak/>
        <w:t>系統之重要區分：前者透過模仿人類推論</w:t>
      </w:r>
      <w:proofErr w:type="gramStart"/>
      <w:r>
        <w:rPr>
          <w:rFonts w:eastAsia="Noto Serif CJK TC"/>
        </w:rPr>
        <w:t>之默會知識</w:t>
      </w:r>
      <w:proofErr w:type="gramEnd"/>
      <w:r>
        <w:rPr>
          <w:rFonts w:eastAsia="Noto Serif CJK TC"/>
        </w:rPr>
        <w:t>而運作，在滿足「權限移轉獲法律授權」「同等履行獲得擔保」「保留人類最終救濟可能性」三項條件下，可與法治原則有條件相容；後者則藉由發掘資料中的隱藏相關性「創造」出可據以介入之新理由，因其決策理由具有「策略隱蔽性」（一旦公開即生博弈風險）與「欠缺驗證可能性」，往往無法滿足法治所要求之外部可解釋性，甚至可能構成規避民主程序之「秘密立法」。</w:t>
      </w:r>
    </w:p>
    <w:p w:rsidR="008D60E2" w:rsidRDefault="00A13A70">
      <w:pPr>
        <w:spacing w:after="200" w:line="360" w:lineRule="auto"/>
        <w:jc w:val="both"/>
      </w:pPr>
      <w:r>
        <w:rPr>
          <w:rFonts w:eastAsia="Noto Serif CJK TC"/>
        </w:rPr>
        <w:t>此一區分對本研究具有重要啟示。本文所處理之生成式</w:t>
      </w:r>
      <w:r>
        <w:rPr>
          <w:rFonts w:eastAsia="Noto Serif CJK TC"/>
        </w:rPr>
        <w:t xml:space="preserve"> AI</w:t>
      </w:r>
      <w:r>
        <w:rPr>
          <w:rFonts w:eastAsia="Noto Serif CJK TC"/>
        </w:rPr>
        <w:t>／</w:t>
      </w:r>
      <w:r>
        <w:rPr>
          <w:rFonts w:eastAsia="Noto Serif CJK TC"/>
        </w:rPr>
        <w:t xml:space="preserve">RAG </w:t>
      </w:r>
      <w:r>
        <w:rPr>
          <w:rFonts w:eastAsia="Noto Serif CJK TC"/>
        </w:rPr>
        <w:t>系統，其於行政輔助情境下之應用，性質上更接近邱文聰所稱之「模仿型」人工智慧</w:t>
      </w:r>
      <w:proofErr w:type="gramStart"/>
      <w:r>
        <w:rPr>
          <w:rFonts w:eastAsia="Noto Serif CJK TC"/>
        </w:rPr>
        <w:t>—</w:t>
      </w:r>
      <w:proofErr w:type="gramEnd"/>
      <w:r>
        <w:rPr>
          <w:rFonts w:eastAsia="Noto Serif CJK TC"/>
        </w:rPr>
        <w:t>—</w:t>
      </w:r>
      <w:r>
        <w:rPr>
          <w:rFonts w:eastAsia="Noto Serif CJK TC"/>
        </w:rPr>
        <w:t>模仿人類撰擬公文、檢索法規、生成語言之能力，而非透過相關性發掘進行預測性控制。若</w:t>
      </w:r>
      <w:proofErr w:type="gramStart"/>
      <w:r>
        <w:rPr>
          <w:rFonts w:eastAsia="Noto Serif CJK TC"/>
        </w:rPr>
        <w:t>採</w:t>
      </w:r>
      <w:proofErr w:type="gramEnd"/>
      <w:r>
        <w:rPr>
          <w:rFonts w:eastAsia="Noto Serif CJK TC"/>
        </w:rPr>
        <w:t>邱文聰之理論架構，此類系統與法治相容須滿足三項條件：「權限移轉獲法律授權」「同等履行獲得擔保」「保留人類最終救濟可能性」；而這三項條件與本研究第四章</w:t>
      </w:r>
      <w:r>
        <w:rPr>
          <w:rFonts w:eastAsia="Noto Serif CJK TC"/>
        </w:rPr>
        <w:t xml:space="preserve"> MSCC </w:t>
      </w:r>
      <w:r>
        <w:rPr>
          <w:rFonts w:eastAsia="Noto Serif CJK TC"/>
        </w:rPr>
        <w:t>四大硬指標間，存在具體對應關係</w:t>
      </w:r>
      <w:proofErr w:type="gramStart"/>
      <w:r>
        <w:rPr>
          <w:rFonts w:eastAsia="Noto Serif CJK TC"/>
        </w:rPr>
        <w:t>—</w:t>
      </w:r>
      <w:proofErr w:type="gramEnd"/>
      <w:r>
        <w:rPr>
          <w:rFonts w:eastAsia="Noto Serif CJK TC"/>
        </w:rPr>
        <w:t>—</w:t>
      </w:r>
      <w:r>
        <w:rPr>
          <w:rFonts w:eastAsia="Noto Serif CJK TC"/>
        </w:rPr>
        <w:t>「權限移轉獲法律授權」對應於本研究第五章所主張、</w:t>
      </w:r>
      <w:r>
        <w:rPr>
          <w:rFonts w:eastAsia="Noto Serif CJK TC"/>
        </w:rPr>
        <w:t xml:space="preserve">MSCC </w:t>
      </w:r>
      <w:r>
        <w:rPr>
          <w:rFonts w:eastAsia="Noto Serif CJK TC"/>
        </w:rPr>
        <w:t>應透過《人工智慧基本法》子法取得之法定授權基礎；「同等履行獲得擔保」對應於「語意歸因（</w:t>
      </w:r>
      <w:r>
        <w:rPr>
          <w:rFonts w:eastAsia="Noto Serif CJK TC"/>
        </w:rPr>
        <w:t>Chunk-Level Attribution</w:t>
      </w:r>
      <w:r>
        <w:rPr>
          <w:rFonts w:eastAsia="Noto Serif CJK TC"/>
        </w:rPr>
        <w:t>）」</w:t>
      </w:r>
      <w:proofErr w:type="gramStart"/>
      <w:r>
        <w:rPr>
          <w:rFonts w:eastAsia="Noto Serif CJK TC"/>
        </w:rPr>
        <w:t>—</w:t>
      </w:r>
      <w:proofErr w:type="gramEnd"/>
      <w:r>
        <w:rPr>
          <w:rFonts w:eastAsia="Noto Serif CJK TC"/>
        </w:rPr>
        <w:t>—</w:t>
      </w:r>
      <w:r>
        <w:rPr>
          <w:rFonts w:eastAsia="Noto Serif CJK TC"/>
        </w:rPr>
        <w:t>透過切片級信心度評分機制，將邱文聰所稱之「同等履行」由一次性、抽象性之事前資格確認，轉化為每一次決策</w:t>
      </w:r>
      <w:proofErr w:type="gramStart"/>
      <w:r>
        <w:rPr>
          <w:rFonts w:eastAsia="Noto Serif CJK TC"/>
        </w:rPr>
        <w:t>輸出均須通</w:t>
      </w:r>
      <w:proofErr w:type="gramEnd"/>
      <w:r>
        <w:rPr>
          <w:rFonts w:eastAsia="Noto Serif CJK TC"/>
        </w:rPr>
        <w:t>過之持續性、可操作驗證機制；「保留人類最終救濟可能性」則對應於「斷路可控（</w:t>
      </w:r>
      <w:r>
        <w:rPr>
          <w:rFonts w:eastAsia="Noto Serif CJK TC"/>
        </w:rPr>
        <w:t>Kill-Switch</w:t>
      </w:r>
      <w:r>
        <w:rPr>
          <w:rFonts w:eastAsia="Noto Serif CJK TC"/>
        </w:rPr>
        <w:t>）」（保留機關切斷系統並轉由人工接管之權利）與「責任鏈結（</w:t>
      </w:r>
      <w:r>
        <w:rPr>
          <w:rFonts w:eastAsia="Noto Serif CJK TC"/>
        </w:rPr>
        <w:t>Immutable Log Chain</w:t>
      </w:r>
      <w:r>
        <w:rPr>
          <w:rFonts w:eastAsia="Noto Serif CJK TC"/>
        </w:rPr>
        <w:t>）」（確保人工審查與事後救濟有跡可循）。換言之，</w:t>
      </w:r>
      <w:r>
        <w:rPr>
          <w:rFonts w:eastAsia="Noto Serif CJK TC"/>
        </w:rPr>
        <w:t xml:space="preserve">MSCC </w:t>
      </w:r>
      <w:r>
        <w:rPr>
          <w:rFonts w:eastAsia="Noto Serif CJK TC"/>
        </w:rPr>
        <w:t>可理解為將邱文聰於抽象法治理論層次所提出之相容性條件，進一步轉譯為政府採購契約與稽核清單層次之操作性標準</w:t>
      </w:r>
      <w:proofErr w:type="gramStart"/>
      <w:r>
        <w:rPr>
          <w:rFonts w:eastAsia="Noto Serif CJK TC"/>
        </w:rPr>
        <w:t>—</w:t>
      </w:r>
      <w:proofErr w:type="gramEnd"/>
      <w:r>
        <w:rPr>
          <w:rFonts w:eastAsia="Noto Serif CJK TC"/>
        </w:rPr>
        <w:t>—</w:t>
      </w:r>
      <w:r>
        <w:rPr>
          <w:rFonts w:eastAsia="Noto Serif CJK TC"/>
        </w:rPr>
        <w:t>這也呼應本研究前段之主張：</w:t>
      </w:r>
      <w:r>
        <w:rPr>
          <w:rFonts w:eastAsia="Noto Serif CJK TC"/>
        </w:rPr>
        <w:t xml:space="preserve">MSCC </w:t>
      </w:r>
      <w:r>
        <w:rPr>
          <w:rFonts w:eastAsia="Noto Serif CJK TC"/>
        </w:rPr>
        <w:t>是</w:t>
      </w:r>
      <w:proofErr w:type="gramStart"/>
      <w:r>
        <w:rPr>
          <w:rFonts w:eastAsia="Noto Serif CJK TC"/>
        </w:rPr>
        <w:t>既有課責與</w:t>
      </w:r>
      <w:proofErr w:type="gramEnd"/>
      <w:r>
        <w:rPr>
          <w:rFonts w:eastAsia="Noto Serif CJK TC"/>
        </w:rPr>
        <w:t>相容性理論得以在採購委外之實務情境下真正運作的前置制度條件。</w:t>
      </w:r>
    </w:p>
    <w:p w:rsidR="008D60E2" w:rsidRDefault="00A13A70">
      <w:pPr>
        <w:pStyle w:val="1"/>
        <w:pageBreakBefore/>
      </w:pPr>
      <w:bookmarkStart w:id="8" w:name="_Toc238090771"/>
      <w:r>
        <w:lastRenderedPageBreak/>
        <w:t>第三章　技術機理：生成式</w:t>
      </w:r>
      <w:r>
        <w:t xml:space="preserve"> AI </w:t>
      </w:r>
      <w:r>
        <w:t>的高結構性分離</w:t>
      </w:r>
      <w:bookmarkEnd w:id="8"/>
    </w:p>
    <w:p w:rsidR="008D60E2" w:rsidRDefault="00A13A70">
      <w:pPr>
        <w:spacing w:after="200" w:line="360" w:lineRule="auto"/>
        <w:jc w:val="both"/>
      </w:pPr>
      <w:r>
        <w:rPr>
          <w:rFonts w:eastAsia="Noto Serif CJK TC"/>
        </w:rPr>
        <w:t>生成式</w:t>
      </w:r>
      <w:r>
        <w:rPr>
          <w:rFonts w:eastAsia="Noto Serif CJK TC"/>
        </w:rPr>
        <w:t xml:space="preserve"> AI </w:t>
      </w:r>
      <w:r>
        <w:rPr>
          <w:rFonts w:eastAsia="Noto Serif CJK TC"/>
        </w:rPr>
        <w:t>與</w:t>
      </w:r>
      <w:r>
        <w:rPr>
          <w:rFonts w:eastAsia="Noto Serif CJK TC"/>
        </w:rPr>
        <w:t xml:space="preserve"> RAG </w:t>
      </w:r>
      <w:r>
        <w:rPr>
          <w:rFonts w:eastAsia="Noto Serif CJK TC"/>
        </w:rPr>
        <w:t>技術的</w:t>
      </w:r>
      <w:proofErr w:type="gramStart"/>
      <w:r>
        <w:rPr>
          <w:rFonts w:eastAsia="Noto Serif CJK TC"/>
        </w:rPr>
        <w:t>深層機理</w:t>
      </w:r>
      <w:proofErr w:type="gramEnd"/>
      <w:r>
        <w:rPr>
          <w:rFonts w:eastAsia="Noto Serif CJK TC"/>
        </w:rPr>
        <w:t>，打破了傳統行政機關對工具的完全控制，導致行政權力運作發生四大層面的「高結構性分離」：</w:t>
      </w:r>
    </w:p>
    <w:p w:rsidR="008D60E2" w:rsidRDefault="00A13A70">
      <w:pPr>
        <w:spacing w:after="200" w:line="360" w:lineRule="auto"/>
        <w:ind w:left="480" w:hanging="480"/>
        <w:jc w:val="both"/>
      </w:pPr>
      <w:r>
        <w:rPr>
          <w:rFonts w:eastAsia="Noto Serif CJK TC"/>
          <w:b/>
          <w:bCs/>
        </w:rPr>
        <w:t xml:space="preserve">1. </w:t>
      </w:r>
      <w:r>
        <w:rPr>
          <w:rFonts w:eastAsia="Noto Serif CJK TC"/>
          <w:b/>
          <w:bCs/>
        </w:rPr>
        <w:t>基礎</w:t>
      </w:r>
      <w:proofErr w:type="gramStart"/>
      <w:r>
        <w:rPr>
          <w:rFonts w:eastAsia="Noto Serif CJK TC"/>
          <w:b/>
          <w:bCs/>
        </w:rPr>
        <w:t>設施層外包</w:t>
      </w:r>
      <w:proofErr w:type="gramEnd"/>
      <w:r>
        <w:rPr>
          <w:rFonts w:eastAsia="Noto Serif CJK TC"/>
          <w:b/>
          <w:bCs/>
        </w:rPr>
        <w:t>（</w:t>
      </w:r>
      <w:r>
        <w:rPr>
          <w:rFonts w:eastAsia="Noto Serif CJK TC"/>
          <w:b/>
          <w:bCs/>
        </w:rPr>
        <w:t>Infrastructure Outsourcing</w:t>
      </w:r>
      <w:r>
        <w:rPr>
          <w:rFonts w:eastAsia="Noto Serif CJK TC"/>
          <w:b/>
          <w:bCs/>
        </w:rPr>
        <w:t>）：</w:t>
      </w:r>
      <w:r>
        <w:rPr>
          <w:rFonts w:eastAsia="Noto Serif CJK TC"/>
        </w:rPr>
        <w:t>公部門運作高度依賴國外科技巨頭之</w:t>
      </w:r>
      <w:r>
        <w:rPr>
          <w:rFonts w:eastAsia="Noto Serif CJK TC"/>
        </w:rPr>
        <w:t xml:space="preserve"> GPU </w:t>
      </w:r>
      <w:proofErr w:type="gramStart"/>
      <w:r>
        <w:rPr>
          <w:rFonts w:eastAsia="Noto Serif CJK TC"/>
        </w:rPr>
        <w:t>算力與</w:t>
      </w:r>
      <w:proofErr w:type="gramEnd"/>
      <w:r>
        <w:rPr>
          <w:rFonts w:eastAsia="Noto Serif CJK TC"/>
        </w:rPr>
        <w:t>雲端</w:t>
      </w:r>
      <w:r>
        <w:rPr>
          <w:rFonts w:eastAsia="Noto Serif CJK TC"/>
        </w:rPr>
        <w:t xml:space="preserve"> API </w:t>
      </w:r>
      <w:r>
        <w:rPr>
          <w:rFonts w:eastAsia="Noto Serif CJK TC"/>
        </w:rPr>
        <w:t>連線。國家公權力運作之底層技術設施實質讓渡予跨國科技巨頭，使國家失去對</w:t>
      </w:r>
      <w:proofErr w:type="gramStart"/>
      <w:r>
        <w:rPr>
          <w:rFonts w:eastAsia="Noto Serif CJK TC"/>
        </w:rPr>
        <w:t>基礎算力的</w:t>
      </w:r>
      <w:proofErr w:type="gramEnd"/>
      <w:r>
        <w:rPr>
          <w:rFonts w:eastAsia="Noto Serif CJK TC"/>
        </w:rPr>
        <w:t>主權控制。</w:t>
      </w:r>
    </w:p>
    <w:p w:rsidR="008D60E2" w:rsidRDefault="00A13A70">
      <w:pPr>
        <w:spacing w:after="200" w:line="360" w:lineRule="auto"/>
        <w:ind w:left="480" w:hanging="480"/>
        <w:jc w:val="both"/>
      </w:pPr>
      <w:r>
        <w:rPr>
          <w:rFonts w:eastAsia="Noto Serif CJK TC"/>
          <w:b/>
          <w:bCs/>
        </w:rPr>
        <w:t xml:space="preserve">2. </w:t>
      </w:r>
      <w:r>
        <w:rPr>
          <w:rFonts w:eastAsia="Noto Serif CJK TC"/>
          <w:b/>
          <w:bCs/>
        </w:rPr>
        <w:t>語意</w:t>
      </w:r>
      <w:proofErr w:type="gramStart"/>
      <w:r>
        <w:rPr>
          <w:rFonts w:eastAsia="Noto Serif CJK TC"/>
          <w:b/>
          <w:bCs/>
        </w:rPr>
        <w:t>生成層非確定</w:t>
      </w:r>
      <w:proofErr w:type="gramEnd"/>
      <w:r>
        <w:rPr>
          <w:rFonts w:eastAsia="Noto Serif CJK TC"/>
          <w:b/>
          <w:bCs/>
        </w:rPr>
        <w:t>性（</w:t>
      </w:r>
      <w:r>
        <w:rPr>
          <w:rFonts w:eastAsia="Noto Serif CJK TC"/>
          <w:b/>
          <w:bCs/>
        </w:rPr>
        <w:t>Probabilistic Non-determinism</w:t>
      </w:r>
      <w:r>
        <w:rPr>
          <w:rFonts w:eastAsia="Noto Serif CJK TC"/>
          <w:b/>
          <w:bCs/>
        </w:rPr>
        <w:t>）：</w:t>
      </w:r>
      <w:r>
        <w:rPr>
          <w:rFonts w:eastAsia="Noto Serif CJK TC"/>
        </w:rPr>
        <w:t>大型語言模型基於自</w:t>
      </w:r>
      <w:proofErr w:type="gramStart"/>
      <w:r>
        <w:rPr>
          <w:rFonts w:eastAsia="Noto Serif CJK TC"/>
        </w:rPr>
        <w:t>迴</w:t>
      </w:r>
      <w:proofErr w:type="gramEnd"/>
      <w:r>
        <w:rPr>
          <w:rFonts w:eastAsia="Noto Serif CJK TC"/>
        </w:rPr>
        <w:t>歸</w:t>
      </w:r>
      <w:r>
        <w:rPr>
          <w:rFonts w:eastAsia="Noto Serif CJK TC"/>
        </w:rPr>
        <w:t xml:space="preserve"> Token </w:t>
      </w:r>
      <w:r>
        <w:rPr>
          <w:rFonts w:eastAsia="Noto Serif CJK TC"/>
        </w:rPr>
        <w:t>預測（</w:t>
      </w:r>
      <w:r>
        <w:rPr>
          <w:rFonts w:eastAsia="Noto Serif CJK TC"/>
        </w:rPr>
        <w:t>Autoregressive Token Prediction</w:t>
      </w:r>
      <w:r>
        <w:rPr>
          <w:rFonts w:eastAsia="Noto Serif CJK TC"/>
        </w:rPr>
        <w:t>），其產出本質上屬於機率分佈而非確定邏輯，固有的「幻覺（</w:t>
      </w:r>
      <w:r>
        <w:rPr>
          <w:rFonts w:eastAsia="Noto Serif CJK TC"/>
        </w:rPr>
        <w:t>Hallucination</w:t>
      </w:r>
      <w:r>
        <w:rPr>
          <w:rFonts w:eastAsia="Noto Serif CJK TC"/>
        </w:rPr>
        <w:t>）」特性根本衝擊了公法上之「法明確性」與「確定性」原則。跨國實證研究顯示，即便導入</w:t>
      </w:r>
      <w:r>
        <w:rPr>
          <w:rFonts w:eastAsia="Noto Serif CJK TC"/>
        </w:rPr>
        <w:t xml:space="preserve"> RAG </w:t>
      </w:r>
      <w:r>
        <w:rPr>
          <w:rFonts w:eastAsia="Noto Serif CJK TC"/>
        </w:rPr>
        <w:t>架構，法律領域之生成式</w:t>
      </w:r>
      <w:r>
        <w:rPr>
          <w:rFonts w:eastAsia="Noto Serif CJK TC"/>
        </w:rPr>
        <w:t xml:space="preserve"> AI </w:t>
      </w:r>
      <w:r>
        <w:rPr>
          <w:rFonts w:eastAsia="Noto Serif CJK TC"/>
        </w:rPr>
        <w:t>工具仍普遍存在無法忽視的幻覺率：</w:t>
      </w:r>
      <w:r>
        <w:rPr>
          <w:rFonts w:eastAsia="Noto Serif CJK TC"/>
        </w:rPr>
        <w:t xml:space="preserve">Dahl </w:t>
      </w:r>
      <w:r>
        <w:rPr>
          <w:rFonts w:eastAsia="Noto Serif CJK TC"/>
        </w:rPr>
        <w:t>等人（</w:t>
      </w:r>
      <w:r>
        <w:rPr>
          <w:rFonts w:eastAsia="Noto Serif CJK TC"/>
        </w:rPr>
        <w:t>2024</w:t>
      </w:r>
      <w:r>
        <w:rPr>
          <w:rFonts w:eastAsia="Noto Serif CJK TC"/>
        </w:rPr>
        <w:t>）發現主流</w:t>
      </w:r>
      <w:r>
        <w:rPr>
          <w:rFonts w:eastAsia="Noto Serif CJK TC"/>
        </w:rPr>
        <w:t xml:space="preserve"> LLM </w:t>
      </w:r>
      <w:r>
        <w:rPr>
          <w:rFonts w:eastAsia="Noto Serif CJK TC"/>
        </w:rPr>
        <w:t>在具體法律查詢上之幻覺率介於</w:t>
      </w:r>
      <w:r>
        <w:rPr>
          <w:rFonts w:eastAsia="Noto Serif CJK TC"/>
        </w:rPr>
        <w:t xml:space="preserve"> 69% </w:t>
      </w:r>
      <w:r>
        <w:rPr>
          <w:rFonts w:eastAsia="Noto Serif CJK TC"/>
        </w:rPr>
        <w:t>至</w:t>
      </w:r>
      <w:r>
        <w:rPr>
          <w:rFonts w:eastAsia="Noto Serif CJK TC"/>
        </w:rPr>
        <w:t xml:space="preserve"> 88% </w:t>
      </w:r>
      <w:r>
        <w:rPr>
          <w:rFonts w:eastAsia="Noto Serif CJK TC"/>
        </w:rPr>
        <w:t>之間；史丹佛大學</w:t>
      </w:r>
      <w:r>
        <w:rPr>
          <w:rFonts w:eastAsia="Noto Serif CJK TC"/>
        </w:rPr>
        <w:t xml:space="preserve"> </w:t>
      </w:r>
      <w:proofErr w:type="spellStart"/>
      <w:r>
        <w:rPr>
          <w:rFonts w:eastAsia="Noto Serif CJK TC"/>
        </w:rPr>
        <w:t>RegLab</w:t>
      </w:r>
      <w:proofErr w:type="spellEnd"/>
      <w:r>
        <w:rPr>
          <w:rFonts w:eastAsia="Noto Serif CJK TC"/>
        </w:rPr>
        <w:t xml:space="preserve"> </w:t>
      </w:r>
      <w:r>
        <w:rPr>
          <w:rFonts w:eastAsia="Noto Serif CJK TC"/>
        </w:rPr>
        <w:t>對商用法律</w:t>
      </w:r>
      <w:r>
        <w:rPr>
          <w:rFonts w:eastAsia="Noto Serif CJK TC"/>
        </w:rPr>
        <w:t xml:space="preserve"> AI </w:t>
      </w:r>
      <w:r>
        <w:rPr>
          <w:rFonts w:eastAsia="Noto Serif CJK TC"/>
        </w:rPr>
        <w:t>研究工具之後續實證評估</w:t>
      </w:r>
      <w:proofErr w:type="gramStart"/>
      <w:r>
        <w:rPr>
          <w:rFonts w:eastAsia="Noto Serif CJK TC"/>
        </w:rPr>
        <w:t>（</w:t>
      </w:r>
      <w:proofErr w:type="gramEnd"/>
      <w:r>
        <w:rPr>
          <w:rFonts w:eastAsia="Noto Serif CJK TC"/>
        </w:rPr>
        <w:t>Magesh et al., 2025</w:t>
      </w:r>
      <w:proofErr w:type="gramStart"/>
      <w:r>
        <w:rPr>
          <w:rFonts w:eastAsia="Noto Serif CJK TC"/>
        </w:rPr>
        <w:t>）</w:t>
      </w:r>
      <w:proofErr w:type="gramEnd"/>
      <w:r>
        <w:rPr>
          <w:rFonts w:eastAsia="Noto Serif CJK TC"/>
        </w:rPr>
        <w:t>亦發現，號稱「近乎零幻覺」之</w:t>
      </w:r>
      <w:r>
        <w:rPr>
          <w:rFonts w:eastAsia="Noto Serif CJK TC"/>
        </w:rPr>
        <w:t xml:space="preserve"> RAG </w:t>
      </w:r>
      <w:r>
        <w:rPr>
          <w:rFonts w:eastAsia="Noto Serif CJK TC"/>
        </w:rPr>
        <w:t>系統，實際查詢仍有</w:t>
      </w:r>
      <w:r>
        <w:rPr>
          <w:rFonts w:eastAsia="Noto Serif CJK TC"/>
        </w:rPr>
        <w:t xml:space="preserve"> 17% </w:t>
      </w:r>
      <w:r>
        <w:rPr>
          <w:rFonts w:eastAsia="Noto Serif CJK TC"/>
        </w:rPr>
        <w:t>至</w:t>
      </w:r>
      <w:r>
        <w:rPr>
          <w:rFonts w:eastAsia="Noto Serif CJK TC"/>
        </w:rPr>
        <w:t xml:space="preserve"> 33% </w:t>
      </w:r>
      <w:r>
        <w:rPr>
          <w:rFonts w:eastAsia="Noto Serif CJK TC"/>
        </w:rPr>
        <w:t>之錯誤率，證明</w:t>
      </w:r>
      <w:r>
        <w:rPr>
          <w:rFonts w:eastAsia="Noto Serif CJK TC"/>
        </w:rPr>
        <w:t xml:space="preserve"> RAG </w:t>
      </w:r>
      <w:r>
        <w:rPr>
          <w:rFonts w:eastAsia="Noto Serif CJK TC"/>
        </w:rPr>
        <w:t>架構「降低」而非「消除」幻覺風險，凸顯本研究主張</w:t>
      </w:r>
      <w:proofErr w:type="gramStart"/>
      <w:r>
        <w:rPr>
          <w:rFonts w:eastAsia="Noto Serif CJK TC"/>
        </w:rPr>
        <w:t>切片級歸</w:t>
      </w:r>
      <w:proofErr w:type="gramEnd"/>
      <w:r>
        <w:rPr>
          <w:rFonts w:eastAsia="Noto Serif CJK TC"/>
        </w:rPr>
        <w:t>因與信心度門檻（見第四章）之必要性。惟須誠實說明：上述</w:t>
      </w:r>
      <w:proofErr w:type="gramStart"/>
      <w:r>
        <w:rPr>
          <w:rFonts w:eastAsia="Noto Serif CJK TC"/>
        </w:rPr>
        <w:t>數據均取自</w:t>
      </w:r>
      <w:proofErr w:type="gramEnd"/>
      <w:r>
        <w:rPr>
          <w:rFonts w:eastAsia="Noto Serif CJK TC"/>
        </w:rPr>
        <w:t>美國法律研究領域，該領域之查詢多涉及案例援引與精確法條比對，對事實準確度之要求可能高於一般行政輔助用途（如公文格式整理、會議紀錄摘要）；不同應用領域之幻覺率是否存在顯著差異，以及我國公部門實際導入場景之本土數據，</w:t>
      </w:r>
      <w:proofErr w:type="gramStart"/>
      <w:r>
        <w:rPr>
          <w:rFonts w:eastAsia="Noto Serif CJK TC"/>
        </w:rPr>
        <w:t>目前均付之</w:t>
      </w:r>
      <w:proofErr w:type="gramEnd"/>
      <w:r>
        <w:rPr>
          <w:rFonts w:eastAsia="Noto Serif CJK TC"/>
        </w:rPr>
        <w:t>闕如，此為本研究方法限制之一（詳見</w:t>
      </w:r>
      <w:r>
        <w:rPr>
          <w:rFonts w:eastAsia="Noto Serif CJK TC"/>
        </w:rPr>
        <w:t xml:space="preserve"> 1.3 </w:t>
      </w:r>
      <w:r>
        <w:rPr>
          <w:rFonts w:eastAsia="Noto Serif CJK TC"/>
        </w:rPr>
        <w:t>節），亦為後續實證研究之重要方向。</w:t>
      </w:r>
    </w:p>
    <w:p w:rsidR="008D60E2" w:rsidRDefault="00A13A70">
      <w:pPr>
        <w:spacing w:after="200" w:line="360" w:lineRule="auto"/>
        <w:ind w:left="480" w:hanging="480"/>
        <w:jc w:val="both"/>
      </w:pPr>
      <w:r>
        <w:rPr>
          <w:rFonts w:eastAsia="Noto Serif CJK TC"/>
          <w:b/>
          <w:bCs/>
        </w:rPr>
        <w:t xml:space="preserve">3. </w:t>
      </w:r>
      <w:r>
        <w:rPr>
          <w:rFonts w:eastAsia="Noto Serif CJK TC"/>
          <w:b/>
          <w:bCs/>
        </w:rPr>
        <w:t>知識</w:t>
      </w:r>
      <w:proofErr w:type="gramStart"/>
      <w:r>
        <w:rPr>
          <w:rFonts w:eastAsia="Noto Serif CJK TC"/>
          <w:b/>
          <w:bCs/>
        </w:rPr>
        <w:t>檢索層黑盒</w:t>
      </w:r>
      <w:proofErr w:type="gramEnd"/>
      <w:r>
        <w:rPr>
          <w:rFonts w:eastAsia="Noto Serif CJK TC"/>
          <w:b/>
          <w:bCs/>
        </w:rPr>
        <w:t>（</w:t>
      </w:r>
      <w:r>
        <w:rPr>
          <w:rFonts w:eastAsia="Noto Serif CJK TC"/>
          <w:b/>
          <w:bCs/>
        </w:rPr>
        <w:t>RAG Black-Box</w:t>
      </w:r>
      <w:r>
        <w:rPr>
          <w:rFonts w:eastAsia="Noto Serif CJK TC"/>
          <w:b/>
          <w:bCs/>
        </w:rPr>
        <w:t>）：</w:t>
      </w:r>
      <w:r>
        <w:rPr>
          <w:rFonts w:eastAsia="Noto Serif CJK TC"/>
        </w:rPr>
        <w:t xml:space="preserve">RAG </w:t>
      </w:r>
      <w:r>
        <w:rPr>
          <w:rFonts w:eastAsia="Noto Serif CJK TC"/>
        </w:rPr>
        <w:t>管道中的</w:t>
      </w:r>
      <w:r>
        <w:rPr>
          <w:rFonts w:eastAsia="Noto Serif CJK TC"/>
        </w:rPr>
        <w:t xml:space="preserve"> Chunking </w:t>
      </w:r>
      <w:r>
        <w:rPr>
          <w:rFonts w:eastAsia="Noto Serif CJK TC"/>
        </w:rPr>
        <w:t>切片、</w:t>
      </w:r>
      <w:r>
        <w:rPr>
          <w:rFonts w:eastAsia="Noto Serif CJK TC"/>
        </w:rPr>
        <w:t xml:space="preserve">Embedding </w:t>
      </w:r>
      <w:r>
        <w:rPr>
          <w:rFonts w:eastAsia="Noto Serif CJK TC"/>
        </w:rPr>
        <w:t>向量化與</w:t>
      </w:r>
      <w:r>
        <w:rPr>
          <w:rFonts w:eastAsia="Noto Serif CJK TC"/>
        </w:rPr>
        <w:t xml:space="preserve"> Top-K </w:t>
      </w:r>
      <w:r>
        <w:rPr>
          <w:rFonts w:eastAsia="Noto Serif CJK TC"/>
        </w:rPr>
        <w:t>重排序，建立了「二次遮蔽」技術密室。去脈絡化的法條切片割裂了法律規範的原始整體意旨與體系解釋。</w:t>
      </w:r>
    </w:p>
    <w:p w:rsidR="008D60E2" w:rsidRDefault="00A13A70">
      <w:pPr>
        <w:spacing w:after="200" w:line="360" w:lineRule="auto"/>
        <w:ind w:left="480" w:hanging="480"/>
        <w:jc w:val="both"/>
      </w:pPr>
      <w:r>
        <w:rPr>
          <w:rFonts w:eastAsia="Noto Serif CJK TC"/>
          <w:b/>
          <w:bCs/>
        </w:rPr>
        <w:t xml:space="preserve">4. </w:t>
      </w:r>
      <w:r>
        <w:rPr>
          <w:rFonts w:eastAsia="Noto Serif CJK TC"/>
          <w:b/>
          <w:bCs/>
        </w:rPr>
        <w:t>組織認知層盲從（</w:t>
      </w:r>
      <w:r>
        <w:rPr>
          <w:rFonts w:eastAsia="Noto Serif CJK TC"/>
          <w:b/>
          <w:bCs/>
        </w:rPr>
        <w:t>Automation Bias &amp; Responsibility Evaporation</w:t>
      </w:r>
      <w:r>
        <w:rPr>
          <w:rFonts w:eastAsia="Noto Serif CJK TC"/>
          <w:b/>
          <w:bCs/>
        </w:rPr>
        <w:t>）：</w:t>
      </w:r>
      <w:proofErr w:type="gramStart"/>
      <w:r>
        <w:rPr>
          <w:rFonts w:eastAsia="Noto Serif CJK TC"/>
        </w:rPr>
        <w:t>自動化偏誤</w:t>
      </w:r>
      <w:proofErr w:type="gramEnd"/>
      <w:r>
        <w:rPr>
          <w:rFonts w:eastAsia="Noto Serif CJK TC"/>
        </w:rPr>
        <w:t>（</w:t>
      </w:r>
      <w:r>
        <w:rPr>
          <w:rFonts w:eastAsia="Noto Serif CJK TC"/>
        </w:rPr>
        <w:t>Automation Bias</w:t>
      </w:r>
      <w:r>
        <w:rPr>
          <w:rFonts w:eastAsia="Noto Serif CJK TC"/>
        </w:rPr>
        <w:t>）誘發基層文官對系統產出產生心理盲從。組織內部最終形成「廠商免責</w:t>
      </w:r>
      <w:r>
        <w:rPr>
          <w:rFonts w:eastAsia="Noto Serif CJK TC"/>
        </w:rPr>
        <w:t xml:space="preserve"> → </w:t>
      </w:r>
      <w:r>
        <w:rPr>
          <w:rFonts w:eastAsia="Noto Serif CJK TC"/>
        </w:rPr>
        <w:t>首長交辦</w:t>
      </w:r>
      <w:r>
        <w:rPr>
          <w:rFonts w:eastAsia="Noto Serif CJK TC"/>
        </w:rPr>
        <w:t xml:space="preserve"> → </w:t>
      </w:r>
      <w:r>
        <w:rPr>
          <w:rFonts w:eastAsia="Noto Serif CJK TC"/>
        </w:rPr>
        <w:t>基層盲從」的責任蒸發鏈，</w:t>
      </w:r>
      <w:proofErr w:type="gramStart"/>
      <w:r>
        <w:rPr>
          <w:rFonts w:eastAsia="Noto Serif CJK TC"/>
        </w:rPr>
        <w:t>使問責機制</w:t>
      </w:r>
      <w:proofErr w:type="gramEnd"/>
      <w:r>
        <w:rPr>
          <w:rFonts w:eastAsia="Noto Serif CJK TC"/>
        </w:rPr>
        <w:t>全面失靈。</w:t>
      </w:r>
    </w:p>
    <w:p w:rsidR="008D60E2" w:rsidRDefault="00A13A70">
      <w:pPr>
        <w:pStyle w:val="1"/>
        <w:pageBreakBefore/>
      </w:pPr>
      <w:bookmarkStart w:id="9" w:name="_Toc238090772"/>
      <w:r>
        <w:lastRenderedPageBreak/>
        <w:t>第四章　核心解方：最低實質控制能力（</w:t>
      </w:r>
      <w:r>
        <w:t>MSCC</w:t>
      </w:r>
      <w:r>
        <w:t>）與落地矩陣</w:t>
      </w:r>
      <w:bookmarkEnd w:id="9"/>
    </w:p>
    <w:p w:rsidR="008D60E2" w:rsidRDefault="00A13A70">
      <w:pPr>
        <w:pStyle w:val="2"/>
        <w:spacing w:before="300"/>
      </w:pPr>
      <w:bookmarkStart w:id="10" w:name="_Toc238090773"/>
      <w:r>
        <w:t>4.1</w:t>
      </w:r>
      <w:r>
        <w:t xml:space="preserve">　最低實質控制能力（</w:t>
      </w:r>
      <w:r>
        <w:t>MSCC</w:t>
      </w:r>
      <w:r>
        <w:t>）四大維度</w:t>
      </w:r>
      <w:bookmarkEnd w:id="10"/>
    </w:p>
    <w:p w:rsidR="008D60E2" w:rsidRDefault="00A13A70">
      <w:pPr>
        <w:spacing w:after="200" w:line="360" w:lineRule="auto"/>
        <w:jc w:val="both"/>
      </w:pPr>
      <w:r>
        <w:rPr>
          <w:rFonts w:eastAsia="Noto Serif CJK TC"/>
        </w:rPr>
        <w:t>為奪回國家行政的技術主權，本研究提出「最低實質控制能力」（</w:t>
      </w:r>
      <w:r>
        <w:rPr>
          <w:rFonts w:eastAsia="Noto Serif CJK TC"/>
        </w:rPr>
        <w:t>Minimum Substantive Control Capability, MSCC</w:t>
      </w:r>
      <w:r>
        <w:rPr>
          <w:rFonts w:eastAsia="Noto Serif CJK TC"/>
        </w:rPr>
        <w:t>）作為公部門導入</w:t>
      </w:r>
      <w:r>
        <w:rPr>
          <w:rFonts w:eastAsia="Noto Serif CJK TC"/>
        </w:rPr>
        <w:t xml:space="preserve"> AI </w:t>
      </w:r>
      <w:proofErr w:type="gramStart"/>
      <w:r>
        <w:rPr>
          <w:rFonts w:eastAsia="Noto Serif CJK TC"/>
        </w:rPr>
        <w:t>之硬法核定</w:t>
      </w:r>
      <w:proofErr w:type="gramEnd"/>
      <w:r>
        <w:rPr>
          <w:rFonts w:eastAsia="Noto Serif CJK TC"/>
        </w:rPr>
        <w:t>標準。</w:t>
      </w:r>
      <w:r>
        <w:rPr>
          <w:rFonts w:eastAsia="Noto Serif CJK TC"/>
        </w:rPr>
        <w:t xml:space="preserve">MSCC </w:t>
      </w:r>
      <w:r>
        <w:rPr>
          <w:rFonts w:eastAsia="Noto Serif CJK TC"/>
        </w:rPr>
        <w:t>規定：國家機關在導入</w:t>
      </w:r>
      <w:r>
        <w:rPr>
          <w:rFonts w:eastAsia="Noto Serif CJK TC"/>
        </w:rPr>
        <w:t xml:space="preserve"> AI </w:t>
      </w:r>
      <w:r>
        <w:rPr>
          <w:rFonts w:eastAsia="Noto Serif CJK TC"/>
        </w:rPr>
        <w:t>時，不得讓渡實質心證；必須具備實質干預與全程追溯的最低能力。具體包含四大維度：</w:t>
      </w:r>
    </w:p>
    <w:p w:rsidR="008D60E2" w:rsidRDefault="00A13A70">
      <w:pPr>
        <w:spacing w:before="200" w:after="120"/>
        <w:jc w:val="center"/>
      </w:pPr>
      <w:r>
        <w:rPr>
          <w:rFonts w:eastAsia="Noto Serif CJK TC"/>
          <w:b/>
          <w:bCs/>
        </w:rPr>
        <w:t>表</w:t>
      </w:r>
      <w:r>
        <w:rPr>
          <w:rFonts w:eastAsia="Noto Serif CJK TC"/>
          <w:b/>
          <w:bCs/>
        </w:rPr>
        <w:t xml:space="preserve"> 4.1</w:t>
      </w:r>
      <w:r>
        <w:rPr>
          <w:rFonts w:eastAsia="Noto Serif CJK TC"/>
          <w:b/>
          <w:bCs/>
        </w:rPr>
        <w:t xml:space="preserve">　最低實質控制能力（</w:t>
      </w:r>
      <w:r>
        <w:rPr>
          <w:rFonts w:eastAsia="Noto Serif CJK TC"/>
          <w:b/>
          <w:bCs/>
        </w:rPr>
        <w:t>MSCC</w:t>
      </w:r>
      <w:r>
        <w:rPr>
          <w:rFonts w:eastAsia="Noto Serif CJK TC"/>
          <w:b/>
          <w:bCs/>
        </w:rPr>
        <w:t>）四大核心維度</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6400"/>
      </w:tblGrid>
      <w:tr w:rsidR="008D60E2">
        <w:trPr>
          <w:tblHeader/>
        </w:trPr>
        <w:tc>
          <w:tcPr>
            <w:tcW w:w="3238"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 xml:space="preserve">MSCC </w:t>
            </w:r>
            <w:r>
              <w:rPr>
                <w:rFonts w:eastAsia="Noto Serif CJK TC"/>
                <w:b/>
                <w:bCs/>
                <w:sz w:val="22"/>
                <w:szCs w:val="22"/>
              </w:rPr>
              <w:t>維度</w:t>
            </w:r>
          </w:p>
        </w:tc>
        <w:tc>
          <w:tcPr>
            <w:tcW w:w="6400" w:type="dxa"/>
            <w:shd w:val="clear" w:color="auto" w:fill="D9E2F3"/>
            <w:tcMar>
              <w:top w:w="100" w:type="dxa"/>
              <w:left w:w="120" w:type="dxa"/>
              <w:bottom w:w="100" w:type="dxa"/>
              <w:right w:w="120" w:type="dxa"/>
            </w:tcMar>
            <w:vAlign w:val="center"/>
          </w:tcPr>
          <w:p w:rsidR="008D60E2" w:rsidRDefault="00A13A70">
            <w:pPr>
              <w:spacing w:after="60" w:line="300" w:lineRule="auto"/>
            </w:pPr>
            <w:proofErr w:type="gramStart"/>
            <w:r>
              <w:rPr>
                <w:rFonts w:eastAsia="Noto Serif CJK TC"/>
                <w:b/>
                <w:bCs/>
                <w:sz w:val="22"/>
                <w:szCs w:val="22"/>
              </w:rPr>
              <w:t>硬法要求</w:t>
            </w:r>
            <w:proofErr w:type="gramEnd"/>
          </w:p>
        </w:tc>
      </w:tr>
      <w:tr w:rsidR="008D60E2">
        <w:tc>
          <w:tcPr>
            <w:tcW w:w="32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w:t>
            </w:r>
            <w:r>
              <w:rPr>
                <w:rFonts w:eastAsia="Noto Serif CJK TC"/>
                <w:sz w:val="22"/>
                <w:szCs w:val="22"/>
              </w:rPr>
              <w:t>資料履歷（</w:t>
            </w:r>
            <w:r>
              <w:rPr>
                <w:rFonts w:eastAsia="Noto Serif CJK TC"/>
                <w:sz w:val="22"/>
                <w:szCs w:val="22"/>
              </w:rPr>
              <w:t>Data Lineage &amp; ZDR</w:t>
            </w:r>
            <w:r>
              <w:rPr>
                <w:rFonts w:eastAsia="Noto Serif CJK TC"/>
                <w:sz w:val="22"/>
                <w:szCs w:val="22"/>
              </w:rPr>
              <w:t>）</w:t>
            </w:r>
          </w:p>
        </w:tc>
        <w:tc>
          <w:tcPr>
            <w:tcW w:w="6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向量來源完全可追溯，商業</w:t>
            </w:r>
            <w:r>
              <w:rPr>
                <w:rFonts w:eastAsia="Noto Serif CJK TC"/>
                <w:sz w:val="22"/>
                <w:szCs w:val="22"/>
              </w:rPr>
              <w:t xml:space="preserve"> API </w:t>
            </w:r>
            <w:r>
              <w:rPr>
                <w:rFonts w:eastAsia="Noto Serif CJK TC"/>
                <w:sz w:val="22"/>
                <w:szCs w:val="22"/>
              </w:rPr>
              <w:t>強制</w:t>
            </w:r>
            <w:r>
              <w:rPr>
                <w:rFonts w:eastAsia="Noto Serif CJK TC"/>
                <w:sz w:val="22"/>
                <w:szCs w:val="22"/>
              </w:rPr>
              <w:t xml:space="preserve"> ZDR</w:t>
            </w:r>
            <w:r>
              <w:rPr>
                <w:rFonts w:eastAsia="Noto Serif CJK TC"/>
                <w:sz w:val="22"/>
                <w:szCs w:val="22"/>
              </w:rPr>
              <w:t>，嚴禁機密／</w:t>
            </w:r>
            <w:proofErr w:type="gramStart"/>
            <w:r>
              <w:rPr>
                <w:rFonts w:eastAsia="Noto Serif CJK TC"/>
                <w:sz w:val="22"/>
                <w:szCs w:val="22"/>
              </w:rPr>
              <w:t>個</w:t>
            </w:r>
            <w:proofErr w:type="gramEnd"/>
            <w:r>
              <w:rPr>
                <w:rFonts w:eastAsia="Noto Serif CJK TC"/>
                <w:sz w:val="22"/>
                <w:szCs w:val="22"/>
              </w:rPr>
              <w:t>資用於二次訓練，保留完整資料處理履歷。</w:t>
            </w:r>
          </w:p>
        </w:tc>
      </w:tr>
      <w:tr w:rsidR="008D60E2">
        <w:tc>
          <w:tcPr>
            <w:tcW w:w="32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2. </w:t>
            </w:r>
            <w:r>
              <w:rPr>
                <w:rFonts w:eastAsia="Noto Serif CJK TC"/>
                <w:sz w:val="22"/>
                <w:szCs w:val="22"/>
              </w:rPr>
              <w:t>斷路可控（</w:t>
            </w:r>
            <w:r>
              <w:rPr>
                <w:rFonts w:eastAsia="Noto Serif CJK TC"/>
                <w:sz w:val="22"/>
                <w:szCs w:val="22"/>
              </w:rPr>
              <w:t>Kill-Switch Control</w:t>
            </w:r>
            <w:r>
              <w:rPr>
                <w:rFonts w:eastAsia="Noto Serif CJK TC"/>
                <w:sz w:val="22"/>
                <w:szCs w:val="22"/>
              </w:rPr>
              <w:t>）</w:t>
            </w:r>
          </w:p>
        </w:tc>
        <w:tc>
          <w:tcPr>
            <w:tcW w:w="6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機關掌握單向強制中斷權，依風險分級訂定中斷完成時限</w:t>
            </w:r>
            <w:proofErr w:type="gramStart"/>
            <w:r>
              <w:rPr>
                <w:rFonts w:eastAsia="Noto Serif CJK TC"/>
                <w:sz w:val="22"/>
                <w:szCs w:val="22"/>
              </w:rPr>
              <w:t>（</w:t>
            </w:r>
            <w:proofErr w:type="gramEnd"/>
            <w:r>
              <w:rPr>
                <w:rFonts w:eastAsia="Noto Serif CJK TC"/>
                <w:sz w:val="22"/>
                <w:szCs w:val="22"/>
              </w:rPr>
              <w:t>原則</w:t>
            </w:r>
            <w:r>
              <w:rPr>
                <w:rFonts w:eastAsia="Noto Serif CJK TC"/>
                <w:sz w:val="22"/>
                <w:szCs w:val="22"/>
              </w:rPr>
              <w:t xml:space="preserve"> 5 </w:t>
            </w:r>
            <w:r>
              <w:rPr>
                <w:rFonts w:eastAsia="Noto Serif CJK TC"/>
                <w:sz w:val="22"/>
                <w:szCs w:val="22"/>
              </w:rPr>
              <w:t>分鐘內；大型或跨系統整合之複雜架構，得依採購規劃階段所訂之合理展延上限處理</w:t>
            </w:r>
            <w:proofErr w:type="gramStart"/>
            <w:r>
              <w:rPr>
                <w:rFonts w:eastAsia="Noto Serif CJK TC"/>
                <w:sz w:val="22"/>
                <w:szCs w:val="22"/>
              </w:rPr>
              <w:t>）</w:t>
            </w:r>
            <w:proofErr w:type="gramEnd"/>
            <w:r>
              <w:rPr>
                <w:rFonts w:eastAsia="Noto Serif CJK TC"/>
                <w:sz w:val="22"/>
                <w:szCs w:val="22"/>
              </w:rPr>
              <w:t>，切換傳統</w:t>
            </w:r>
            <w:r>
              <w:rPr>
                <w:rFonts w:eastAsia="Noto Serif CJK TC"/>
                <w:sz w:val="22"/>
                <w:szCs w:val="22"/>
              </w:rPr>
              <w:t xml:space="preserve"> SOP </w:t>
            </w:r>
            <w:r>
              <w:rPr>
                <w:rFonts w:eastAsia="Noto Serif CJK TC"/>
                <w:sz w:val="22"/>
                <w:szCs w:val="22"/>
              </w:rPr>
              <w:t>備援，不負違約賠償。</w:t>
            </w:r>
          </w:p>
        </w:tc>
      </w:tr>
      <w:tr w:rsidR="008D60E2">
        <w:tc>
          <w:tcPr>
            <w:tcW w:w="32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3. </w:t>
            </w:r>
            <w:r>
              <w:rPr>
                <w:rFonts w:eastAsia="Noto Serif CJK TC"/>
                <w:sz w:val="22"/>
                <w:szCs w:val="22"/>
              </w:rPr>
              <w:t>語意歸因（</w:t>
            </w:r>
            <w:r>
              <w:rPr>
                <w:rFonts w:eastAsia="Noto Serif CJK TC"/>
                <w:sz w:val="22"/>
                <w:szCs w:val="22"/>
              </w:rPr>
              <w:t>Chunk-Level Attribution</w:t>
            </w:r>
            <w:r>
              <w:rPr>
                <w:rFonts w:eastAsia="Noto Serif CJK TC"/>
                <w:sz w:val="22"/>
                <w:szCs w:val="22"/>
              </w:rPr>
              <w:t>）</w:t>
            </w:r>
          </w:p>
        </w:tc>
        <w:tc>
          <w:tcPr>
            <w:tcW w:w="6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RAG </w:t>
            </w:r>
            <w:r>
              <w:rPr>
                <w:rFonts w:eastAsia="Noto Serif CJK TC"/>
                <w:sz w:val="22"/>
                <w:szCs w:val="22"/>
              </w:rPr>
              <w:t>產出須達切片</w:t>
            </w:r>
            <w:proofErr w:type="gramStart"/>
            <w:r>
              <w:rPr>
                <w:rFonts w:eastAsia="Noto Serif CJK TC"/>
                <w:sz w:val="22"/>
                <w:szCs w:val="22"/>
              </w:rPr>
              <w:t>級強歸因</w:t>
            </w:r>
            <w:proofErr w:type="gramEnd"/>
            <w:r>
              <w:rPr>
                <w:rFonts w:eastAsia="Noto Serif CJK TC"/>
                <w:sz w:val="22"/>
                <w:szCs w:val="22"/>
              </w:rPr>
              <w:t>，顯示法條出處、信心度分數，低於門檻強制觸發人工警示與阻斷。</w:t>
            </w:r>
          </w:p>
        </w:tc>
      </w:tr>
      <w:tr w:rsidR="008D60E2">
        <w:tc>
          <w:tcPr>
            <w:tcW w:w="32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4. </w:t>
            </w:r>
            <w:r>
              <w:rPr>
                <w:rFonts w:eastAsia="Noto Serif CJK TC"/>
                <w:sz w:val="22"/>
                <w:szCs w:val="22"/>
              </w:rPr>
              <w:t>責任鏈結（</w:t>
            </w:r>
            <w:r>
              <w:rPr>
                <w:rFonts w:eastAsia="Noto Serif CJK TC"/>
                <w:sz w:val="22"/>
                <w:szCs w:val="22"/>
              </w:rPr>
              <w:t>Immutable Log Chain</w:t>
            </w:r>
            <w:r>
              <w:rPr>
                <w:rFonts w:eastAsia="Noto Serif CJK TC"/>
                <w:sz w:val="22"/>
                <w:szCs w:val="22"/>
              </w:rPr>
              <w:t>）</w:t>
            </w:r>
          </w:p>
        </w:tc>
        <w:tc>
          <w:tcPr>
            <w:tcW w:w="6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實施</w:t>
            </w:r>
            <w:r>
              <w:rPr>
                <w:rFonts w:eastAsia="Noto Serif CJK TC"/>
                <w:sz w:val="22"/>
                <w:szCs w:val="22"/>
              </w:rPr>
              <w:t xml:space="preserve"> </w:t>
            </w:r>
            <w:proofErr w:type="spellStart"/>
            <w:r>
              <w:rPr>
                <w:rFonts w:eastAsia="Noto Serif CJK TC"/>
                <w:sz w:val="22"/>
                <w:szCs w:val="22"/>
              </w:rPr>
              <w:t>Prompt→RAG</w:t>
            </w:r>
            <w:proofErr w:type="spellEnd"/>
            <w:r>
              <w:rPr>
                <w:rFonts w:eastAsia="Noto Serif CJK TC"/>
                <w:sz w:val="22"/>
                <w:szCs w:val="22"/>
              </w:rPr>
              <w:t xml:space="preserve"> </w:t>
            </w:r>
            <w:r>
              <w:rPr>
                <w:rFonts w:eastAsia="Noto Serif CJK TC"/>
                <w:sz w:val="22"/>
                <w:szCs w:val="22"/>
              </w:rPr>
              <w:t>檢索</w:t>
            </w:r>
            <w:r>
              <w:rPr>
                <w:rFonts w:eastAsia="Noto Serif CJK TC"/>
                <w:sz w:val="22"/>
                <w:szCs w:val="22"/>
              </w:rPr>
              <w:t>→</w:t>
            </w:r>
            <w:r>
              <w:rPr>
                <w:rFonts w:eastAsia="Noto Serif CJK TC"/>
                <w:sz w:val="22"/>
                <w:szCs w:val="22"/>
              </w:rPr>
              <w:t>生成</w:t>
            </w:r>
            <w:r>
              <w:rPr>
                <w:rFonts w:eastAsia="Noto Serif CJK TC"/>
                <w:sz w:val="22"/>
                <w:szCs w:val="22"/>
              </w:rPr>
              <w:t>→</w:t>
            </w:r>
            <w:r>
              <w:rPr>
                <w:rFonts w:eastAsia="Noto Serif CJK TC"/>
                <w:sz w:val="22"/>
                <w:szCs w:val="22"/>
              </w:rPr>
              <w:t>人工審查</w:t>
            </w:r>
            <w:r>
              <w:rPr>
                <w:rFonts w:eastAsia="Noto Serif CJK TC"/>
                <w:sz w:val="22"/>
                <w:szCs w:val="22"/>
              </w:rPr>
              <w:t>→</w:t>
            </w:r>
            <w:r>
              <w:rPr>
                <w:rFonts w:eastAsia="Noto Serif CJK TC"/>
                <w:sz w:val="22"/>
                <w:szCs w:val="22"/>
              </w:rPr>
              <w:t>核章</w:t>
            </w:r>
            <w:r>
              <w:rPr>
                <w:rFonts w:eastAsia="Noto Serif CJK TC"/>
                <w:sz w:val="22"/>
                <w:szCs w:val="22"/>
              </w:rPr>
              <w:t xml:space="preserve"> </w:t>
            </w:r>
            <w:r>
              <w:rPr>
                <w:rFonts w:eastAsia="Noto Serif CJK TC"/>
                <w:sz w:val="22"/>
                <w:szCs w:val="22"/>
              </w:rPr>
              <w:t>全歷程不可竄改</w:t>
            </w:r>
            <w:r>
              <w:rPr>
                <w:rFonts w:eastAsia="Noto Serif CJK TC"/>
                <w:sz w:val="22"/>
                <w:szCs w:val="22"/>
              </w:rPr>
              <w:t xml:space="preserve"> Log</w:t>
            </w:r>
            <w:r>
              <w:rPr>
                <w:rFonts w:eastAsia="Noto Serif CJK TC"/>
                <w:sz w:val="22"/>
                <w:szCs w:val="22"/>
              </w:rPr>
              <w:t>，作為司法審查依據。</w:t>
            </w:r>
          </w:p>
        </w:tc>
      </w:tr>
    </w:tbl>
    <w:p w:rsidR="008D60E2" w:rsidRDefault="00A13A70">
      <w:pPr>
        <w:spacing w:after="200" w:line="360" w:lineRule="auto"/>
        <w:jc w:val="both"/>
      </w:pPr>
      <w:r>
        <w:rPr>
          <w:rFonts w:eastAsia="Noto Serif CJK TC"/>
        </w:rPr>
        <w:t>值得說明的是，</w:t>
      </w:r>
      <w:r>
        <w:rPr>
          <w:rFonts w:eastAsia="Noto Serif CJK TC"/>
        </w:rPr>
        <w:t xml:space="preserve">MSCC </w:t>
      </w:r>
      <w:r>
        <w:rPr>
          <w:rFonts w:eastAsia="Noto Serif CJK TC"/>
        </w:rPr>
        <w:t>四大維度並非憑空創設：其精神與美國</w:t>
      </w:r>
      <w:r>
        <w:rPr>
          <w:rFonts w:eastAsia="Noto Serif CJK TC"/>
        </w:rPr>
        <w:t xml:space="preserve"> NIST </w:t>
      </w:r>
      <w:r>
        <w:rPr>
          <w:rFonts w:eastAsia="Noto Serif CJK TC"/>
        </w:rPr>
        <w:t>於</w:t>
      </w:r>
      <w:r>
        <w:rPr>
          <w:rFonts w:eastAsia="Noto Serif CJK TC"/>
        </w:rPr>
        <w:t xml:space="preserve"> 2024 </w:t>
      </w:r>
      <w:r>
        <w:rPr>
          <w:rFonts w:eastAsia="Noto Serif CJK TC"/>
        </w:rPr>
        <w:t>年發布之</w:t>
      </w:r>
      <w:proofErr w:type="gramStart"/>
      <w:r>
        <w:rPr>
          <w:rFonts w:eastAsia="Noto Serif CJK TC"/>
        </w:rPr>
        <w:t>《</w:t>
      </w:r>
      <w:proofErr w:type="gramEnd"/>
      <w:r>
        <w:rPr>
          <w:rFonts w:eastAsia="Noto Serif CJK TC"/>
        </w:rPr>
        <w:t xml:space="preserve">AI </w:t>
      </w:r>
      <w:r>
        <w:rPr>
          <w:rFonts w:eastAsia="Noto Serif CJK TC"/>
        </w:rPr>
        <w:t>風險管理框架：生成式</w:t>
      </w:r>
      <w:r>
        <w:rPr>
          <w:rFonts w:eastAsia="Noto Serif CJK TC"/>
        </w:rPr>
        <w:t xml:space="preserve"> AI </w:t>
      </w:r>
      <w:r>
        <w:rPr>
          <w:rFonts w:eastAsia="Noto Serif CJK TC"/>
        </w:rPr>
        <w:t>專屬指引</w:t>
      </w:r>
      <w:proofErr w:type="gramStart"/>
      <w:r>
        <w:rPr>
          <w:rFonts w:eastAsia="Noto Serif CJK TC"/>
        </w:rPr>
        <w:t>》</w:t>
      </w:r>
      <w:proofErr w:type="gramEnd"/>
      <w:r>
        <w:rPr>
          <w:rFonts w:eastAsia="Noto Serif CJK TC"/>
        </w:rPr>
        <w:t>（</w:t>
      </w:r>
      <w:r>
        <w:rPr>
          <w:rFonts w:eastAsia="Noto Serif CJK TC"/>
        </w:rPr>
        <w:t>NIST AI 600-1</w:t>
      </w:r>
      <w:r>
        <w:rPr>
          <w:rFonts w:eastAsia="Noto Serif CJK TC"/>
        </w:rPr>
        <w:t>）所列之資料治理、內容溯源與事件揭露要求相互呼應（</w:t>
      </w:r>
      <w:r>
        <w:rPr>
          <w:rFonts w:eastAsia="Noto Serif CJK TC"/>
        </w:rPr>
        <w:t>NIST, 2024</w:t>
      </w:r>
      <w:r>
        <w:rPr>
          <w:rFonts w:eastAsia="Noto Serif CJK TC"/>
        </w:rPr>
        <w:t>），亦與歐盟《人工智慧法》（</w:t>
      </w:r>
      <w:r>
        <w:rPr>
          <w:rFonts w:eastAsia="Noto Serif CJK TC"/>
        </w:rPr>
        <w:t>Regulation (EU) 2024/1689</w:t>
      </w:r>
      <w:r>
        <w:rPr>
          <w:rFonts w:eastAsia="Noto Serif CJK TC"/>
        </w:rPr>
        <w:t>）對高風險</w:t>
      </w:r>
      <w:r>
        <w:rPr>
          <w:rFonts w:eastAsia="Noto Serif CJK TC"/>
        </w:rPr>
        <w:t xml:space="preserve"> AI </w:t>
      </w:r>
      <w:r>
        <w:rPr>
          <w:rFonts w:eastAsia="Noto Serif CJK TC"/>
        </w:rPr>
        <w:t>系統課予之資料治理、人為監督與紀錄留存義務具有高度可比較性（</w:t>
      </w:r>
      <w:r>
        <w:rPr>
          <w:rFonts w:eastAsia="Noto Serif CJK TC"/>
        </w:rPr>
        <w:t>European Union, 2024</w:t>
      </w:r>
      <w:r>
        <w:rPr>
          <w:rFonts w:eastAsia="Noto Serif CJK TC"/>
        </w:rPr>
        <w:t>）。惟</w:t>
      </w:r>
      <w:r>
        <w:rPr>
          <w:rFonts w:eastAsia="Noto Serif CJK TC"/>
        </w:rPr>
        <w:t xml:space="preserve"> NIST </w:t>
      </w:r>
      <w:r>
        <w:rPr>
          <w:rFonts w:eastAsia="Noto Serif CJK TC"/>
        </w:rPr>
        <w:t>框架與歐盟</w:t>
      </w:r>
      <w:proofErr w:type="gramStart"/>
      <w:r>
        <w:rPr>
          <w:rFonts w:eastAsia="Noto Serif CJK TC"/>
        </w:rPr>
        <w:t>立法均屬</w:t>
      </w:r>
      <w:proofErr w:type="gramEnd"/>
      <w:r>
        <w:rPr>
          <w:rFonts w:eastAsia="Noto Serif CJK TC"/>
        </w:rPr>
        <w:t>「風險管理指引」或「合規框架」層次，尚未如本研究之</w:t>
      </w:r>
      <w:r>
        <w:rPr>
          <w:rFonts w:eastAsia="Noto Serif CJK TC"/>
        </w:rPr>
        <w:t xml:space="preserve"> MSCC </w:t>
      </w:r>
      <w:r>
        <w:rPr>
          <w:rFonts w:eastAsia="Noto Serif CJK TC"/>
        </w:rPr>
        <w:t>般，具體轉譯為可直接置入政府採購契約之硬性條款，此正是本研究得以在既有國際框架基礎上進一步深化之處。</w:t>
      </w:r>
    </w:p>
    <w:p w:rsidR="008D60E2" w:rsidRDefault="00A13A70">
      <w:pPr>
        <w:pStyle w:val="2"/>
        <w:spacing w:before="300"/>
      </w:pPr>
      <w:bookmarkStart w:id="11" w:name="_Toc238090774"/>
      <w:r>
        <w:t>4.2</w:t>
      </w:r>
      <w:r>
        <w:t xml:space="preserve">　法定授權與三機關落地工具矩陣</w:t>
      </w:r>
      <w:bookmarkEnd w:id="11"/>
    </w:p>
    <w:p w:rsidR="008D60E2" w:rsidRDefault="00A13A70">
      <w:pPr>
        <w:spacing w:after="200" w:line="360" w:lineRule="auto"/>
        <w:jc w:val="both"/>
      </w:pPr>
      <w:r>
        <w:rPr>
          <w:rFonts w:eastAsia="Noto Serif CJK TC"/>
        </w:rPr>
        <w:t>依《人工智慧基本法》規定，國家科學及技術委員會（</w:t>
      </w:r>
      <w:r>
        <w:rPr>
          <w:rFonts w:eastAsia="Noto Serif CJK TC"/>
        </w:rPr>
        <w:t>NSTC</w:t>
      </w:r>
      <w:r>
        <w:rPr>
          <w:rFonts w:eastAsia="Noto Serif CJK TC"/>
        </w:rPr>
        <w:t>）為本法之中央主管機關，負</w:t>
      </w:r>
      <w:r>
        <w:rPr>
          <w:rFonts w:eastAsia="Noto Serif CJK TC"/>
        </w:rPr>
        <w:lastRenderedPageBreak/>
        <w:t>責國家人工智慧戰略特別委員會幕僚作業並統籌跨部會</w:t>
      </w:r>
      <w:r>
        <w:rPr>
          <w:rFonts w:eastAsia="Noto Serif CJK TC"/>
        </w:rPr>
        <w:t xml:space="preserve"> AI </w:t>
      </w:r>
      <w:r>
        <w:rPr>
          <w:rFonts w:eastAsia="Noto Serif CJK TC"/>
        </w:rPr>
        <w:t>治理方向；數位</w:t>
      </w:r>
      <w:proofErr w:type="gramStart"/>
      <w:r>
        <w:rPr>
          <w:rFonts w:eastAsia="Noto Serif CJK TC"/>
        </w:rPr>
        <w:t>發展部則依法</w:t>
      </w:r>
      <w:proofErr w:type="gramEnd"/>
      <w:r>
        <w:rPr>
          <w:rFonts w:eastAsia="Noto Serif CJK TC"/>
        </w:rPr>
        <w:t>負責訂定風險分類框架、提供評估驗證工具，以協助各目的事業主管機關認定高風險應用並推動資料治理機制。本研究主張，數位發展部後續訂定之政府採購</w:t>
      </w:r>
      <w:r>
        <w:rPr>
          <w:rFonts w:eastAsia="Noto Serif CJK TC"/>
        </w:rPr>
        <w:t xml:space="preserve"> AI </w:t>
      </w:r>
      <w:r>
        <w:rPr>
          <w:rFonts w:eastAsia="Noto Serif CJK TC"/>
        </w:rPr>
        <w:t>契約標準範本（詳見附錄二工具包一），應立基於此一法定風險分類框架之授權範圍內制定，而非逾越母法授權、自行創設之行政規則，以避免重蹈本研究第二章所述「業主邊界」之覆轍</w:t>
      </w:r>
      <w:proofErr w:type="gramStart"/>
      <w:r>
        <w:rPr>
          <w:rFonts w:eastAsia="Noto Serif CJK TC"/>
        </w:rPr>
        <w:t>—</w:t>
      </w:r>
      <w:proofErr w:type="gramEnd"/>
      <w:r>
        <w:rPr>
          <w:rFonts w:eastAsia="Noto Serif CJK TC"/>
        </w:rPr>
        <w:t>—</w:t>
      </w:r>
      <w:r>
        <w:rPr>
          <w:rFonts w:eastAsia="Noto Serif CJK TC"/>
        </w:rPr>
        <w:t>亦即讓</w:t>
      </w:r>
      <w:r>
        <w:rPr>
          <w:rFonts w:eastAsia="Noto Serif CJK TC"/>
        </w:rPr>
        <w:t xml:space="preserve"> MSCC </w:t>
      </w:r>
      <w:r>
        <w:rPr>
          <w:rFonts w:eastAsia="Noto Serif CJK TC"/>
        </w:rPr>
        <w:t>硬指標同樣淪為僅具宣示效力、無強制力</w:t>
      </w:r>
      <w:proofErr w:type="gramStart"/>
      <w:r>
        <w:rPr>
          <w:rFonts w:eastAsia="Noto Serif CJK TC"/>
        </w:rPr>
        <w:t>之軟</w:t>
      </w:r>
      <w:proofErr w:type="gramEnd"/>
      <w:r>
        <w:rPr>
          <w:rFonts w:eastAsia="Noto Serif CJK TC"/>
        </w:rPr>
        <w:t>法。</w:t>
      </w:r>
    </w:p>
    <w:p w:rsidR="008D60E2" w:rsidRDefault="00A13A70">
      <w:pPr>
        <w:spacing w:after="200" w:line="360" w:lineRule="auto"/>
        <w:jc w:val="both"/>
      </w:pPr>
      <w:r>
        <w:rPr>
          <w:rFonts w:eastAsia="Noto Serif CJK TC"/>
        </w:rPr>
        <w:t>在此法定授權基礎之上，為使</w:t>
      </w:r>
      <w:r>
        <w:rPr>
          <w:rFonts w:eastAsia="Noto Serif CJK TC"/>
        </w:rPr>
        <w:t xml:space="preserve"> MSCC </w:t>
      </w:r>
      <w:r>
        <w:rPr>
          <w:rFonts w:eastAsia="Noto Serif CJK TC"/>
        </w:rPr>
        <w:t>從理論標準轉化為可執行之制度工具，本研究進一步建構「三機關落地工具矩陣」，由數位發展部、國家</w:t>
      </w:r>
      <w:proofErr w:type="gramStart"/>
      <w:r>
        <w:rPr>
          <w:rFonts w:eastAsia="Noto Serif CJK TC"/>
        </w:rPr>
        <w:t>審計部與行政法院</w:t>
      </w:r>
      <w:proofErr w:type="gramEnd"/>
      <w:r>
        <w:rPr>
          <w:rFonts w:eastAsia="Noto Serif CJK TC"/>
        </w:rPr>
        <w:t>／訴願會分別負責採購前端、事中稽核與事後救濟：</w:t>
      </w:r>
    </w:p>
    <w:p w:rsidR="008D60E2" w:rsidRDefault="00A13A70">
      <w:pPr>
        <w:spacing w:before="200" w:after="120"/>
        <w:jc w:val="center"/>
      </w:pPr>
      <w:r>
        <w:rPr>
          <w:rFonts w:eastAsia="Noto Serif CJK TC"/>
          <w:b/>
          <w:bCs/>
        </w:rPr>
        <w:t>表</w:t>
      </w:r>
      <w:r>
        <w:rPr>
          <w:rFonts w:eastAsia="Noto Serif CJK TC"/>
          <w:b/>
          <w:bCs/>
        </w:rPr>
        <w:t xml:space="preserve"> 4.2</w:t>
      </w:r>
      <w:r>
        <w:rPr>
          <w:rFonts w:eastAsia="Noto Serif CJK TC"/>
          <w:b/>
          <w:bCs/>
        </w:rPr>
        <w:t xml:space="preserve">　法定授權與三機關落地工具矩陣（</w:t>
      </w:r>
      <w:r>
        <w:rPr>
          <w:rFonts w:eastAsia="Noto Serif CJK TC"/>
          <w:b/>
          <w:bCs/>
        </w:rPr>
        <w:t>Statutory Authority &amp; Tri-Agency Implementation Matrix</w:t>
      </w:r>
      <w:r>
        <w:rPr>
          <w:rFonts w:eastAsia="Noto Serif CJK TC"/>
          <w:b/>
          <w:bCs/>
        </w:rP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800"/>
        <w:gridCol w:w="4638"/>
      </w:tblGrid>
      <w:tr w:rsidR="008D60E2">
        <w:trPr>
          <w:tblHeader/>
        </w:trPr>
        <w:tc>
          <w:tcPr>
            <w:tcW w:w="22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主管機關</w:t>
            </w:r>
          </w:p>
        </w:tc>
        <w:tc>
          <w:tcPr>
            <w:tcW w:w="28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落地工具名稱</w:t>
            </w:r>
          </w:p>
        </w:tc>
        <w:tc>
          <w:tcPr>
            <w:tcW w:w="4638"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核心實施機制與法律／技術要求</w:t>
            </w:r>
          </w:p>
        </w:tc>
      </w:tr>
      <w:tr w:rsidR="008D60E2">
        <w:tc>
          <w:tcPr>
            <w:tcW w:w="22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國家科學及技術委員會（</w:t>
            </w:r>
            <w:r>
              <w:rPr>
                <w:rFonts w:eastAsia="Noto Serif CJK TC"/>
                <w:sz w:val="22"/>
                <w:szCs w:val="22"/>
              </w:rPr>
              <w:t>NSTC</w:t>
            </w:r>
            <w:r>
              <w:rPr>
                <w:rFonts w:eastAsia="Noto Serif CJK TC"/>
                <w:sz w:val="22"/>
                <w:szCs w:val="22"/>
              </w:rPr>
              <w:t>，法定主管機關）</w:t>
            </w:r>
          </w:p>
        </w:tc>
        <w:tc>
          <w:tcPr>
            <w:tcW w:w="2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國家</w:t>
            </w:r>
            <w:r>
              <w:rPr>
                <w:rFonts w:eastAsia="Noto Serif CJK TC"/>
                <w:sz w:val="22"/>
                <w:szCs w:val="22"/>
              </w:rPr>
              <w:t xml:space="preserve"> AI </w:t>
            </w:r>
            <w:r>
              <w:rPr>
                <w:rFonts w:eastAsia="Noto Serif CJK TC"/>
                <w:sz w:val="22"/>
                <w:szCs w:val="22"/>
              </w:rPr>
              <w:t>戰略特別委員會幕僚協調與風險分類框架授權確認</w:t>
            </w:r>
          </w:p>
        </w:tc>
        <w:tc>
          <w:tcPr>
            <w:tcW w:w="46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w:t>
            </w:r>
            <w:r>
              <w:rPr>
                <w:rFonts w:eastAsia="Noto Serif CJK TC"/>
                <w:sz w:val="22"/>
                <w:szCs w:val="22"/>
              </w:rPr>
              <w:t>依《人工智慧基本法》擔任中央主管機關，統籌國家人工智慧戰略特別委員會幕僚作業與跨部會</w:t>
            </w:r>
            <w:r>
              <w:rPr>
                <w:rFonts w:eastAsia="Noto Serif CJK TC"/>
                <w:sz w:val="22"/>
                <w:szCs w:val="22"/>
              </w:rPr>
              <w:t xml:space="preserve"> AI </w:t>
            </w:r>
            <w:r>
              <w:rPr>
                <w:rFonts w:eastAsia="Noto Serif CJK TC"/>
                <w:sz w:val="22"/>
                <w:szCs w:val="22"/>
              </w:rPr>
              <w:t>治理方向。</w:t>
            </w:r>
            <w:r>
              <w:rPr>
                <w:rFonts w:eastAsia="Noto Serif CJK TC"/>
                <w:sz w:val="22"/>
                <w:szCs w:val="22"/>
              </w:rPr>
              <w:t xml:space="preserve"> 2. </w:t>
            </w:r>
            <w:r>
              <w:rPr>
                <w:rFonts w:eastAsia="Noto Serif CJK TC"/>
                <w:sz w:val="22"/>
                <w:szCs w:val="22"/>
              </w:rPr>
              <w:t>確認數位</w:t>
            </w:r>
            <w:proofErr w:type="gramStart"/>
            <w:r>
              <w:rPr>
                <w:rFonts w:eastAsia="Noto Serif CJK TC"/>
                <w:sz w:val="22"/>
                <w:szCs w:val="22"/>
              </w:rPr>
              <w:t>發展部訂定</w:t>
            </w:r>
            <w:proofErr w:type="gramEnd"/>
            <w:r>
              <w:rPr>
                <w:rFonts w:eastAsia="Noto Serif CJK TC"/>
                <w:sz w:val="22"/>
                <w:szCs w:val="22"/>
              </w:rPr>
              <w:t>之風險分類框架（含</w:t>
            </w:r>
            <w:r>
              <w:rPr>
                <w:rFonts w:eastAsia="Noto Serif CJK TC"/>
                <w:sz w:val="22"/>
                <w:szCs w:val="22"/>
              </w:rPr>
              <w:t xml:space="preserve"> MSCC </w:t>
            </w:r>
            <w:r>
              <w:rPr>
                <w:rFonts w:eastAsia="Noto Serif CJK TC"/>
                <w:sz w:val="22"/>
                <w:szCs w:val="22"/>
              </w:rPr>
              <w:t>硬指標）具備母法授權依據，非逾越權限之行政規則。</w:t>
            </w:r>
            <w:r>
              <w:rPr>
                <w:rFonts w:eastAsia="Noto Serif CJK TC"/>
                <w:sz w:val="22"/>
                <w:szCs w:val="22"/>
              </w:rPr>
              <w:t xml:space="preserve"> 3. </w:t>
            </w:r>
            <w:r>
              <w:rPr>
                <w:rFonts w:eastAsia="Noto Serif CJK TC"/>
                <w:sz w:val="22"/>
                <w:szCs w:val="22"/>
              </w:rPr>
              <w:t>會同行政院進行跨部會法規調適，確保審計部、行政法院等落地工具與《人工智慧基本法》基本原則一致。</w:t>
            </w:r>
          </w:p>
        </w:tc>
      </w:tr>
      <w:tr w:rsidR="008D60E2">
        <w:tc>
          <w:tcPr>
            <w:tcW w:w="22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數位發展部（</w:t>
            </w:r>
            <w:r>
              <w:rPr>
                <w:rFonts w:eastAsia="Noto Serif CJK TC"/>
                <w:sz w:val="22"/>
                <w:szCs w:val="22"/>
              </w:rPr>
              <w:t>MODA</w:t>
            </w:r>
            <w:r>
              <w:rPr>
                <w:rFonts w:eastAsia="Noto Serif CJK TC"/>
                <w:sz w:val="22"/>
                <w:szCs w:val="22"/>
              </w:rPr>
              <w:t>，依法授權訂定機關）</w:t>
            </w:r>
          </w:p>
        </w:tc>
        <w:tc>
          <w:tcPr>
            <w:tcW w:w="2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政府採購</w:t>
            </w:r>
            <w:r>
              <w:rPr>
                <w:rFonts w:eastAsia="Noto Serif CJK TC"/>
                <w:sz w:val="22"/>
                <w:szCs w:val="22"/>
              </w:rPr>
              <w:t xml:space="preserve"> AI </w:t>
            </w:r>
            <w:r>
              <w:rPr>
                <w:rFonts w:eastAsia="Noto Serif CJK TC"/>
                <w:sz w:val="22"/>
                <w:szCs w:val="22"/>
              </w:rPr>
              <w:t>契約標準範本（</w:t>
            </w:r>
            <w:r>
              <w:rPr>
                <w:rFonts w:eastAsia="Noto Serif CJK TC"/>
                <w:sz w:val="22"/>
                <w:szCs w:val="22"/>
              </w:rPr>
              <w:t>ZDR</w:t>
            </w:r>
            <w:r>
              <w:rPr>
                <w:rFonts w:eastAsia="Noto Serif CJK TC"/>
                <w:sz w:val="22"/>
                <w:szCs w:val="22"/>
              </w:rPr>
              <w:t>／</w:t>
            </w:r>
            <w:r>
              <w:rPr>
                <w:rFonts w:eastAsia="Noto Serif CJK TC"/>
                <w:sz w:val="22"/>
                <w:szCs w:val="22"/>
              </w:rPr>
              <w:t xml:space="preserve">MSCC </w:t>
            </w:r>
            <w:r>
              <w:rPr>
                <w:rFonts w:eastAsia="Noto Serif CJK TC"/>
                <w:sz w:val="22"/>
                <w:szCs w:val="22"/>
              </w:rPr>
              <w:t>強制條款）</w:t>
            </w:r>
          </w:p>
        </w:tc>
        <w:tc>
          <w:tcPr>
            <w:tcW w:w="46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ZDR </w:t>
            </w:r>
            <w:r>
              <w:rPr>
                <w:rFonts w:eastAsia="Noto Serif CJK TC"/>
                <w:sz w:val="22"/>
                <w:szCs w:val="22"/>
              </w:rPr>
              <w:t>條款：禁止廠商留存</w:t>
            </w:r>
            <w:r>
              <w:rPr>
                <w:rFonts w:eastAsia="Noto Serif CJK TC"/>
                <w:sz w:val="22"/>
                <w:szCs w:val="22"/>
              </w:rPr>
              <w:t xml:space="preserve"> Prompt </w:t>
            </w:r>
            <w:r>
              <w:rPr>
                <w:rFonts w:eastAsia="Noto Serif CJK TC"/>
                <w:sz w:val="22"/>
                <w:szCs w:val="22"/>
              </w:rPr>
              <w:t>或做二次訓練。</w:t>
            </w:r>
            <w:r>
              <w:rPr>
                <w:rFonts w:eastAsia="Noto Serif CJK TC"/>
                <w:sz w:val="22"/>
                <w:szCs w:val="22"/>
              </w:rPr>
              <w:t xml:space="preserve"> 2. </w:t>
            </w:r>
            <w:r>
              <w:rPr>
                <w:rFonts w:eastAsia="Noto Serif CJK TC"/>
                <w:sz w:val="22"/>
                <w:szCs w:val="22"/>
              </w:rPr>
              <w:t>資產可攜性：機關擁有微調權重與向量庫完整所有權。</w:t>
            </w:r>
            <w:r>
              <w:rPr>
                <w:rFonts w:eastAsia="Noto Serif CJK TC"/>
                <w:sz w:val="22"/>
                <w:szCs w:val="22"/>
              </w:rPr>
              <w:t xml:space="preserve"> 3. Kill-Switch</w:t>
            </w:r>
            <w:r>
              <w:rPr>
                <w:rFonts w:eastAsia="Noto Serif CJK TC"/>
                <w:sz w:val="22"/>
                <w:szCs w:val="22"/>
              </w:rPr>
              <w:t>：機關保有單向</w:t>
            </w:r>
            <w:proofErr w:type="gramStart"/>
            <w:r>
              <w:rPr>
                <w:rFonts w:eastAsia="Noto Serif CJK TC"/>
                <w:sz w:val="22"/>
                <w:szCs w:val="22"/>
              </w:rPr>
              <w:t>一</w:t>
            </w:r>
            <w:proofErr w:type="gramEnd"/>
            <w:r>
              <w:rPr>
                <w:rFonts w:eastAsia="Noto Serif CJK TC"/>
                <w:sz w:val="22"/>
                <w:szCs w:val="22"/>
              </w:rPr>
              <w:t>鍵中斷權且不負違約賠償。</w:t>
            </w:r>
          </w:p>
        </w:tc>
      </w:tr>
      <w:tr w:rsidR="008D60E2">
        <w:tc>
          <w:tcPr>
            <w:tcW w:w="22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國家審計部（</w:t>
            </w:r>
            <w:r>
              <w:rPr>
                <w:rFonts w:eastAsia="Noto Serif CJK TC"/>
                <w:sz w:val="22"/>
                <w:szCs w:val="22"/>
              </w:rPr>
              <w:t>Audit Court</w:t>
            </w:r>
            <w:r>
              <w:rPr>
                <w:rFonts w:eastAsia="Noto Serif CJK TC"/>
                <w:sz w:val="22"/>
                <w:szCs w:val="22"/>
              </w:rPr>
              <w:t>）</w:t>
            </w:r>
          </w:p>
        </w:tc>
        <w:tc>
          <w:tcPr>
            <w:tcW w:w="2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AI </w:t>
            </w:r>
            <w:r>
              <w:rPr>
                <w:rFonts w:eastAsia="Noto Serif CJK TC"/>
                <w:sz w:val="22"/>
                <w:szCs w:val="22"/>
              </w:rPr>
              <w:t>決策全歷程數位稽核清單（</w:t>
            </w:r>
            <w:r>
              <w:rPr>
                <w:rFonts w:eastAsia="Noto Serif CJK TC"/>
                <w:sz w:val="22"/>
                <w:szCs w:val="22"/>
              </w:rPr>
              <w:t>Audit Checklist</w:t>
            </w:r>
            <w:r>
              <w:rPr>
                <w:rFonts w:eastAsia="Noto Serif CJK TC"/>
                <w:sz w:val="22"/>
                <w:szCs w:val="22"/>
              </w:rPr>
              <w:t>）</w:t>
            </w:r>
          </w:p>
        </w:tc>
        <w:tc>
          <w:tcPr>
            <w:tcW w:w="46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w:t>
            </w:r>
            <w:proofErr w:type="gramStart"/>
            <w:r>
              <w:rPr>
                <w:rFonts w:eastAsia="Noto Serif CJK TC"/>
                <w:sz w:val="22"/>
                <w:szCs w:val="22"/>
              </w:rPr>
              <w:t>脫敏查核</w:t>
            </w:r>
            <w:proofErr w:type="gramEnd"/>
            <w:r>
              <w:rPr>
                <w:rFonts w:eastAsia="Noto Serif CJK TC"/>
                <w:sz w:val="22"/>
                <w:szCs w:val="22"/>
              </w:rPr>
              <w:t>：自動過濾</w:t>
            </w:r>
            <w:r>
              <w:rPr>
                <w:rFonts w:eastAsia="Noto Serif CJK TC"/>
                <w:sz w:val="22"/>
                <w:szCs w:val="22"/>
              </w:rPr>
              <w:t xml:space="preserve"> Prompt </w:t>
            </w:r>
            <w:r>
              <w:rPr>
                <w:rFonts w:eastAsia="Noto Serif CJK TC"/>
                <w:sz w:val="22"/>
                <w:szCs w:val="22"/>
              </w:rPr>
              <w:t>之</w:t>
            </w:r>
            <w:proofErr w:type="gramStart"/>
            <w:r>
              <w:rPr>
                <w:rFonts w:eastAsia="Noto Serif CJK TC"/>
                <w:sz w:val="22"/>
                <w:szCs w:val="22"/>
              </w:rPr>
              <w:t>個</w:t>
            </w:r>
            <w:proofErr w:type="gramEnd"/>
            <w:r>
              <w:rPr>
                <w:rFonts w:eastAsia="Noto Serif CJK TC"/>
                <w:sz w:val="22"/>
                <w:szCs w:val="22"/>
              </w:rPr>
              <w:t>資與機密洩漏。</w:t>
            </w:r>
            <w:r>
              <w:rPr>
                <w:rFonts w:eastAsia="Noto Serif CJK TC"/>
                <w:sz w:val="22"/>
                <w:szCs w:val="22"/>
              </w:rPr>
              <w:t xml:space="preserve"> 2. </w:t>
            </w:r>
            <w:r>
              <w:rPr>
                <w:rFonts w:eastAsia="Noto Serif CJK TC"/>
                <w:sz w:val="22"/>
                <w:szCs w:val="22"/>
              </w:rPr>
              <w:t>實質性查核：語意重合度＋審查紀錄交叉查核，重合度僅作抽樣觸發指標。</w:t>
            </w:r>
            <w:r>
              <w:rPr>
                <w:rFonts w:eastAsia="Noto Serif CJK TC"/>
                <w:sz w:val="22"/>
                <w:szCs w:val="22"/>
              </w:rPr>
              <w:t xml:space="preserve"> 3. </w:t>
            </w:r>
            <w:proofErr w:type="gramStart"/>
            <w:r>
              <w:rPr>
                <w:rFonts w:eastAsia="Noto Serif CJK TC"/>
                <w:sz w:val="22"/>
                <w:szCs w:val="22"/>
              </w:rPr>
              <w:t>實地盲測</w:t>
            </w:r>
            <w:proofErr w:type="gramEnd"/>
            <w:r>
              <w:rPr>
                <w:rFonts w:eastAsia="Noto Serif CJK TC"/>
                <w:sz w:val="22"/>
                <w:szCs w:val="22"/>
              </w:rPr>
              <w:t>：依風險分級測試機關於約定時限內切換人工</w:t>
            </w:r>
            <w:r>
              <w:rPr>
                <w:rFonts w:eastAsia="Noto Serif CJK TC"/>
                <w:sz w:val="22"/>
                <w:szCs w:val="22"/>
              </w:rPr>
              <w:t xml:space="preserve"> SOP </w:t>
            </w:r>
            <w:r>
              <w:rPr>
                <w:rFonts w:eastAsia="Noto Serif CJK TC"/>
                <w:sz w:val="22"/>
                <w:szCs w:val="22"/>
              </w:rPr>
              <w:t>之能力。</w:t>
            </w:r>
          </w:p>
        </w:tc>
      </w:tr>
      <w:tr w:rsidR="008D60E2">
        <w:tc>
          <w:tcPr>
            <w:tcW w:w="22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行政法院／訴願會（</w:t>
            </w:r>
            <w:r>
              <w:rPr>
                <w:rFonts w:eastAsia="Noto Serif CJK TC"/>
                <w:sz w:val="22"/>
                <w:szCs w:val="22"/>
              </w:rPr>
              <w:t>Judicial Review</w:t>
            </w:r>
            <w:r>
              <w:rPr>
                <w:rFonts w:eastAsia="Noto Serif CJK TC"/>
                <w:sz w:val="22"/>
                <w:szCs w:val="22"/>
              </w:rPr>
              <w:t>）</w:t>
            </w:r>
          </w:p>
        </w:tc>
        <w:tc>
          <w:tcPr>
            <w:tcW w:w="28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AI </w:t>
            </w:r>
            <w:r>
              <w:rPr>
                <w:rFonts w:eastAsia="Noto Serif CJK TC"/>
                <w:sz w:val="22"/>
                <w:szCs w:val="22"/>
              </w:rPr>
              <w:t>輔助處分實質審查標準</w:t>
            </w:r>
          </w:p>
        </w:tc>
        <w:tc>
          <w:tcPr>
            <w:tcW w:w="46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w:t>
            </w:r>
            <w:r>
              <w:rPr>
                <w:rFonts w:eastAsia="Noto Serif CJK TC"/>
                <w:sz w:val="22"/>
                <w:szCs w:val="22"/>
              </w:rPr>
              <w:t>舉證責任反轉：機關負有提出全歷程</w:t>
            </w:r>
            <w:r>
              <w:rPr>
                <w:rFonts w:eastAsia="Noto Serif CJK TC"/>
                <w:sz w:val="22"/>
                <w:szCs w:val="22"/>
              </w:rPr>
              <w:t xml:space="preserve"> Log </w:t>
            </w:r>
            <w:r>
              <w:rPr>
                <w:rFonts w:eastAsia="Noto Serif CJK TC"/>
                <w:sz w:val="22"/>
                <w:szCs w:val="22"/>
              </w:rPr>
              <w:t>之舉證責任（</w:t>
            </w:r>
            <w:r>
              <w:rPr>
                <w:rFonts w:eastAsia="Noto Serif CJK TC"/>
                <w:sz w:val="22"/>
                <w:szCs w:val="22"/>
              </w:rPr>
              <w:t>★</w:t>
            </w:r>
            <w:r>
              <w:rPr>
                <w:rFonts w:eastAsia="Noto Serif CJK TC"/>
                <w:sz w:val="22"/>
                <w:szCs w:val="22"/>
              </w:rPr>
              <w:t>需修法授權，見</w:t>
            </w:r>
            <w:r>
              <w:rPr>
                <w:rFonts w:eastAsia="Noto Serif CJK TC"/>
                <w:sz w:val="22"/>
                <w:szCs w:val="22"/>
              </w:rPr>
              <w:t xml:space="preserve"> 5.2 </w:t>
            </w:r>
            <w:r>
              <w:rPr>
                <w:rFonts w:eastAsia="Noto Serif CJK TC"/>
                <w:sz w:val="22"/>
                <w:szCs w:val="22"/>
              </w:rPr>
              <w:t>節）。</w:t>
            </w:r>
            <w:r>
              <w:rPr>
                <w:rFonts w:eastAsia="Noto Serif CJK TC"/>
                <w:sz w:val="22"/>
                <w:szCs w:val="22"/>
              </w:rPr>
              <w:t xml:space="preserve"> 2. </w:t>
            </w:r>
            <w:r>
              <w:rPr>
                <w:rFonts w:eastAsia="Noto Serif CJK TC"/>
                <w:sz w:val="22"/>
                <w:szCs w:val="22"/>
              </w:rPr>
              <w:lastRenderedPageBreak/>
              <w:t>獨立心證審查：理由欄不得複製貼上</w:t>
            </w:r>
            <w:r>
              <w:rPr>
                <w:rFonts w:eastAsia="Noto Serif CJK TC"/>
                <w:sz w:val="22"/>
                <w:szCs w:val="22"/>
              </w:rPr>
              <w:t xml:space="preserve"> AI </w:t>
            </w:r>
            <w:r>
              <w:rPr>
                <w:rFonts w:eastAsia="Noto Serif CJK TC"/>
                <w:sz w:val="22"/>
                <w:szCs w:val="22"/>
              </w:rPr>
              <w:t>內容（現行法架構下可逕行採用）。</w:t>
            </w:r>
            <w:r>
              <w:rPr>
                <w:rFonts w:eastAsia="Noto Serif CJK TC"/>
                <w:sz w:val="22"/>
                <w:szCs w:val="22"/>
              </w:rPr>
              <w:t xml:space="preserve"> 3. </w:t>
            </w:r>
            <w:r>
              <w:rPr>
                <w:rFonts w:eastAsia="Noto Serif CJK TC"/>
                <w:sz w:val="22"/>
                <w:szCs w:val="22"/>
              </w:rPr>
              <w:t>公務員異議免責：第一線保留專業異議者免責。</w:t>
            </w:r>
          </w:p>
        </w:tc>
      </w:tr>
    </w:tbl>
    <w:p w:rsidR="008D60E2" w:rsidRDefault="00A13A70">
      <w:pPr>
        <w:pStyle w:val="2"/>
        <w:spacing w:before="300"/>
      </w:pPr>
      <w:bookmarkStart w:id="12" w:name="_Toc238090775"/>
      <w:r>
        <w:t>4.3</w:t>
      </w:r>
      <w:r>
        <w:t xml:space="preserve">　化解「廠商包袱」與契約槓桿落差之機制</w:t>
      </w:r>
      <w:bookmarkEnd w:id="12"/>
    </w:p>
    <w:p w:rsidR="008D60E2" w:rsidRDefault="00A13A70">
      <w:pPr>
        <w:spacing w:after="200" w:line="360" w:lineRule="auto"/>
        <w:jc w:val="both"/>
      </w:pPr>
      <w:r>
        <w:rPr>
          <w:rFonts w:eastAsia="Noto Serif CJK TC"/>
        </w:rPr>
        <w:t>本研究第二章已指出，「廠商包袱」</w:t>
      </w:r>
      <w:proofErr w:type="gramStart"/>
      <w:r>
        <w:rPr>
          <w:rFonts w:eastAsia="Noto Serif CJK TC"/>
        </w:rPr>
        <w:t>是軟法治理</w:t>
      </w:r>
      <w:proofErr w:type="gramEnd"/>
      <w:r>
        <w:rPr>
          <w:rFonts w:eastAsia="Noto Serif CJK TC"/>
        </w:rPr>
        <w:t>陷落之三重體制枷鎖之一：政府採購長期高度依賴少數資訊服務業者，機關在既有生態下不敢對</w:t>
      </w:r>
      <w:r>
        <w:rPr>
          <w:rFonts w:eastAsia="Noto Serif CJK TC"/>
        </w:rPr>
        <w:t xml:space="preserve"> API </w:t>
      </w:r>
      <w:r>
        <w:rPr>
          <w:rFonts w:eastAsia="Noto Serif CJK TC"/>
        </w:rPr>
        <w:t>供應商主張硬性規範。然而，附錄二工具包一所列之契約範本，卻要求廠商接受</w:t>
      </w:r>
      <w:r>
        <w:rPr>
          <w:rFonts w:eastAsia="Noto Serif CJK TC"/>
        </w:rPr>
        <w:t xml:space="preserve"> ZDR</w:t>
      </w:r>
      <w:r>
        <w:rPr>
          <w:rFonts w:eastAsia="Noto Serif CJK TC"/>
        </w:rPr>
        <w:t>、權重導出、</w:t>
      </w:r>
      <w:r>
        <w:rPr>
          <w:rFonts w:eastAsia="Noto Serif CJK TC"/>
        </w:rPr>
        <w:t xml:space="preserve">Kill-Switch </w:t>
      </w:r>
      <w:r>
        <w:rPr>
          <w:rFonts w:eastAsia="Noto Serif CJK TC"/>
        </w:rPr>
        <w:t>且不負違約賠償等高規格條款</w:t>
      </w:r>
      <w:proofErr w:type="gramStart"/>
      <w:r>
        <w:rPr>
          <w:rFonts w:eastAsia="Noto Serif CJK TC"/>
        </w:rPr>
        <w:t>—</w:t>
      </w:r>
      <w:proofErr w:type="gramEnd"/>
      <w:r>
        <w:rPr>
          <w:rFonts w:eastAsia="Noto Serif CJK TC"/>
        </w:rPr>
        <w:t>—</w:t>
      </w:r>
      <w:r>
        <w:rPr>
          <w:rFonts w:eastAsia="Noto Serif CJK TC"/>
        </w:rPr>
        <w:t>若僅憑「單一機關」與跨國雲端業者（如</w:t>
      </w:r>
      <w:r>
        <w:rPr>
          <w:rFonts w:eastAsia="Noto Serif CJK TC"/>
        </w:rPr>
        <w:t xml:space="preserve"> </w:t>
      </w:r>
      <w:proofErr w:type="spellStart"/>
      <w:r>
        <w:rPr>
          <w:rFonts w:eastAsia="Noto Serif CJK TC"/>
        </w:rPr>
        <w:t>OpenAI</w:t>
      </w:r>
      <w:proofErr w:type="spellEnd"/>
      <w:r>
        <w:rPr>
          <w:rFonts w:eastAsia="Noto Serif CJK TC"/>
        </w:rPr>
        <w:t>、</w:t>
      </w:r>
      <w:r>
        <w:rPr>
          <w:rFonts w:eastAsia="Noto Serif CJK TC"/>
        </w:rPr>
        <w:t>Google</w:t>
      </w:r>
      <w:r>
        <w:rPr>
          <w:rFonts w:eastAsia="Noto Serif CJK TC"/>
        </w:rPr>
        <w:t>、</w:t>
      </w:r>
      <w:r>
        <w:rPr>
          <w:rFonts w:eastAsia="Noto Serif CJK TC"/>
        </w:rPr>
        <w:t xml:space="preserve">Microsoft </w:t>
      </w:r>
      <w:r>
        <w:rPr>
          <w:rFonts w:eastAsia="Noto Serif CJK TC"/>
        </w:rPr>
        <w:t>等）逐案談判，此一議價力落差顯而易見：中小型機關幾無可能迫使國際級供應商接受客製化之高規格契約。本研究主張，此一落差不應、也不能仰賴個別機關之談判技巧化解，而須透過以下三項機制，將「契約議價」轉化為「制度性槓桿」：</w:t>
      </w:r>
    </w:p>
    <w:p w:rsidR="008D60E2" w:rsidRDefault="00A13A70">
      <w:pPr>
        <w:spacing w:after="200" w:line="360" w:lineRule="auto"/>
        <w:ind w:left="480" w:hanging="480"/>
        <w:jc w:val="both"/>
      </w:pPr>
      <w:r>
        <w:rPr>
          <w:rFonts w:eastAsia="Noto Serif CJK TC"/>
          <w:b/>
          <w:bCs/>
        </w:rPr>
        <w:t xml:space="preserve">1. </w:t>
      </w:r>
      <w:r>
        <w:rPr>
          <w:rFonts w:eastAsia="Noto Serif CJK TC"/>
          <w:b/>
          <w:bCs/>
        </w:rPr>
        <w:t>規模化集中採購，以全政府採購量為籌碼：</w:t>
      </w:r>
      <w:r>
        <w:rPr>
          <w:rFonts w:eastAsia="Noto Serif CJK TC"/>
        </w:rPr>
        <w:t>由數位</w:t>
      </w:r>
      <w:proofErr w:type="gramStart"/>
      <w:r>
        <w:rPr>
          <w:rFonts w:eastAsia="Noto Serif CJK TC"/>
        </w:rPr>
        <w:t>發展部依《人工智慧基本法》</w:t>
      </w:r>
      <w:proofErr w:type="gramEnd"/>
      <w:r>
        <w:rPr>
          <w:rFonts w:eastAsia="Noto Serif CJK TC"/>
        </w:rPr>
        <w:t>所賦予之風險分類框架訂定權限，比照現行「雲端服務共同供應契約」模式，建立全政府適用之「</w:t>
      </w:r>
      <w:r>
        <w:rPr>
          <w:rFonts w:eastAsia="Noto Serif CJK TC"/>
        </w:rPr>
        <w:t xml:space="preserve">AI </w:t>
      </w:r>
      <w:r>
        <w:rPr>
          <w:rFonts w:eastAsia="Noto Serif CJK TC"/>
        </w:rPr>
        <w:t>服務共同供應契約」，將</w:t>
      </w:r>
      <w:r>
        <w:rPr>
          <w:rFonts w:eastAsia="Noto Serif CJK TC"/>
        </w:rPr>
        <w:t xml:space="preserve"> MSCC </w:t>
      </w:r>
      <w:r>
        <w:rPr>
          <w:rFonts w:eastAsia="Noto Serif CJK TC"/>
        </w:rPr>
        <w:t>硬指標整合為統一之採購前提要件。議價主體由「單一機關」上升為「全政府採購總量」，方具備要求國際供應商讓步之實質籌碼；單一機關僅需援引共同供應契約下單，無須各自重新談判。</w:t>
      </w:r>
    </w:p>
    <w:p w:rsidR="008D60E2" w:rsidRDefault="00A13A70">
      <w:pPr>
        <w:spacing w:after="200" w:line="360" w:lineRule="auto"/>
        <w:ind w:left="480" w:hanging="480"/>
        <w:jc w:val="both"/>
      </w:pPr>
      <w:r>
        <w:rPr>
          <w:rFonts w:eastAsia="Noto Serif CJK TC"/>
          <w:b/>
          <w:bCs/>
        </w:rPr>
        <w:t xml:space="preserve">2. </w:t>
      </w:r>
      <w:r>
        <w:rPr>
          <w:rFonts w:eastAsia="Noto Serif CJK TC"/>
          <w:b/>
          <w:bCs/>
        </w:rPr>
        <w:t>法定市場准入門檻，取代個案契約談判：</w:t>
      </w:r>
      <w:r>
        <w:rPr>
          <w:rFonts w:eastAsia="Noto Serif CJK TC"/>
        </w:rPr>
        <w:t>一旦</w:t>
      </w:r>
      <w:r>
        <w:rPr>
          <w:rFonts w:eastAsia="Noto Serif CJK TC"/>
        </w:rPr>
        <w:t xml:space="preserve"> MSCC </w:t>
      </w:r>
      <w:r>
        <w:rPr>
          <w:rFonts w:eastAsia="Noto Serif CJK TC"/>
        </w:rPr>
        <w:t>硬指標經由《人工智慧基本法》子法或施行細則入法（見</w:t>
      </w:r>
      <w:r>
        <w:rPr>
          <w:rFonts w:eastAsia="Noto Serif CJK TC"/>
        </w:rPr>
        <w:t xml:space="preserve"> 5.2 </w:t>
      </w:r>
      <w:r>
        <w:rPr>
          <w:rFonts w:eastAsia="Noto Serif CJK TC"/>
        </w:rPr>
        <w:t>節），廠商是否符合</w:t>
      </w:r>
      <w:r>
        <w:rPr>
          <w:rFonts w:eastAsia="Noto Serif CJK TC"/>
        </w:rPr>
        <w:t xml:space="preserve"> ZDR</w:t>
      </w:r>
      <w:r>
        <w:rPr>
          <w:rFonts w:eastAsia="Noto Serif CJK TC"/>
        </w:rPr>
        <w:t>、</w:t>
      </w:r>
      <w:r>
        <w:rPr>
          <w:rFonts w:eastAsia="Noto Serif CJK TC"/>
        </w:rPr>
        <w:t xml:space="preserve">Kill-Switch </w:t>
      </w:r>
      <w:r>
        <w:rPr>
          <w:rFonts w:eastAsia="Noto Serif CJK TC"/>
        </w:rPr>
        <w:t>等要求，即由「單一機關契約談判籌碼」轉化為「參與政府採購市場之法定資格要件」。廠商若不符合，喪失的不是單一標案，而是整個政府市場之投標資格，此一「不合</w:t>
      </w:r>
      <w:proofErr w:type="gramStart"/>
      <w:r>
        <w:rPr>
          <w:rFonts w:eastAsia="Noto Serif CJK TC"/>
        </w:rPr>
        <w:t>規</w:t>
      </w:r>
      <w:proofErr w:type="gramEnd"/>
      <w:r>
        <w:rPr>
          <w:rFonts w:eastAsia="Noto Serif CJK TC"/>
        </w:rPr>
        <w:t>即出局」之市場准入邏輯，對供應商產生之約束力遠高於個案契約談判，且無須仰賴機關之議價能力。</w:t>
      </w:r>
    </w:p>
    <w:p w:rsidR="008D60E2" w:rsidRDefault="00A13A70">
      <w:pPr>
        <w:spacing w:after="200" w:line="360" w:lineRule="auto"/>
        <w:ind w:left="480" w:hanging="480"/>
        <w:jc w:val="both"/>
      </w:pPr>
      <w:r>
        <w:rPr>
          <w:rFonts w:eastAsia="Noto Serif CJK TC"/>
          <w:b/>
          <w:bCs/>
        </w:rPr>
        <w:t xml:space="preserve">3. </w:t>
      </w:r>
      <w:r>
        <w:rPr>
          <w:rFonts w:eastAsia="Noto Serif CJK TC"/>
          <w:b/>
          <w:bCs/>
        </w:rPr>
        <w:t>風險分級差異化要求，保留中小機關彈性：</w:t>
      </w:r>
      <w:r>
        <w:rPr>
          <w:rFonts w:eastAsia="Noto Serif CJK TC"/>
        </w:rPr>
        <w:t>僅高風險</w:t>
      </w:r>
      <w:r>
        <w:rPr>
          <w:rFonts w:eastAsia="Noto Serif CJK TC"/>
        </w:rPr>
        <w:t xml:space="preserve"> AI </w:t>
      </w:r>
      <w:r>
        <w:rPr>
          <w:rFonts w:eastAsia="Noto Serif CJK TC"/>
        </w:rPr>
        <w:t>應用（如涉及行政處分、限制人民權益之判斷）強制要求完整</w:t>
      </w:r>
      <w:r>
        <w:rPr>
          <w:rFonts w:eastAsia="Noto Serif CJK TC"/>
        </w:rPr>
        <w:t xml:space="preserve"> MSCC </w:t>
      </w:r>
      <w:r>
        <w:rPr>
          <w:rFonts w:eastAsia="Noto Serif CJK TC"/>
        </w:rPr>
        <w:t>四大硬指標；低風險、內部行政輔助用途得採取較低規格要求。機關亦可優先考慮採用開源模型或政府自建、在地化部署之系統，此時機關對模型與資料具備直接控制權，無須透過與外部商業廠商之契約談判即可自然達成</w:t>
      </w:r>
      <w:r>
        <w:rPr>
          <w:rFonts w:eastAsia="Noto Serif CJK TC"/>
        </w:rPr>
        <w:t xml:space="preserve"> MSCC </w:t>
      </w:r>
      <w:r>
        <w:rPr>
          <w:rFonts w:eastAsia="Noto Serif CJK TC"/>
        </w:rPr>
        <w:t>標準，從根本上繞開「廠商包袱」之結構性限制。</w:t>
      </w:r>
    </w:p>
    <w:p w:rsidR="008D60E2" w:rsidRDefault="00A13A70">
      <w:pPr>
        <w:spacing w:after="200" w:line="360" w:lineRule="auto"/>
        <w:jc w:val="both"/>
      </w:pPr>
      <w:r>
        <w:rPr>
          <w:rFonts w:eastAsia="Noto Serif CJK TC"/>
        </w:rPr>
        <w:lastRenderedPageBreak/>
        <w:t>換言之，附錄二工具包</w:t>
      </w:r>
      <w:proofErr w:type="gramStart"/>
      <w:r>
        <w:rPr>
          <w:rFonts w:eastAsia="Noto Serif CJK TC"/>
        </w:rPr>
        <w:t>一</w:t>
      </w:r>
      <w:proofErr w:type="gramEnd"/>
      <w:r>
        <w:rPr>
          <w:rFonts w:eastAsia="Noto Serif CJK TC"/>
        </w:rPr>
        <w:t>之契約範本，其可執行性並非建立在「機關個別議價能力」之上，而是建立在「全政府規模化採購」與「法定市場准入門檻」此二項制度性槓桿之上；若欠缺這兩項配套，工具包一所列之高規格條款，確實可能如本研究第二章所警示，淪為機關不敢提出、廠商亦無誘因接受</w:t>
      </w:r>
      <w:proofErr w:type="gramStart"/>
      <w:r>
        <w:rPr>
          <w:rFonts w:eastAsia="Noto Serif CJK TC"/>
        </w:rPr>
        <w:t>之空文</w:t>
      </w:r>
      <w:proofErr w:type="gramEnd"/>
      <w:r>
        <w:rPr>
          <w:rFonts w:eastAsia="Noto Serif CJK TC"/>
        </w:rPr>
        <w:t>。</w:t>
      </w:r>
    </w:p>
    <w:p w:rsidR="008D60E2" w:rsidRDefault="00A13A70">
      <w:pPr>
        <w:spacing w:after="200" w:line="360" w:lineRule="auto"/>
        <w:jc w:val="both"/>
      </w:pPr>
      <w:r>
        <w:rPr>
          <w:rFonts w:eastAsia="Noto Serif CJK TC"/>
        </w:rPr>
        <w:t>惟本研究亦須誠實面對一項更根本的風險：即便台灣以全政府規模採購作為籌碼，相對於</w:t>
      </w:r>
      <w:r>
        <w:rPr>
          <w:rFonts w:eastAsia="Noto Serif CJK TC"/>
        </w:rPr>
        <w:t xml:space="preserve"> </w:t>
      </w:r>
      <w:proofErr w:type="spellStart"/>
      <w:r>
        <w:rPr>
          <w:rFonts w:eastAsia="Noto Serif CJK TC"/>
        </w:rPr>
        <w:t>OpenAI</w:t>
      </w:r>
      <w:proofErr w:type="spellEnd"/>
      <w:r>
        <w:rPr>
          <w:rFonts w:eastAsia="Noto Serif CJK TC"/>
        </w:rPr>
        <w:t>、</w:t>
      </w:r>
      <w:r>
        <w:rPr>
          <w:rFonts w:eastAsia="Noto Serif CJK TC"/>
        </w:rPr>
        <w:t>Google</w:t>
      </w:r>
      <w:r>
        <w:rPr>
          <w:rFonts w:eastAsia="Noto Serif CJK TC"/>
        </w:rPr>
        <w:t>、</w:t>
      </w:r>
      <w:r>
        <w:rPr>
          <w:rFonts w:eastAsia="Noto Serif CJK TC"/>
        </w:rPr>
        <w:t>Microsoft</w:t>
      </w:r>
      <w:r>
        <w:rPr>
          <w:rFonts w:eastAsia="Noto Serif CJK TC"/>
        </w:rPr>
        <w:t>、</w:t>
      </w:r>
      <w:r>
        <w:rPr>
          <w:rFonts w:eastAsia="Noto Serif CJK TC"/>
        </w:rPr>
        <w:t xml:space="preserve">Anthropic </w:t>
      </w:r>
      <w:r>
        <w:rPr>
          <w:rFonts w:eastAsia="Noto Serif CJK TC"/>
        </w:rPr>
        <w:t>等掌握前沿基礎模型（</w:t>
      </w:r>
      <w:r>
        <w:rPr>
          <w:rFonts w:eastAsia="Noto Serif CJK TC"/>
        </w:rPr>
        <w:t>Foundation Model</w:t>
      </w:r>
      <w:r>
        <w:rPr>
          <w:rFonts w:eastAsia="Noto Serif CJK TC"/>
        </w:rPr>
        <w:t>）之國際供應商而言，台灣政府採購市場之規模，相對於這些供應商之全球營收與客戶結構，議價力仍屬有限，不能排除供應商評估客製化成本過高而選擇拒絕全部或部分</w:t>
      </w:r>
      <w:r>
        <w:rPr>
          <w:rFonts w:eastAsia="Noto Serif CJK TC"/>
        </w:rPr>
        <w:t xml:space="preserve"> MSCC </w:t>
      </w:r>
      <w:r>
        <w:rPr>
          <w:rFonts w:eastAsia="Noto Serif CJK TC"/>
        </w:rPr>
        <w:t>條款（尤其權重導出與零違約賠償之</w:t>
      </w:r>
      <w:r>
        <w:rPr>
          <w:rFonts w:eastAsia="Noto Serif CJK TC"/>
        </w:rPr>
        <w:t xml:space="preserve"> Kill-Switch </w:t>
      </w:r>
      <w:r>
        <w:rPr>
          <w:rFonts w:eastAsia="Noto Serif CJK TC"/>
        </w:rPr>
        <w:t>條款）之可能性。此一風險目前尚無法透過理論推演完全排除，須留待實際採購協商過程予以檢驗，本研究亦不宜對此過度樂觀。</w:t>
      </w:r>
    </w:p>
    <w:p w:rsidR="008D60E2" w:rsidRDefault="00A13A70">
      <w:pPr>
        <w:spacing w:after="200" w:line="360" w:lineRule="auto"/>
        <w:jc w:val="both"/>
      </w:pPr>
      <w:r>
        <w:rPr>
          <w:rFonts w:eastAsia="Noto Serif CJK TC"/>
        </w:rPr>
        <w:t>職是</w:t>
      </w:r>
      <w:proofErr w:type="gramStart"/>
      <w:r>
        <w:rPr>
          <w:rFonts w:eastAsia="Noto Serif CJK TC"/>
        </w:rPr>
        <w:t>之</w:t>
      </w:r>
      <w:proofErr w:type="gramEnd"/>
      <w:r>
        <w:rPr>
          <w:rFonts w:eastAsia="Noto Serif CJK TC"/>
        </w:rPr>
        <w:t>故，「優先採用開源模型或政府自建、在地化部署」（見前述機制三）便不應僅被視為「風險分級下之次要選項」，而應被視為國際供應商拒絕接受</w:t>
      </w:r>
      <w:r>
        <w:rPr>
          <w:rFonts w:eastAsia="Noto Serif CJK TC"/>
        </w:rPr>
        <w:t xml:space="preserve"> MSCC </w:t>
      </w:r>
      <w:r>
        <w:rPr>
          <w:rFonts w:eastAsia="Noto Serif CJK TC"/>
        </w:rPr>
        <w:t>條款時之關鍵備援路徑（</w:t>
      </w:r>
      <w:r>
        <w:rPr>
          <w:rFonts w:eastAsia="Noto Serif CJK TC"/>
        </w:rPr>
        <w:t>Fallback Path</w:t>
      </w:r>
      <w:r>
        <w:rPr>
          <w:rFonts w:eastAsia="Noto Serif CJK TC"/>
        </w:rPr>
        <w:t>）。</w:t>
      </w:r>
      <w:proofErr w:type="gramStart"/>
      <w:r>
        <w:rPr>
          <w:rFonts w:eastAsia="Noto Serif CJK TC"/>
        </w:rPr>
        <w:t>惟</w:t>
      </w:r>
      <w:proofErr w:type="gramEnd"/>
      <w:r>
        <w:rPr>
          <w:rFonts w:eastAsia="Noto Serif CJK TC"/>
        </w:rPr>
        <w:t>此一路徑同樣存在可行性落差，不宜一概而論：開源模型於推論效能、多語言理解與特定領域（如法律文書、公文格式）之表現，目前仍可能落後於頂尖商用模型，且政府自建與在地化部署，需要機關具備一定之機房、</w:t>
      </w:r>
      <w:proofErr w:type="gramStart"/>
      <w:r>
        <w:rPr>
          <w:rFonts w:eastAsia="Noto Serif CJK TC"/>
        </w:rPr>
        <w:t>算力與</w:t>
      </w:r>
      <w:proofErr w:type="gramEnd"/>
      <w:r>
        <w:rPr>
          <w:rFonts w:eastAsia="Noto Serif CJK TC"/>
        </w:rPr>
        <w:t>維運人力，對中小型機關而言，恐涉及額外之基礎設施投資與人才招募成本。因此，本研究建議，開源／自建路徑之可行性，仍應由數位</w:t>
      </w:r>
      <w:proofErr w:type="gramStart"/>
      <w:r>
        <w:rPr>
          <w:rFonts w:eastAsia="Noto Serif CJK TC"/>
        </w:rPr>
        <w:t>發展部就模型</w:t>
      </w:r>
      <w:proofErr w:type="gramEnd"/>
      <w:r>
        <w:rPr>
          <w:rFonts w:eastAsia="Noto Serif CJK TC"/>
        </w:rPr>
        <w:t>效能、部署成本與機關技術量能，進行系統性之可行性評估（</w:t>
      </w:r>
      <w:r>
        <w:rPr>
          <w:rFonts w:eastAsia="Noto Serif CJK TC"/>
        </w:rPr>
        <w:t>Feasibility Assessment</w:t>
      </w:r>
      <w:r>
        <w:rPr>
          <w:rFonts w:eastAsia="Noto Serif CJK TC"/>
        </w:rPr>
        <w:t>）後，方能確認其作為</w:t>
      </w:r>
      <w:r>
        <w:rPr>
          <w:rFonts w:eastAsia="Noto Serif CJK TC"/>
        </w:rPr>
        <w:t xml:space="preserve"> MSCC </w:t>
      </w:r>
      <w:r>
        <w:rPr>
          <w:rFonts w:eastAsia="Noto Serif CJK TC"/>
        </w:rPr>
        <w:t>備援路徑之實際可靠度，此一評估目前尚未存在，應列為本研究政策建議落地前之優先工作項目，亦是本文第三點研究限制（見</w:t>
      </w:r>
      <w:r>
        <w:rPr>
          <w:rFonts w:eastAsia="Noto Serif CJK TC"/>
        </w:rPr>
        <w:t xml:space="preserve"> 1.3 </w:t>
      </w:r>
      <w:r>
        <w:rPr>
          <w:rFonts w:eastAsia="Noto Serif CJK TC"/>
        </w:rPr>
        <w:t>節）所欲指出者。此一可行性評估至少應涵蓋以下四項面向：</w:t>
      </w:r>
    </w:p>
    <w:p w:rsidR="008D60E2" w:rsidRDefault="00A13A70">
      <w:pPr>
        <w:spacing w:after="200" w:line="360" w:lineRule="auto"/>
        <w:ind w:left="480" w:hanging="480"/>
        <w:jc w:val="both"/>
      </w:pPr>
      <w:r>
        <w:rPr>
          <w:rFonts w:eastAsia="Noto Serif CJK TC"/>
          <w:b/>
          <w:bCs/>
        </w:rPr>
        <w:t xml:space="preserve">1. </w:t>
      </w:r>
      <w:r>
        <w:rPr>
          <w:rFonts w:eastAsia="Noto Serif CJK TC"/>
          <w:b/>
          <w:bCs/>
        </w:rPr>
        <w:t>特定領域效能基準（</w:t>
      </w:r>
      <w:r>
        <w:rPr>
          <w:rFonts w:eastAsia="Noto Serif CJK TC"/>
          <w:b/>
          <w:bCs/>
        </w:rPr>
        <w:t>Domain-Specific Benchmark</w:t>
      </w:r>
      <w:r>
        <w:rPr>
          <w:rFonts w:eastAsia="Noto Serif CJK TC"/>
          <w:b/>
          <w:bCs/>
        </w:rPr>
        <w:t>）：</w:t>
      </w:r>
      <w:r>
        <w:rPr>
          <w:rFonts w:eastAsia="Noto Serif CJK TC"/>
        </w:rPr>
        <w:t>針對我國公文寫作、法規檢索、行政程序用語等實際應用場景，建立開源模型與主流商用模型之對照評測基準，而非僅參考通用型國際排行榜（</w:t>
      </w:r>
      <w:r>
        <w:rPr>
          <w:rFonts w:eastAsia="Noto Serif CJK TC"/>
        </w:rPr>
        <w:t>Leaderboard</w:t>
      </w:r>
      <w:r>
        <w:rPr>
          <w:rFonts w:eastAsia="Noto Serif CJK TC"/>
        </w:rPr>
        <w:t>）成績。</w:t>
      </w:r>
    </w:p>
    <w:p w:rsidR="008D60E2" w:rsidRDefault="00A13A70">
      <w:pPr>
        <w:spacing w:after="200" w:line="360" w:lineRule="auto"/>
        <w:ind w:left="480" w:hanging="480"/>
        <w:jc w:val="both"/>
      </w:pPr>
      <w:r>
        <w:rPr>
          <w:rFonts w:eastAsia="Noto Serif CJK TC"/>
          <w:b/>
          <w:bCs/>
        </w:rPr>
        <w:t xml:space="preserve">2. </w:t>
      </w:r>
      <w:r>
        <w:rPr>
          <w:rFonts w:eastAsia="Noto Serif CJK TC"/>
          <w:b/>
          <w:bCs/>
        </w:rPr>
        <w:t>部署成本區間（</w:t>
      </w:r>
      <w:r>
        <w:rPr>
          <w:rFonts w:eastAsia="Noto Serif CJK TC"/>
          <w:b/>
          <w:bCs/>
        </w:rPr>
        <w:t>Deployment Cost Range</w:t>
      </w:r>
      <w:r>
        <w:rPr>
          <w:rFonts w:eastAsia="Noto Serif CJK TC"/>
          <w:b/>
          <w:bCs/>
        </w:rPr>
        <w:t>）：</w:t>
      </w:r>
      <w:r>
        <w:rPr>
          <w:rFonts w:eastAsia="Noto Serif CJK TC"/>
        </w:rPr>
        <w:t>就在地化部署所需之硬體（</w:t>
      </w:r>
      <w:r>
        <w:rPr>
          <w:rFonts w:eastAsia="Noto Serif CJK TC"/>
        </w:rPr>
        <w:t xml:space="preserve">GPU </w:t>
      </w:r>
      <w:r>
        <w:rPr>
          <w:rFonts w:eastAsia="Noto Serif CJK TC"/>
        </w:rPr>
        <w:t>或同等算力設備）、機房建置、維運人力等項目，區分不同應用規模，估算初期建置與年度維運成本區間，供機關編列預算之參考。</w:t>
      </w:r>
    </w:p>
    <w:p w:rsidR="008D60E2" w:rsidRDefault="00A13A70">
      <w:pPr>
        <w:spacing w:after="200" w:line="360" w:lineRule="auto"/>
        <w:ind w:left="480" w:hanging="480"/>
        <w:jc w:val="both"/>
      </w:pPr>
      <w:r>
        <w:rPr>
          <w:rFonts w:eastAsia="Noto Serif CJK TC"/>
          <w:b/>
          <w:bCs/>
        </w:rPr>
        <w:t xml:space="preserve">3. </w:t>
      </w:r>
      <w:r>
        <w:rPr>
          <w:rFonts w:eastAsia="Noto Serif CJK TC"/>
          <w:b/>
          <w:bCs/>
        </w:rPr>
        <w:t>中小型機關技術量能門檻（</w:t>
      </w:r>
      <w:r>
        <w:rPr>
          <w:rFonts w:eastAsia="Noto Serif CJK TC"/>
          <w:b/>
          <w:bCs/>
        </w:rPr>
        <w:t>Technical Capacity Threshold</w:t>
      </w:r>
      <w:r>
        <w:rPr>
          <w:rFonts w:eastAsia="Noto Serif CJK TC"/>
          <w:b/>
          <w:bCs/>
        </w:rPr>
        <w:t>）：</w:t>
      </w:r>
      <w:r>
        <w:rPr>
          <w:rFonts w:eastAsia="Noto Serif CJK TC"/>
        </w:rPr>
        <w:t>評估機關內部須具備何種最低限度之資訊人力與技術能力，方足以承接開源模型之部署與維運責任；對於量能不足</w:t>
      </w:r>
      <w:r>
        <w:rPr>
          <w:rFonts w:eastAsia="Noto Serif CJK TC"/>
        </w:rPr>
        <w:lastRenderedPageBreak/>
        <w:t>之機關，應同時</w:t>
      </w:r>
      <w:proofErr w:type="gramStart"/>
      <w:r>
        <w:rPr>
          <w:rFonts w:eastAsia="Noto Serif CJK TC"/>
        </w:rPr>
        <w:t>研議跨</w:t>
      </w:r>
      <w:proofErr w:type="gramEnd"/>
      <w:r>
        <w:rPr>
          <w:rFonts w:eastAsia="Noto Serif CJK TC"/>
        </w:rPr>
        <w:t>機關共用平台或由數位發展部提供集中代管服務之可行性。</w:t>
      </w:r>
    </w:p>
    <w:p w:rsidR="008D60E2" w:rsidRDefault="00A13A70">
      <w:pPr>
        <w:spacing w:after="200" w:line="360" w:lineRule="auto"/>
        <w:ind w:left="480" w:hanging="480"/>
        <w:jc w:val="both"/>
      </w:pPr>
      <w:r>
        <w:rPr>
          <w:rFonts w:eastAsia="Noto Serif CJK TC"/>
          <w:b/>
          <w:bCs/>
        </w:rPr>
        <w:t xml:space="preserve">4. </w:t>
      </w:r>
      <w:proofErr w:type="gramStart"/>
      <w:r>
        <w:rPr>
          <w:rFonts w:eastAsia="Noto Serif CJK TC"/>
          <w:b/>
          <w:bCs/>
        </w:rPr>
        <w:t>資安合規</w:t>
      </w:r>
      <w:proofErr w:type="gramEnd"/>
      <w:r>
        <w:rPr>
          <w:rFonts w:eastAsia="Noto Serif CJK TC"/>
          <w:b/>
          <w:bCs/>
        </w:rPr>
        <w:t>要求（</w:t>
      </w:r>
      <w:r>
        <w:rPr>
          <w:rFonts w:eastAsia="Noto Serif CJK TC"/>
          <w:b/>
          <w:bCs/>
        </w:rPr>
        <w:t>Cybersecurity Compliance</w:t>
      </w:r>
      <w:r>
        <w:rPr>
          <w:rFonts w:eastAsia="Noto Serif CJK TC"/>
          <w:b/>
          <w:bCs/>
        </w:rPr>
        <w:t>）：</w:t>
      </w:r>
      <w:r>
        <w:rPr>
          <w:rFonts w:eastAsia="Noto Serif CJK TC"/>
        </w:rPr>
        <w:t>確認開源模型自建方案，是否符合資通安全管理法及</w:t>
      </w:r>
      <w:proofErr w:type="gramStart"/>
      <w:r>
        <w:rPr>
          <w:rFonts w:eastAsia="Noto Serif CJK TC"/>
        </w:rPr>
        <w:t>相關資安等級</w:t>
      </w:r>
      <w:proofErr w:type="gramEnd"/>
      <w:r>
        <w:rPr>
          <w:rFonts w:eastAsia="Noto Serif CJK TC"/>
        </w:rPr>
        <w:t>要求，並就模型來源之供應鏈風險（如訓練資料來源不明、後門疑慮）建立審查機制。</w:t>
      </w:r>
    </w:p>
    <w:p w:rsidR="008D60E2" w:rsidRDefault="00A13A70">
      <w:pPr>
        <w:pStyle w:val="1"/>
        <w:pageBreakBefore/>
      </w:pPr>
      <w:bookmarkStart w:id="13" w:name="_Toc238090776"/>
      <w:r>
        <w:lastRenderedPageBreak/>
        <w:t>第五章　結論與政策建議</w:t>
      </w:r>
      <w:bookmarkEnd w:id="13"/>
    </w:p>
    <w:p w:rsidR="008D60E2" w:rsidRDefault="00A13A70">
      <w:pPr>
        <w:pStyle w:val="2"/>
        <w:spacing w:before="300"/>
      </w:pPr>
      <w:bookmarkStart w:id="14" w:name="_Toc238090777"/>
      <w:r>
        <w:t>5.1</w:t>
      </w:r>
      <w:r>
        <w:t xml:space="preserve">　研究發現與理論貢獻</w:t>
      </w:r>
      <w:bookmarkEnd w:id="14"/>
    </w:p>
    <w:p w:rsidR="008D60E2" w:rsidRDefault="00A13A70">
      <w:pPr>
        <w:spacing w:after="200" w:line="360" w:lineRule="auto"/>
        <w:jc w:val="both"/>
      </w:pPr>
      <w:r>
        <w:rPr>
          <w:rFonts w:eastAsia="Noto Serif CJK TC"/>
        </w:rPr>
        <w:t>本研究成功破解了</w:t>
      </w:r>
      <w:proofErr w:type="gramStart"/>
      <w:r>
        <w:rPr>
          <w:rFonts w:eastAsia="Noto Serif CJK TC"/>
        </w:rPr>
        <w:t>過去軟法治理</w:t>
      </w:r>
      <w:proofErr w:type="gramEnd"/>
      <w:r>
        <w:rPr>
          <w:rFonts w:eastAsia="Noto Serif CJK TC"/>
        </w:rPr>
        <w:t>帶來的虛假合規幻覺，確立了</w:t>
      </w:r>
      <w:r>
        <w:rPr>
          <w:rFonts w:eastAsia="Noto Serif CJK TC"/>
        </w:rPr>
        <w:t xml:space="preserve"> MSCC </w:t>
      </w:r>
      <w:r>
        <w:rPr>
          <w:rFonts w:eastAsia="Noto Serif CJK TC"/>
        </w:rPr>
        <w:t>作為公部門導入</w:t>
      </w:r>
      <w:r>
        <w:rPr>
          <w:rFonts w:eastAsia="Noto Serif CJK TC"/>
        </w:rPr>
        <w:t xml:space="preserve"> AI </w:t>
      </w:r>
      <w:r>
        <w:rPr>
          <w:rFonts w:eastAsia="Noto Serif CJK TC"/>
        </w:rPr>
        <w:t>系統時不可逾越</w:t>
      </w:r>
      <w:proofErr w:type="gramStart"/>
      <w:r>
        <w:rPr>
          <w:rFonts w:eastAsia="Noto Serif CJK TC"/>
        </w:rPr>
        <w:t>的硬法門</w:t>
      </w:r>
      <w:proofErr w:type="gramEnd"/>
      <w:r>
        <w:rPr>
          <w:rFonts w:eastAsia="Noto Serif CJK TC"/>
        </w:rPr>
        <w:t>檻。理論上，本研究補足了公共行政與公法學界在面對黑盒演算法時，長期缺乏「可營運、</w:t>
      </w:r>
      <w:proofErr w:type="gramStart"/>
      <w:r>
        <w:rPr>
          <w:rFonts w:eastAsia="Noto Serif CJK TC"/>
        </w:rPr>
        <w:t>可裁罰</w:t>
      </w:r>
      <w:proofErr w:type="gramEnd"/>
      <w:r>
        <w:rPr>
          <w:rFonts w:eastAsia="Noto Serif CJK TC"/>
        </w:rPr>
        <w:t>、可監督」工具的重大空白；實務上，透過</w:t>
      </w:r>
      <w:r>
        <w:rPr>
          <w:rFonts w:eastAsia="Noto Serif CJK TC"/>
        </w:rPr>
        <w:t xml:space="preserve"> MODA</w:t>
      </w:r>
      <w:r>
        <w:rPr>
          <w:rFonts w:eastAsia="Noto Serif CJK TC"/>
        </w:rPr>
        <w:t>、</w:t>
      </w:r>
      <w:proofErr w:type="gramStart"/>
      <w:r>
        <w:rPr>
          <w:rFonts w:eastAsia="Noto Serif CJK TC"/>
        </w:rPr>
        <w:t>審計部與行政法院</w:t>
      </w:r>
      <w:proofErr w:type="gramEnd"/>
      <w:r>
        <w:rPr>
          <w:rFonts w:eastAsia="Noto Serif CJK TC"/>
        </w:rPr>
        <w:t>的三機關矩陣，建構了橫跨採購、稽核與司法救濟的完整責任體系。</w:t>
      </w:r>
    </w:p>
    <w:p w:rsidR="008D60E2" w:rsidRDefault="00A13A70">
      <w:pPr>
        <w:spacing w:after="200" w:line="360" w:lineRule="auto"/>
        <w:jc w:val="both"/>
      </w:pPr>
      <w:r>
        <w:rPr>
          <w:rFonts w:eastAsia="Noto Serif CJK TC"/>
        </w:rPr>
        <w:t xml:space="preserve">MSCC </w:t>
      </w:r>
      <w:r>
        <w:rPr>
          <w:rFonts w:eastAsia="Noto Serif CJK TC"/>
        </w:rPr>
        <w:t>同時可與公法上的「國家擔保責任（</w:t>
      </w:r>
      <w:proofErr w:type="spellStart"/>
      <w:r>
        <w:rPr>
          <w:rFonts w:eastAsia="Noto Serif CJK TC"/>
        </w:rPr>
        <w:t>Gewährleistungsverantwortung</w:t>
      </w:r>
      <w:proofErr w:type="spellEnd"/>
      <w:r>
        <w:rPr>
          <w:rFonts w:eastAsia="Noto Serif CJK TC"/>
        </w:rPr>
        <w:t>）」與「正當法律程序」理論對話。國家擔保責任概念源於德國公法學界對「</w:t>
      </w:r>
      <w:proofErr w:type="gramStart"/>
      <w:r>
        <w:rPr>
          <w:rFonts w:eastAsia="Noto Serif CJK TC"/>
        </w:rPr>
        <w:t>任務私化</w:t>
      </w:r>
      <w:proofErr w:type="gramEnd"/>
      <w:r>
        <w:rPr>
          <w:rFonts w:eastAsia="Noto Serif CJK TC"/>
        </w:rPr>
        <w:t>（</w:t>
      </w:r>
      <w:proofErr w:type="spellStart"/>
      <w:r>
        <w:rPr>
          <w:rFonts w:eastAsia="Noto Serif CJK TC"/>
        </w:rPr>
        <w:t>Privatisierung</w:t>
      </w:r>
      <w:proofErr w:type="spellEnd"/>
      <w:r>
        <w:rPr>
          <w:rFonts w:eastAsia="Noto Serif CJK TC"/>
        </w:rPr>
        <w:t>）」現象之反思：當國家將原本自行履行之公共任務，透過委託、特許或採購等方式</w:t>
      </w:r>
      <w:proofErr w:type="gramStart"/>
      <w:r>
        <w:rPr>
          <w:rFonts w:eastAsia="Noto Serif CJK TC"/>
        </w:rPr>
        <w:t>交由私部門</w:t>
      </w:r>
      <w:proofErr w:type="gramEnd"/>
      <w:r>
        <w:rPr>
          <w:rFonts w:eastAsia="Noto Serif CJK TC"/>
        </w:rPr>
        <w:t>執行時，國家雖不再直接「履行（</w:t>
      </w:r>
      <w:proofErr w:type="spellStart"/>
      <w:r>
        <w:rPr>
          <w:rFonts w:eastAsia="Noto Serif CJK TC"/>
        </w:rPr>
        <w:t>Erfüllung</w:t>
      </w:r>
      <w:proofErr w:type="spellEnd"/>
      <w:r>
        <w:rPr>
          <w:rFonts w:eastAsia="Noto Serif CJK TC"/>
        </w:rPr>
        <w:t>）」該任務，卻仍對任務之妥適完成負有「擔保（</w:t>
      </w:r>
      <w:proofErr w:type="spellStart"/>
      <w:r>
        <w:rPr>
          <w:rFonts w:eastAsia="Noto Serif CJK TC"/>
        </w:rPr>
        <w:t>Gewährleistung</w:t>
      </w:r>
      <w:proofErr w:type="spellEnd"/>
      <w:r>
        <w:rPr>
          <w:rFonts w:eastAsia="Noto Serif CJK TC"/>
        </w:rPr>
        <w:t>）」義務</w:t>
      </w:r>
      <w:r>
        <w:rPr>
          <w:rFonts w:eastAsia="Noto Serif CJK TC"/>
        </w:rPr>
        <w:t>——</w:t>
      </w:r>
      <w:r>
        <w:rPr>
          <w:rFonts w:eastAsia="Noto Serif CJK TC"/>
        </w:rPr>
        <w:t>國家須確保私部門之履行符合法治國原則，並保留必要之監督、介入與再接管工具。此一概念於我國行政法學界，已透過公私協力與行政合作法制之討論</w:t>
      </w:r>
      <w:proofErr w:type="gramStart"/>
      <w:r>
        <w:rPr>
          <w:rFonts w:eastAsia="Noto Serif CJK TC"/>
        </w:rPr>
        <w:t>（</w:t>
      </w:r>
      <w:proofErr w:type="gramEnd"/>
      <w:r>
        <w:rPr>
          <w:rFonts w:eastAsia="Noto Serif CJK TC"/>
        </w:rPr>
        <w:t>如詹鎮榮，</w:t>
      </w:r>
      <w:r>
        <w:rPr>
          <w:rFonts w:eastAsia="Noto Serif CJK TC"/>
        </w:rPr>
        <w:t>2014</w:t>
      </w:r>
      <w:r>
        <w:rPr>
          <w:rFonts w:eastAsia="Noto Serif CJK TC"/>
        </w:rPr>
        <w:t>；蘇永欽，</w:t>
      </w:r>
      <w:r>
        <w:rPr>
          <w:rFonts w:eastAsia="Noto Serif CJK TC"/>
        </w:rPr>
        <w:t>2012</w:t>
      </w:r>
      <w:proofErr w:type="gramStart"/>
      <w:r>
        <w:rPr>
          <w:rFonts w:eastAsia="Noto Serif CJK TC"/>
        </w:rPr>
        <w:t>）</w:t>
      </w:r>
      <w:proofErr w:type="gramEnd"/>
      <w:r>
        <w:rPr>
          <w:rFonts w:eastAsia="Noto Serif CJK TC"/>
        </w:rPr>
        <w:t>獲得相當程度之繼受，惟既有討論多聚焦於傳統公共服務委外（如自來水、電信、運輸）與公私法規範調合之一般理論，較少延伸至「演算法委外」此一新興治理型態。本研究之嘗試，即在於將國家擔保責任此一原則性、抽象性之公法概念，透過</w:t>
      </w:r>
      <w:r>
        <w:rPr>
          <w:rFonts w:eastAsia="Noto Serif CJK TC"/>
        </w:rPr>
        <w:t xml:space="preserve"> MSCC </w:t>
      </w:r>
      <w:r>
        <w:rPr>
          <w:rFonts w:eastAsia="Noto Serif CJK TC"/>
        </w:rPr>
        <w:t>四大硬指標，轉譯為可具體檢驗之技術與契約條件</w:t>
      </w:r>
      <w:proofErr w:type="gramStart"/>
      <w:r>
        <w:rPr>
          <w:rFonts w:eastAsia="Noto Serif CJK TC"/>
        </w:rPr>
        <w:t>—</w:t>
      </w:r>
      <w:proofErr w:type="gramEnd"/>
      <w:r>
        <w:rPr>
          <w:rFonts w:eastAsia="Noto Serif CJK TC"/>
        </w:rPr>
        <w:t>—</w:t>
      </w:r>
      <w:r>
        <w:rPr>
          <w:rFonts w:eastAsia="Noto Serif CJK TC"/>
        </w:rPr>
        <w:t>換言之，</w:t>
      </w:r>
      <w:r>
        <w:rPr>
          <w:rFonts w:eastAsia="Noto Serif CJK TC"/>
        </w:rPr>
        <w:t xml:space="preserve">MSCC </w:t>
      </w:r>
      <w:r>
        <w:rPr>
          <w:rFonts w:eastAsia="Noto Serif CJK TC"/>
        </w:rPr>
        <w:t>是「國家擔保責任在演算法委外情境下之操作化」，而非另立新的公法原則。前者要求國家即使將執行任務交由演算法協助，仍須保有最終責任與實質控制工具；後者則要求行政處分之作成過程具備可追溯、可審查與可救濟的程序正義。</w:t>
      </w:r>
      <w:r>
        <w:rPr>
          <w:rFonts w:eastAsia="Noto Serif CJK TC"/>
        </w:rPr>
        <w:t xml:space="preserve">MSCC </w:t>
      </w:r>
      <w:r>
        <w:rPr>
          <w:rFonts w:eastAsia="Noto Serif CJK TC"/>
        </w:rPr>
        <w:t>的四大硬指標正是落實上述兩大公法原則的技術與制度條件。若進一步收斂至本土理論對話（詳見第二章</w:t>
      </w:r>
      <w:r>
        <w:rPr>
          <w:rFonts w:eastAsia="Noto Serif CJK TC"/>
        </w:rPr>
        <w:t>2.2</w:t>
      </w:r>
      <w:r>
        <w:rPr>
          <w:rFonts w:eastAsia="Noto Serif CJK TC"/>
        </w:rPr>
        <w:t>節），</w:t>
      </w:r>
      <w:r>
        <w:rPr>
          <w:rFonts w:eastAsia="Noto Serif CJK TC"/>
        </w:rPr>
        <w:t xml:space="preserve">MSCC </w:t>
      </w:r>
      <w:r>
        <w:rPr>
          <w:rFonts w:eastAsia="Noto Serif CJK TC"/>
        </w:rPr>
        <w:t>與邱文聰（</w:t>
      </w:r>
      <w:r>
        <w:rPr>
          <w:rFonts w:eastAsia="Noto Serif CJK TC"/>
        </w:rPr>
        <w:t>2025</w:t>
      </w:r>
      <w:r>
        <w:rPr>
          <w:rFonts w:eastAsia="Noto Serif CJK TC"/>
        </w:rPr>
        <w:t>）所提出「模仿型」人工智慧與法治相容之三項條件間，亦存在逐項對應關係：「同等履行獲得擔保」由「語意歸因」硬指標轉化為</w:t>
      </w:r>
      <w:proofErr w:type="gramStart"/>
      <w:r>
        <w:rPr>
          <w:rFonts w:eastAsia="Noto Serif CJK TC"/>
        </w:rPr>
        <w:t>持續性之逐案</w:t>
      </w:r>
      <w:proofErr w:type="gramEnd"/>
      <w:r>
        <w:rPr>
          <w:rFonts w:eastAsia="Noto Serif CJK TC"/>
        </w:rPr>
        <w:t>驗證機制；「保留人類最終救濟可能性」則由「斷路可控」與「責任鏈結」共同落實。</w:t>
      </w:r>
      <w:r>
        <w:rPr>
          <w:rFonts w:eastAsia="Noto Serif CJK TC"/>
        </w:rPr>
        <w:t xml:space="preserve">MSCC </w:t>
      </w:r>
      <w:r>
        <w:rPr>
          <w:rFonts w:eastAsia="Noto Serif CJK TC"/>
        </w:rPr>
        <w:t>於此意義下，可定位為銜接德國公法「國家擔保責任」理論與我國本土「模仿型人工智慧相容性」理論之共同操作化平台。</w:t>
      </w:r>
    </w:p>
    <w:p w:rsidR="008D60E2" w:rsidRDefault="00A13A70">
      <w:pPr>
        <w:spacing w:after="200" w:line="360" w:lineRule="auto"/>
        <w:jc w:val="both"/>
      </w:pPr>
      <w:r>
        <w:rPr>
          <w:rFonts w:eastAsia="Noto Serif CJK TC"/>
        </w:rPr>
        <w:t>惟須進一步追問：既有公私協力文獻（如水、電、電信等傳統公共服務委外）所發展之擔保責任理論，為何不足以直接適用於「演算法委外」，而須透過</w:t>
      </w:r>
      <w:r>
        <w:rPr>
          <w:rFonts w:eastAsia="Noto Serif CJK TC"/>
        </w:rPr>
        <w:t xml:space="preserve"> MSCC </w:t>
      </w:r>
      <w:r>
        <w:rPr>
          <w:rFonts w:eastAsia="Noto Serif CJK TC"/>
        </w:rPr>
        <w:t>另行操作化？本研究認為，關鍵差異有</w:t>
      </w:r>
      <w:proofErr w:type="gramStart"/>
      <w:r>
        <w:rPr>
          <w:rFonts w:eastAsia="Noto Serif CJK TC"/>
        </w:rPr>
        <w:t>三</w:t>
      </w:r>
      <w:proofErr w:type="gramEnd"/>
      <w:r>
        <w:rPr>
          <w:rFonts w:eastAsia="Noto Serif CJK TC"/>
        </w:rPr>
        <w:t>。</w:t>
      </w:r>
      <w:proofErr w:type="gramStart"/>
      <w:r>
        <w:rPr>
          <w:rFonts w:eastAsia="Noto Serif CJK TC"/>
        </w:rPr>
        <w:t>其一，</w:t>
      </w:r>
      <w:proofErr w:type="gramEnd"/>
      <w:r>
        <w:rPr>
          <w:rFonts w:eastAsia="Noto Serif CJK TC"/>
        </w:rPr>
        <w:t>傳統委外之受託事務通常具備「結果可驗證性」</w:t>
      </w:r>
      <w:r>
        <w:rPr>
          <w:rFonts w:eastAsia="Noto Serif CJK TC"/>
        </w:rPr>
        <w:t>——</w:t>
      </w:r>
      <w:r>
        <w:rPr>
          <w:rFonts w:eastAsia="Noto Serif CJK TC"/>
        </w:rPr>
        <w:t>自來水是否</w:t>
      </w:r>
      <w:r>
        <w:rPr>
          <w:rFonts w:eastAsia="Noto Serif CJK TC"/>
        </w:rPr>
        <w:lastRenderedPageBreak/>
        <w:t>符合水質標準、電力是否穩定供應，均可透過客觀技術指標事後檢驗，國家之擔保責任因此可透過驗收、稽核等靜態機制實現；然而生成式</w:t>
      </w:r>
      <w:r>
        <w:rPr>
          <w:rFonts w:eastAsia="Noto Serif CJK TC"/>
        </w:rPr>
        <w:t xml:space="preserve"> AI </w:t>
      </w:r>
      <w:r>
        <w:rPr>
          <w:rFonts w:eastAsia="Noto Serif CJK TC"/>
        </w:rPr>
        <w:t>之輸出具本質上之機率性與非決定性（見第三章），同一提示詞在不同時點可能產生不同結果，「結果」本身即不穩定，使傳統以「結果驗證」為核心之擔保機制失靈，必須轉而要求「過程」層次之持續控制能力（如</w:t>
      </w:r>
      <w:r>
        <w:rPr>
          <w:rFonts w:eastAsia="Noto Serif CJK TC"/>
        </w:rPr>
        <w:t xml:space="preserve"> MSCC </w:t>
      </w:r>
      <w:r>
        <w:rPr>
          <w:rFonts w:eastAsia="Noto Serif CJK TC"/>
        </w:rPr>
        <w:t>之全歷程留痕），此為本研究強調硬指標須聚焦於「控制權」而非「結果合格與否」之理論根源。</w:t>
      </w:r>
      <w:proofErr w:type="gramStart"/>
      <w:r>
        <w:rPr>
          <w:rFonts w:eastAsia="Noto Serif CJK TC"/>
        </w:rPr>
        <w:t>其二，</w:t>
      </w:r>
      <w:proofErr w:type="gramEnd"/>
      <w:r>
        <w:rPr>
          <w:rFonts w:eastAsia="Noto Serif CJK TC"/>
        </w:rPr>
        <w:t>傳統委外之技術黑盒程度有限，主管機關通常仍具備聘請第三方技師查核之能力；但生成式</w:t>
      </w:r>
      <w:r>
        <w:rPr>
          <w:rFonts w:eastAsia="Noto Serif CJK TC"/>
        </w:rPr>
        <w:t xml:space="preserve"> AI </w:t>
      </w:r>
      <w:r>
        <w:rPr>
          <w:rFonts w:eastAsia="Noto Serif CJK TC"/>
        </w:rPr>
        <w:t>模型參數規模龐大、訓練過程不透明，即便技術專家亦難以完整重建其決策邏輯，此一「不可逆之技術不對稱」，使國家擔保責任若</w:t>
      </w:r>
      <w:proofErr w:type="gramStart"/>
      <w:r>
        <w:rPr>
          <w:rFonts w:eastAsia="Noto Serif CJK TC"/>
        </w:rPr>
        <w:t>不</w:t>
      </w:r>
      <w:proofErr w:type="gramEnd"/>
      <w:r>
        <w:rPr>
          <w:rFonts w:eastAsia="Noto Serif CJK TC"/>
        </w:rPr>
        <w:t>透過契約與市場准入條件「前置」介入（如本研究第四章所主張），將難以於事後透過傳統稽核工具補救。其</w:t>
      </w:r>
      <w:proofErr w:type="gramStart"/>
      <w:r>
        <w:rPr>
          <w:rFonts w:eastAsia="Noto Serif CJK TC"/>
        </w:rPr>
        <w:t>三</w:t>
      </w:r>
      <w:proofErr w:type="gramEnd"/>
      <w:r>
        <w:rPr>
          <w:rFonts w:eastAsia="Noto Serif CJK TC"/>
        </w:rPr>
        <w:t>，傳統委外之責任歸屬路徑相對單純（機關</w:t>
      </w:r>
      <w:r>
        <w:rPr>
          <w:rFonts w:eastAsia="Noto Serif CJK TC"/>
        </w:rPr>
        <w:t>—</w:t>
      </w:r>
      <w:r>
        <w:rPr>
          <w:rFonts w:eastAsia="Noto Serif CJK TC"/>
        </w:rPr>
        <w:t>廠商雙方關係），而生成式</w:t>
      </w:r>
      <w:r>
        <w:rPr>
          <w:rFonts w:eastAsia="Noto Serif CJK TC"/>
        </w:rPr>
        <w:t xml:space="preserve"> AI </w:t>
      </w:r>
      <w:proofErr w:type="gramStart"/>
      <w:r>
        <w:rPr>
          <w:rFonts w:eastAsia="Noto Serif CJK TC"/>
        </w:rPr>
        <w:t>委外常涉</w:t>
      </w:r>
      <w:proofErr w:type="gramEnd"/>
      <w:r>
        <w:rPr>
          <w:rFonts w:eastAsia="Noto Serif CJK TC"/>
        </w:rPr>
        <w:t>及「機關</w:t>
      </w:r>
      <w:r>
        <w:rPr>
          <w:rFonts w:eastAsia="Noto Serif CJK TC"/>
        </w:rPr>
        <w:t>—</w:t>
      </w:r>
      <w:r>
        <w:rPr>
          <w:rFonts w:eastAsia="Noto Serif CJK TC"/>
        </w:rPr>
        <w:t>系統整合商</w:t>
      </w:r>
      <w:r>
        <w:rPr>
          <w:rFonts w:eastAsia="Noto Serif CJK TC"/>
        </w:rPr>
        <w:t>—</w:t>
      </w:r>
      <w:r>
        <w:rPr>
          <w:rFonts w:eastAsia="Noto Serif CJK TC"/>
        </w:rPr>
        <w:t>基礎模型供應商」之多層次</w:t>
      </w:r>
      <w:proofErr w:type="gramStart"/>
      <w:r>
        <w:rPr>
          <w:rFonts w:eastAsia="Noto Serif CJK TC"/>
        </w:rPr>
        <w:t>外包</w:t>
      </w:r>
      <w:proofErr w:type="gramEnd"/>
      <w:r>
        <w:rPr>
          <w:rFonts w:eastAsia="Noto Serif CJK TC"/>
        </w:rPr>
        <w:t>鏈，本研究第三章所析論之「責任蒸發鏈」，正是此一多層次外包結構下，傳統雙方擔保責任理論未能充分處理之新興</w:t>
      </w:r>
      <w:proofErr w:type="gramStart"/>
      <w:r>
        <w:rPr>
          <w:rFonts w:eastAsia="Noto Serif CJK TC"/>
        </w:rPr>
        <w:t>課責</w:t>
      </w:r>
      <w:proofErr w:type="gramEnd"/>
      <w:r>
        <w:rPr>
          <w:rFonts w:eastAsia="Noto Serif CJK TC"/>
        </w:rPr>
        <w:t>破口。基於上述三點差異，本研究主張</w:t>
      </w:r>
      <w:r>
        <w:rPr>
          <w:rFonts w:eastAsia="Noto Serif CJK TC"/>
        </w:rPr>
        <w:t xml:space="preserve"> MSCC </w:t>
      </w:r>
      <w:r>
        <w:rPr>
          <w:rFonts w:eastAsia="Noto Serif CJK TC"/>
        </w:rPr>
        <w:t>並非對既有國家擔保責任理論之否定，而是回應演算法委外此一新興</w:t>
      </w:r>
      <w:proofErr w:type="gramStart"/>
      <w:r>
        <w:rPr>
          <w:rFonts w:eastAsia="Noto Serif CJK TC"/>
        </w:rPr>
        <w:t>任務私化型態</w:t>
      </w:r>
      <w:proofErr w:type="gramEnd"/>
      <w:r>
        <w:rPr>
          <w:rFonts w:eastAsia="Noto Serif CJK TC"/>
        </w:rPr>
        <w:t>，所必要之理論延伸與操作化補充。</w:t>
      </w:r>
    </w:p>
    <w:p w:rsidR="008D60E2" w:rsidRDefault="00A13A70">
      <w:pPr>
        <w:spacing w:after="200" w:line="360" w:lineRule="auto"/>
        <w:jc w:val="both"/>
      </w:pPr>
      <w:r>
        <w:rPr>
          <w:rFonts w:eastAsia="Noto Serif CJK TC"/>
        </w:rPr>
        <w:t>值得欣慰的是，我國行政法學界對此已有初步回應。葉俊榮（</w:t>
      </w:r>
      <w:r>
        <w:rPr>
          <w:rFonts w:eastAsia="Noto Serif CJK TC"/>
        </w:rPr>
        <w:t>2025</w:t>
      </w:r>
      <w:r>
        <w:rPr>
          <w:rFonts w:eastAsia="Noto Serif CJK TC"/>
        </w:rPr>
        <w:t>）在其對行政管制理論之最新反思中，正面處理了人工智慧管制所面臨之「避免悲劇選擇」困境</w:t>
      </w:r>
      <w:proofErr w:type="gramStart"/>
      <w:r>
        <w:rPr>
          <w:rFonts w:eastAsia="Noto Serif CJK TC"/>
        </w:rPr>
        <w:t>—</w:t>
      </w:r>
      <w:proofErr w:type="gramEnd"/>
      <w:r>
        <w:rPr>
          <w:rFonts w:eastAsia="Noto Serif CJK TC"/>
        </w:rPr>
        <w:t>—</w:t>
      </w:r>
      <w:r>
        <w:rPr>
          <w:rFonts w:eastAsia="Noto Serif CJK TC"/>
        </w:rPr>
        <w:t>即管制者在演算法風險尚未充分展現前即介入，可能扼殺技術創新；但若等待風險完全顯現才行動，又可能造成不可回復之損害，並主張以「協調治理」取代傳統由上而下之管制模式，強調管制者與被管制對象間之持續對話機制。此一主張與本研究第四章所提出之三機關落地工具矩陣，存在方法論上之呼應：</w:t>
      </w:r>
      <w:r>
        <w:rPr>
          <w:rFonts w:eastAsia="Noto Serif CJK TC"/>
        </w:rPr>
        <w:t xml:space="preserve">MSCC </w:t>
      </w:r>
      <w:r>
        <w:rPr>
          <w:rFonts w:eastAsia="Noto Serif CJK TC"/>
        </w:rPr>
        <w:t>硬指標與工具矩陣，可視為將「協調治理」之抽象倡議，進一步具體化為可寫入契約、可稽核、可訴訟之操作介面。另一方面，李韶曼（</w:t>
      </w:r>
      <w:r>
        <w:rPr>
          <w:rFonts w:eastAsia="Noto Serif CJK TC"/>
        </w:rPr>
        <w:t>2025</w:t>
      </w:r>
      <w:r>
        <w:rPr>
          <w:rFonts w:eastAsia="Noto Serif CJK TC"/>
        </w:rPr>
        <w:t>）以檢察系統導入</w:t>
      </w:r>
      <w:r>
        <w:rPr>
          <w:rFonts w:eastAsia="Noto Serif CJK TC"/>
        </w:rPr>
        <w:t xml:space="preserve"> AI </w:t>
      </w:r>
      <w:r>
        <w:rPr>
          <w:rFonts w:eastAsia="Noto Serif CJK TC"/>
        </w:rPr>
        <w:t>智慧輔助之實務經驗為例，具體指出我國公部門於實際導入</w:t>
      </w:r>
      <w:r>
        <w:rPr>
          <w:rFonts w:eastAsia="Noto Serif CJK TC"/>
        </w:rPr>
        <w:t xml:space="preserve"> AI </w:t>
      </w:r>
      <w:r>
        <w:rPr>
          <w:rFonts w:eastAsia="Noto Serif CJK TC"/>
        </w:rPr>
        <w:t>輔助決策工具時，確實面臨基層人員對系統產出之過度信賴、缺乏有效之技術質疑管道等實踐困境，此一實務觀察與本研究第二章所析論之「官僚</w:t>
      </w:r>
      <w:proofErr w:type="gramStart"/>
      <w:r>
        <w:rPr>
          <w:rFonts w:eastAsia="Noto Serif CJK TC"/>
        </w:rPr>
        <w:t>舒適圈</w:t>
      </w:r>
      <w:proofErr w:type="gramEnd"/>
      <w:r>
        <w:rPr>
          <w:rFonts w:eastAsia="Noto Serif CJK TC"/>
        </w:rPr>
        <w:t>」及第三章之「</w:t>
      </w:r>
      <w:proofErr w:type="gramStart"/>
      <w:r>
        <w:rPr>
          <w:rFonts w:eastAsia="Noto Serif CJK TC"/>
        </w:rPr>
        <w:t>自動化偏</w:t>
      </w:r>
      <w:proofErr w:type="gramEnd"/>
      <w:r>
        <w:rPr>
          <w:rFonts w:eastAsia="Noto Serif CJK TC"/>
        </w:rPr>
        <w:t>誤」，形成初步之經驗呼應，亦部分回應本研究於</w:t>
      </w:r>
      <w:r>
        <w:rPr>
          <w:rFonts w:eastAsia="Noto Serif CJK TC"/>
        </w:rPr>
        <w:t xml:space="preserve"> 1.3 </w:t>
      </w:r>
      <w:r>
        <w:rPr>
          <w:rFonts w:eastAsia="Noto Serif CJK TC"/>
        </w:rPr>
        <w:t>節所自承之經驗基礎薄弱之限制</w:t>
      </w:r>
      <w:r>
        <w:rPr>
          <w:rFonts w:eastAsia="Noto Serif CJK TC"/>
        </w:rPr>
        <w:t>——</w:t>
      </w:r>
      <w:r>
        <w:rPr>
          <w:rFonts w:eastAsia="Noto Serif CJK TC"/>
        </w:rPr>
        <w:t>惟仍須指出，李韶曼之觀察聚焦於檢察系統此一特定場域，能否推及至本研究所涵蓋之一般行政決策情境，仍待後續研究以更廣泛之案例檢驗。</w:t>
      </w:r>
    </w:p>
    <w:p w:rsidR="008D60E2" w:rsidRDefault="00A13A70">
      <w:pPr>
        <w:spacing w:after="200" w:line="360" w:lineRule="auto"/>
        <w:jc w:val="both"/>
      </w:pPr>
      <w:r>
        <w:rPr>
          <w:rFonts w:eastAsia="Noto Serif CJK TC"/>
        </w:rPr>
        <w:t>據此，本研究之理論貢獻應精確定位為「制度設計理論（</w:t>
      </w:r>
      <w:r>
        <w:rPr>
          <w:rFonts w:eastAsia="Noto Serif CJK TC"/>
        </w:rPr>
        <w:t>Institutional Design Theory</w:t>
      </w:r>
      <w:r>
        <w:rPr>
          <w:rFonts w:eastAsia="Noto Serif CJK TC"/>
        </w:rPr>
        <w:t>）」層次之嘗試，而非對「國家擔保責任」或「正當法律程序」等既有公法教義本身進行</w:t>
      </w:r>
      <w:proofErr w:type="gramStart"/>
      <w:r>
        <w:rPr>
          <w:rFonts w:eastAsia="Noto Serif CJK TC"/>
        </w:rPr>
        <w:t>體系性再建</w:t>
      </w:r>
      <w:proofErr w:type="gramEnd"/>
      <w:r>
        <w:rPr>
          <w:rFonts w:eastAsia="Noto Serif CJK TC"/>
        </w:rPr>
        <w:lastRenderedPageBreak/>
        <w:t>構或要件重組。本研究並未主張推翻或修正上述公法原則之既有理論內涵，而是致力於回答一個更為技術性、操作性之問題：在演算法委外之具體情境下，前述公法原則所要求之「保留必要監督與介入工具」，究竟應具體化為哪些可測量、可稽核、可寫入契約之硬性條件？此一定位上之區辨，有助於讀者判斷本研究之學術定位，並避免與公法教義學研究之評價標準混淆。</w:t>
      </w:r>
    </w:p>
    <w:p w:rsidR="008D60E2" w:rsidRDefault="00A13A70">
      <w:pPr>
        <w:pStyle w:val="2"/>
        <w:spacing w:before="300"/>
      </w:pPr>
      <w:bookmarkStart w:id="15" w:name="_Toc238090778"/>
      <w:r>
        <w:t>5.2</w:t>
      </w:r>
      <w:r>
        <w:t xml:space="preserve">　四階段政策改革藍圖</w:t>
      </w:r>
      <w:bookmarkEnd w:id="15"/>
    </w:p>
    <w:p w:rsidR="008D60E2" w:rsidRDefault="00A13A70">
      <w:pPr>
        <w:spacing w:after="200" w:line="360" w:lineRule="auto"/>
        <w:jc w:val="both"/>
      </w:pPr>
      <w:r>
        <w:rPr>
          <w:rFonts w:eastAsia="Noto Serif CJK TC"/>
        </w:rPr>
        <w:t>為實現上述目標，本研究提出四階段政策改革藍圖。惟須特別說明：《人工智慧基本法》已於民國</w:t>
      </w:r>
      <w:r>
        <w:rPr>
          <w:rFonts w:eastAsia="Noto Serif CJK TC"/>
        </w:rPr>
        <w:t xml:space="preserve"> 114 </w:t>
      </w:r>
      <w:r>
        <w:rPr>
          <w:rFonts w:eastAsia="Noto Serif CJK TC"/>
        </w:rPr>
        <w:t>年</w:t>
      </w:r>
      <w:r>
        <w:rPr>
          <w:rFonts w:eastAsia="Noto Serif CJK TC"/>
        </w:rPr>
        <w:t xml:space="preserve"> 12 </w:t>
      </w:r>
      <w:r>
        <w:rPr>
          <w:rFonts w:eastAsia="Noto Serif CJK TC"/>
        </w:rPr>
        <w:t>月</w:t>
      </w:r>
      <w:r>
        <w:rPr>
          <w:rFonts w:eastAsia="Noto Serif CJK TC"/>
        </w:rPr>
        <w:t xml:space="preserve"> 23 </w:t>
      </w:r>
      <w:r>
        <w:rPr>
          <w:rFonts w:eastAsia="Noto Serif CJK TC"/>
        </w:rPr>
        <w:t>日經立法院三讀通過（全文</w:t>
      </w:r>
      <w:r>
        <w:rPr>
          <w:rFonts w:eastAsia="Noto Serif CJK TC"/>
        </w:rPr>
        <w:t xml:space="preserve"> 20 </w:t>
      </w:r>
      <w:r>
        <w:rPr>
          <w:rFonts w:eastAsia="Noto Serif CJK TC"/>
        </w:rPr>
        <w:t>條，中央主管機關為國家科學及技術委員會，數位發展部負責訂定風險分類框架），此一發展發生於本研究原始政策建議提出之後。現行條文尚未納入</w:t>
      </w:r>
      <w:r>
        <w:rPr>
          <w:rFonts w:eastAsia="Noto Serif CJK TC"/>
        </w:rPr>
        <w:t xml:space="preserve"> MSCC </w:t>
      </w:r>
      <w:r>
        <w:rPr>
          <w:rFonts w:eastAsia="Noto Serif CJK TC"/>
        </w:rPr>
        <w:t>之具體硬指標，故以下「法制重組」階段之建議，已由「推動立法」調整為「推動子法與施行細則之訂定」，以反映最新立法現況：</w:t>
      </w:r>
    </w:p>
    <w:p w:rsidR="008D60E2" w:rsidRDefault="00A13A70">
      <w:pPr>
        <w:spacing w:before="200" w:after="120"/>
        <w:jc w:val="center"/>
      </w:pPr>
      <w:r>
        <w:rPr>
          <w:rFonts w:eastAsia="Noto Serif CJK TC"/>
          <w:b/>
          <w:bCs/>
        </w:rPr>
        <w:t>表</w:t>
      </w:r>
      <w:r>
        <w:rPr>
          <w:rFonts w:eastAsia="Noto Serif CJK TC"/>
          <w:b/>
          <w:bCs/>
        </w:rPr>
        <w:t xml:space="preserve"> 5.1</w:t>
      </w:r>
      <w:r>
        <w:rPr>
          <w:rFonts w:eastAsia="Noto Serif CJK TC"/>
          <w:b/>
          <w:bCs/>
        </w:rPr>
        <w:t xml:space="preserve">　公部門</w:t>
      </w:r>
      <w:r>
        <w:rPr>
          <w:rFonts w:eastAsia="Noto Serif CJK TC"/>
          <w:b/>
          <w:bCs/>
        </w:rPr>
        <w:t xml:space="preserve"> AI </w:t>
      </w:r>
      <w:r>
        <w:rPr>
          <w:rFonts w:eastAsia="Noto Serif CJK TC"/>
          <w:b/>
          <w:bCs/>
        </w:rPr>
        <w:t>治理四階段政策改革藍圖（已依《人工智慧基本法》立法現況更新）</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500"/>
        <w:gridCol w:w="2338"/>
        <w:gridCol w:w="2400"/>
      </w:tblGrid>
      <w:tr w:rsidR="008D60E2">
        <w:trPr>
          <w:tblHeader/>
        </w:trPr>
        <w:tc>
          <w:tcPr>
            <w:tcW w:w="24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 xml:space="preserve">1. </w:t>
            </w:r>
            <w:r>
              <w:rPr>
                <w:rFonts w:eastAsia="Noto Serif CJK TC"/>
                <w:b/>
                <w:bCs/>
                <w:sz w:val="22"/>
                <w:szCs w:val="22"/>
              </w:rPr>
              <w:t>法制重組</w:t>
            </w:r>
          </w:p>
        </w:tc>
        <w:tc>
          <w:tcPr>
            <w:tcW w:w="25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 xml:space="preserve">2. </w:t>
            </w:r>
            <w:r>
              <w:rPr>
                <w:rFonts w:eastAsia="Noto Serif CJK TC"/>
                <w:b/>
                <w:bCs/>
                <w:sz w:val="22"/>
                <w:szCs w:val="22"/>
              </w:rPr>
              <w:t>採購革命</w:t>
            </w:r>
          </w:p>
        </w:tc>
        <w:tc>
          <w:tcPr>
            <w:tcW w:w="2338"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 xml:space="preserve">3. </w:t>
            </w:r>
            <w:r>
              <w:rPr>
                <w:rFonts w:eastAsia="Noto Serif CJK TC"/>
                <w:b/>
                <w:bCs/>
                <w:sz w:val="22"/>
                <w:szCs w:val="22"/>
              </w:rPr>
              <w:t>審計法制化</w:t>
            </w:r>
          </w:p>
        </w:tc>
        <w:tc>
          <w:tcPr>
            <w:tcW w:w="24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 xml:space="preserve">4. </w:t>
            </w:r>
            <w:r>
              <w:rPr>
                <w:rFonts w:eastAsia="Noto Serif CJK TC"/>
                <w:b/>
                <w:bCs/>
                <w:sz w:val="22"/>
                <w:szCs w:val="22"/>
              </w:rPr>
              <w:t>救濟與保障</w:t>
            </w:r>
          </w:p>
        </w:tc>
      </w:tr>
      <w:tr w:rsidR="008D60E2">
        <w:tc>
          <w:tcPr>
            <w:tcW w:w="2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推動《人工智慧基本法》子法／施行細則</w:t>
            </w:r>
            <w:r>
              <w:rPr>
                <w:rFonts w:eastAsia="Noto Serif CJK TC"/>
                <w:sz w:val="22"/>
                <w:szCs w:val="22"/>
              </w:rPr>
              <w:t xml:space="preserve"> </w:t>
            </w:r>
            <w:r>
              <w:rPr>
                <w:rFonts w:eastAsia="Noto Serif CJK TC"/>
                <w:sz w:val="22"/>
                <w:szCs w:val="22"/>
              </w:rPr>
              <w:t>將</w:t>
            </w:r>
            <w:r>
              <w:rPr>
                <w:rFonts w:eastAsia="Noto Serif CJK TC"/>
                <w:sz w:val="22"/>
                <w:szCs w:val="22"/>
              </w:rPr>
              <w:t xml:space="preserve"> MSCC </w:t>
            </w:r>
            <w:r>
              <w:rPr>
                <w:rFonts w:eastAsia="Noto Serif CJK TC"/>
                <w:sz w:val="22"/>
                <w:szCs w:val="22"/>
              </w:rPr>
              <w:t>四大硬指標納入高風險</w:t>
            </w:r>
            <w:r>
              <w:rPr>
                <w:rFonts w:eastAsia="Noto Serif CJK TC"/>
                <w:sz w:val="22"/>
                <w:szCs w:val="22"/>
              </w:rPr>
              <w:t xml:space="preserve"> AI </w:t>
            </w:r>
            <w:r>
              <w:rPr>
                <w:rFonts w:eastAsia="Noto Serif CJK TC"/>
                <w:sz w:val="22"/>
                <w:szCs w:val="22"/>
              </w:rPr>
              <w:t>應用之法定要件</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MODA </w:t>
            </w:r>
            <w:r>
              <w:rPr>
                <w:rFonts w:eastAsia="Noto Serif CJK TC"/>
                <w:sz w:val="22"/>
                <w:szCs w:val="22"/>
              </w:rPr>
              <w:t>修正採購範本</w:t>
            </w:r>
            <w:r>
              <w:rPr>
                <w:rFonts w:eastAsia="Noto Serif CJK TC"/>
                <w:sz w:val="22"/>
                <w:szCs w:val="22"/>
              </w:rPr>
              <w:t xml:space="preserve"> </w:t>
            </w:r>
            <w:r>
              <w:rPr>
                <w:rFonts w:eastAsia="Noto Serif CJK TC"/>
                <w:sz w:val="22"/>
                <w:szCs w:val="22"/>
              </w:rPr>
              <w:t>強制</w:t>
            </w:r>
            <w:r>
              <w:rPr>
                <w:rFonts w:eastAsia="Noto Serif CJK TC"/>
                <w:sz w:val="22"/>
                <w:szCs w:val="22"/>
              </w:rPr>
              <w:t xml:space="preserve"> ZDR</w:t>
            </w:r>
            <w:r>
              <w:rPr>
                <w:rFonts w:eastAsia="Noto Serif CJK TC"/>
                <w:sz w:val="22"/>
                <w:szCs w:val="22"/>
              </w:rPr>
              <w:t>、權重可攜、</w:t>
            </w:r>
            <w:r>
              <w:rPr>
                <w:rFonts w:eastAsia="Noto Serif CJK TC"/>
                <w:sz w:val="22"/>
                <w:szCs w:val="22"/>
              </w:rPr>
              <w:t xml:space="preserve">Kill-Switch </w:t>
            </w:r>
            <w:r>
              <w:rPr>
                <w:rFonts w:eastAsia="Noto Serif CJK TC"/>
                <w:sz w:val="22"/>
                <w:szCs w:val="22"/>
              </w:rPr>
              <w:t>為必要條款</w:t>
            </w:r>
          </w:p>
        </w:tc>
        <w:tc>
          <w:tcPr>
            <w:tcW w:w="23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審計部增訂數位稽核規範</w:t>
            </w:r>
            <w:r>
              <w:rPr>
                <w:rFonts w:eastAsia="Noto Serif CJK TC"/>
                <w:sz w:val="22"/>
                <w:szCs w:val="22"/>
              </w:rPr>
              <w:t xml:space="preserve"> </w:t>
            </w:r>
            <w:r>
              <w:rPr>
                <w:rFonts w:eastAsia="Noto Serif CJK TC"/>
                <w:sz w:val="22"/>
                <w:szCs w:val="22"/>
              </w:rPr>
              <w:t>重合度抽查＋</w:t>
            </w:r>
            <w:proofErr w:type="gramStart"/>
            <w:r>
              <w:rPr>
                <w:rFonts w:eastAsia="Noto Serif CJK TC"/>
                <w:sz w:val="22"/>
                <w:szCs w:val="22"/>
              </w:rPr>
              <w:t>盲測演練</w:t>
            </w:r>
            <w:proofErr w:type="gramEnd"/>
          </w:p>
        </w:tc>
        <w:tc>
          <w:tcPr>
            <w:tcW w:w="24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司法院確立審查指引</w:t>
            </w:r>
            <w:r>
              <w:rPr>
                <w:rFonts w:eastAsia="Noto Serif CJK TC"/>
                <w:sz w:val="22"/>
                <w:szCs w:val="22"/>
              </w:rPr>
              <w:t xml:space="preserve"> </w:t>
            </w:r>
            <w:r>
              <w:rPr>
                <w:rFonts w:eastAsia="Noto Serif CJK TC"/>
                <w:sz w:val="22"/>
                <w:szCs w:val="22"/>
              </w:rPr>
              <w:t>舉證反轉＋異議免責</w:t>
            </w:r>
          </w:p>
        </w:tc>
      </w:tr>
    </w:tbl>
    <w:p w:rsidR="008D60E2" w:rsidRDefault="00A13A70">
      <w:pPr>
        <w:spacing w:after="200" w:line="360" w:lineRule="auto"/>
        <w:ind w:left="480" w:hanging="480"/>
        <w:jc w:val="both"/>
      </w:pPr>
      <w:r>
        <w:rPr>
          <w:rFonts w:eastAsia="Noto Serif CJK TC"/>
          <w:b/>
          <w:bCs/>
        </w:rPr>
        <w:t xml:space="preserve">1. </w:t>
      </w:r>
      <w:r>
        <w:rPr>
          <w:rFonts w:eastAsia="Noto Serif CJK TC"/>
          <w:b/>
          <w:bCs/>
        </w:rPr>
        <w:t>法制重組階段：</w:t>
      </w:r>
      <w:r>
        <w:rPr>
          <w:rFonts w:eastAsia="Noto Serif CJK TC"/>
        </w:rPr>
        <w:t>《人工智慧基本法》業經立法院三讀通過並確立國科會為中央主管機關，惟現行</w:t>
      </w:r>
      <w:r>
        <w:rPr>
          <w:rFonts w:eastAsia="Noto Serif CJK TC"/>
        </w:rPr>
        <w:t xml:space="preserve"> 20 </w:t>
      </w:r>
      <w:r>
        <w:rPr>
          <w:rFonts w:eastAsia="Noto Serif CJK TC"/>
        </w:rPr>
        <w:t>條條文屬原則性宣示，尚未具體規定</w:t>
      </w:r>
      <w:r>
        <w:rPr>
          <w:rFonts w:eastAsia="Noto Serif CJK TC"/>
        </w:rPr>
        <w:t xml:space="preserve"> MSCC </w:t>
      </w:r>
      <w:r>
        <w:rPr>
          <w:rFonts w:eastAsia="Noto Serif CJK TC"/>
        </w:rPr>
        <w:t>各項硬指標。下一階段之首要工作，應由數位發展部依法所賦予之「風險分類框架」訂定權限，會同國科會推動子法或施行細則，將</w:t>
      </w:r>
      <w:r>
        <w:rPr>
          <w:rFonts w:eastAsia="Noto Serif CJK TC"/>
        </w:rPr>
        <w:t xml:space="preserve"> ZDR</w:t>
      </w:r>
      <w:r>
        <w:rPr>
          <w:rFonts w:eastAsia="Noto Serif CJK TC"/>
        </w:rPr>
        <w:t>、</w:t>
      </w:r>
      <w:r>
        <w:rPr>
          <w:rFonts w:eastAsia="Noto Serif CJK TC"/>
        </w:rPr>
        <w:t>Kill-Switch</w:t>
      </w:r>
      <w:r>
        <w:rPr>
          <w:rFonts w:eastAsia="Noto Serif CJK TC"/>
        </w:rPr>
        <w:t>、</w:t>
      </w:r>
      <w:proofErr w:type="gramStart"/>
      <w:r>
        <w:rPr>
          <w:rFonts w:eastAsia="Noto Serif CJK TC"/>
        </w:rPr>
        <w:t>切片級歸因</w:t>
      </w:r>
      <w:proofErr w:type="gramEnd"/>
      <w:r>
        <w:rPr>
          <w:rFonts w:eastAsia="Noto Serif CJK TC"/>
        </w:rPr>
        <w:t>與不可竄改</w:t>
      </w:r>
      <w:r>
        <w:rPr>
          <w:rFonts w:eastAsia="Noto Serif CJK TC"/>
        </w:rPr>
        <w:t xml:space="preserve"> Log </w:t>
      </w:r>
      <w:r>
        <w:rPr>
          <w:rFonts w:eastAsia="Noto Serif CJK TC"/>
        </w:rPr>
        <w:t>等要求，具體化為高風險</w:t>
      </w:r>
      <w:r>
        <w:rPr>
          <w:rFonts w:eastAsia="Noto Serif CJK TC"/>
        </w:rPr>
        <w:t xml:space="preserve"> AI </w:t>
      </w:r>
      <w:r>
        <w:rPr>
          <w:rFonts w:eastAsia="Noto Serif CJK TC"/>
        </w:rPr>
        <w:t>應用之法定最低標準，並</w:t>
      </w:r>
      <w:proofErr w:type="gramStart"/>
      <w:r>
        <w:rPr>
          <w:rFonts w:eastAsia="Noto Serif CJK TC"/>
        </w:rPr>
        <w:t>釐清數發部</w:t>
      </w:r>
      <w:proofErr w:type="gramEnd"/>
      <w:r>
        <w:rPr>
          <w:rFonts w:eastAsia="Noto Serif CJK TC"/>
        </w:rPr>
        <w:t>與國科會於風險分類、稽核分工上之權責界線，避免重蹈本研究第二章所述「業主邊界」之覆轍。</w:t>
      </w:r>
    </w:p>
    <w:p w:rsidR="008D60E2" w:rsidRDefault="00A13A70">
      <w:pPr>
        <w:spacing w:after="200" w:line="360" w:lineRule="auto"/>
        <w:ind w:left="480" w:hanging="480"/>
        <w:jc w:val="both"/>
      </w:pPr>
      <w:r>
        <w:rPr>
          <w:rFonts w:eastAsia="Noto Serif CJK TC"/>
          <w:b/>
          <w:bCs/>
        </w:rPr>
        <w:t xml:space="preserve">2. </w:t>
      </w:r>
      <w:r>
        <w:rPr>
          <w:rFonts w:eastAsia="Noto Serif CJK TC"/>
          <w:b/>
          <w:bCs/>
        </w:rPr>
        <w:t>採購革命階段：</w:t>
      </w:r>
      <w:r>
        <w:rPr>
          <w:rFonts w:eastAsia="Noto Serif CJK TC"/>
        </w:rPr>
        <w:t>由數位發展部全面修正「政府資訊服務採購契約範本」，強制將</w:t>
      </w:r>
      <w:r>
        <w:rPr>
          <w:rFonts w:eastAsia="Noto Serif CJK TC"/>
        </w:rPr>
        <w:t xml:space="preserve"> ZDR</w:t>
      </w:r>
      <w:r>
        <w:rPr>
          <w:rFonts w:eastAsia="Noto Serif CJK TC"/>
        </w:rPr>
        <w:t>、權重可攜性與</w:t>
      </w:r>
      <w:r>
        <w:rPr>
          <w:rFonts w:eastAsia="Noto Serif CJK TC"/>
        </w:rPr>
        <w:t xml:space="preserve"> Kill-Switch </w:t>
      </w:r>
      <w:r>
        <w:rPr>
          <w:rFonts w:eastAsia="Noto Serif CJK TC"/>
        </w:rPr>
        <w:t>納入必要採購條件。</w:t>
      </w:r>
    </w:p>
    <w:p w:rsidR="008D60E2" w:rsidRDefault="00A13A70">
      <w:pPr>
        <w:spacing w:after="200" w:line="360" w:lineRule="auto"/>
        <w:ind w:left="480" w:hanging="480"/>
        <w:jc w:val="both"/>
      </w:pPr>
      <w:r>
        <w:rPr>
          <w:rFonts w:eastAsia="Noto Serif CJK TC"/>
          <w:b/>
          <w:bCs/>
        </w:rPr>
        <w:t xml:space="preserve">3. </w:t>
      </w:r>
      <w:r>
        <w:rPr>
          <w:rFonts w:eastAsia="Noto Serif CJK TC"/>
          <w:b/>
          <w:bCs/>
        </w:rPr>
        <w:t>審計法制化階段：</w:t>
      </w:r>
      <w:r>
        <w:rPr>
          <w:rFonts w:eastAsia="Noto Serif CJK TC"/>
        </w:rPr>
        <w:t>國家審計部修訂數位稽核規範，將</w:t>
      </w:r>
      <w:r>
        <w:rPr>
          <w:rFonts w:eastAsia="Noto Serif CJK TC"/>
        </w:rPr>
        <w:t xml:space="preserve"> Prompt → RAG → </w:t>
      </w:r>
      <w:r>
        <w:rPr>
          <w:rFonts w:eastAsia="Noto Serif CJK TC"/>
        </w:rPr>
        <w:t>核章</w:t>
      </w:r>
      <w:r>
        <w:rPr>
          <w:rFonts w:eastAsia="Noto Serif CJK TC"/>
        </w:rPr>
        <w:t xml:space="preserve"> </w:t>
      </w:r>
      <w:r>
        <w:rPr>
          <w:rFonts w:eastAsia="Noto Serif CJK TC"/>
        </w:rPr>
        <w:t>之</w:t>
      </w:r>
      <w:r>
        <w:rPr>
          <w:rFonts w:eastAsia="Noto Serif CJK TC"/>
        </w:rPr>
        <w:t xml:space="preserve"> Log </w:t>
      </w:r>
      <w:r>
        <w:rPr>
          <w:rFonts w:eastAsia="Noto Serif CJK TC"/>
        </w:rPr>
        <w:t>留存狀況納入各機關之財務與效能審計。</w:t>
      </w:r>
    </w:p>
    <w:p w:rsidR="008D60E2" w:rsidRDefault="00A13A70">
      <w:pPr>
        <w:spacing w:after="200" w:line="360" w:lineRule="auto"/>
        <w:ind w:left="480" w:hanging="480"/>
        <w:jc w:val="both"/>
      </w:pPr>
      <w:r>
        <w:rPr>
          <w:rFonts w:eastAsia="Noto Serif CJK TC"/>
          <w:b/>
          <w:bCs/>
        </w:rPr>
        <w:lastRenderedPageBreak/>
        <w:t xml:space="preserve">4. </w:t>
      </w:r>
      <w:r>
        <w:rPr>
          <w:rFonts w:eastAsia="Noto Serif CJK TC"/>
          <w:b/>
          <w:bCs/>
        </w:rPr>
        <w:t>救濟與保障階段：</w:t>
      </w:r>
      <w:r>
        <w:rPr>
          <w:rFonts w:eastAsia="Noto Serif CJK TC"/>
        </w:rPr>
        <w:t>司法院與行政法院確立</w:t>
      </w:r>
      <w:r>
        <w:rPr>
          <w:rFonts w:eastAsia="Noto Serif CJK TC"/>
        </w:rPr>
        <w:t xml:space="preserve"> AI </w:t>
      </w:r>
      <w:r>
        <w:rPr>
          <w:rFonts w:eastAsia="Noto Serif CJK TC"/>
        </w:rPr>
        <w:t>輔助處分之實質審查指引，落實舉證責任反轉，並為提出專業異議之第一線文官建立實質組織保障。</w:t>
      </w:r>
    </w:p>
    <w:p w:rsidR="008D60E2" w:rsidRDefault="00A13A70">
      <w:pPr>
        <w:spacing w:after="200" w:line="360" w:lineRule="auto"/>
        <w:jc w:val="both"/>
      </w:pPr>
      <w:r>
        <w:rPr>
          <w:rFonts w:eastAsia="Noto Serif CJK TC"/>
        </w:rPr>
        <w:t>須特別說明的是，「救濟與保障階段」中所稱之舉證責任反轉原則（詳見附錄二工具包三），涉及現行《行政訴訟法》舉證責任分配基本規則之變更，性質上屬立法事項，非行政法院或訴願審議機關得以內部審查標準或判決先例逕行創設。其可行之修法路徑有二：</w:t>
      </w:r>
      <w:proofErr w:type="gramStart"/>
      <w:r>
        <w:rPr>
          <w:rFonts w:eastAsia="Noto Serif CJK TC"/>
        </w:rPr>
        <w:t>其一，</w:t>
      </w:r>
      <w:proofErr w:type="gramEnd"/>
      <w:r>
        <w:rPr>
          <w:rFonts w:eastAsia="Noto Serif CJK TC"/>
        </w:rPr>
        <w:t>於《行政訴訟法》或《行政程序法》相關條文中，就</w:t>
      </w:r>
      <w:r>
        <w:rPr>
          <w:rFonts w:eastAsia="Noto Serif CJK TC"/>
        </w:rPr>
        <w:t xml:space="preserve"> AI </w:t>
      </w:r>
      <w:r>
        <w:rPr>
          <w:rFonts w:eastAsia="Noto Serif CJK TC"/>
        </w:rPr>
        <w:t>輔助行政處分增訂特別之舉證責任分配規定；</w:t>
      </w:r>
      <w:proofErr w:type="gramStart"/>
      <w:r>
        <w:rPr>
          <w:rFonts w:eastAsia="Noto Serif CJK TC"/>
        </w:rPr>
        <w:t>其二，</w:t>
      </w:r>
      <w:proofErr w:type="gramEnd"/>
      <w:r>
        <w:rPr>
          <w:rFonts w:eastAsia="Noto Serif CJK TC"/>
        </w:rPr>
        <w:t>於《人工智慧基本法》未來修法擴充實體規範時，於該法中增訂高風險</w:t>
      </w:r>
      <w:r>
        <w:rPr>
          <w:rFonts w:eastAsia="Noto Serif CJK TC"/>
        </w:rPr>
        <w:t xml:space="preserve"> AI </w:t>
      </w:r>
      <w:r>
        <w:rPr>
          <w:rFonts w:eastAsia="Noto Serif CJK TC"/>
        </w:rPr>
        <w:t>應用之舉證責任特別條款，並明文授權行政法院適用。在完成上述修法程序之前，本研究所提出之舉證責任反轉原則，其定位應為政策倡議與司法實務發展方向之參考，而非可直接援引之現行法規範，</w:t>
      </w:r>
      <w:proofErr w:type="gramStart"/>
      <w:r>
        <w:rPr>
          <w:rFonts w:eastAsia="Noto Serif CJK TC"/>
        </w:rPr>
        <w:t>合先敘</w:t>
      </w:r>
      <w:proofErr w:type="gramEnd"/>
      <w:r>
        <w:rPr>
          <w:rFonts w:eastAsia="Noto Serif CJK TC"/>
        </w:rPr>
        <w:t>明。</w:t>
      </w:r>
    </w:p>
    <w:p w:rsidR="008D60E2" w:rsidRDefault="00A13A70">
      <w:pPr>
        <w:pStyle w:val="1"/>
        <w:pageBreakBefore/>
      </w:pPr>
      <w:bookmarkStart w:id="16" w:name="_Toc238090779"/>
      <w:r>
        <w:lastRenderedPageBreak/>
        <w:t>參考文獻</w:t>
      </w:r>
      <w:bookmarkEnd w:id="16"/>
    </w:p>
    <w:p w:rsidR="008D60E2" w:rsidRDefault="00A13A70">
      <w:pPr>
        <w:spacing w:after="200"/>
      </w:pPr>
      <w:proofErr w:type="gramStart"/>
      <w:r>
        <w:rPr>
          <w:rFonts w:eastAsia="Noto Serif CJK TC"/>
          <w:i/>
          <w:iCs/>
          <w:color w:val="C0392B"/>
          <w:sz w:val="20"/>
          <w:szCs w:val="20"/>
        </w:rPr>
        <w:t>【</w:t>
      </w:r>
      <w:proofErr w:type="gramEnd"/>
      <w:r>
        <w:rPr>
          <w:rFonts w:eastAsia="Noto Serif CJK TC"/>
          <w:i/>
          <w:iCs/>
          <w:color w:val="C0392B"/>
          <w:sz w:val="20"/>
          <w:szCs w:val="20"/>
        </w:rPr>
        <w:t>編按：</w:t>
      </w:r>
      <w:proofErr w:type="gramStart"/>
      <w:r>
        <w:rPr>
          <w:rFonts w:eastAsia="Noto Serif CJK TC"/>
          <w:i/>
          <w:iCs/>
          <w:color w:val="C0392B"/>
          <w:sz w:val="20"/>
          <w:szCs w:val="20"/>
        </w:rPr>
        <w:t>初稿曾誤植</w:t>
      </w:r>
      <w:proofErr w:type="gramEnd"/>
      <w:r>
        <w:rPr>
          <w:rFonts w:eastAsia="Noto Serif CJK TC"/>
          <w:i/>
          <w:iCs/>
          <w:color w:val="C0392B"/>
          <w:sz w:val="20"/>
          <w:szCs w:val="20"/>
        </w:rPr>
        <w:t>三筆無法查證出處之中文文獻（原標示為葉俊榮</w:t>
      </w:r>
      <w:r>
        <w:rPr>
          <w:rFonts w:eastAsia="Noto Serif CJK TC"/>
          <w:i/>
          <w:iCs/>
          <w:color w:val="C0392B"/>
          <w:sz w:val="20"/>
          <w:szCs w:val="20"/>
        </w:rPr>
        <w:t xml:space="preserve"> 2022</w:t>
      </w:r>
      <w:r>
        <w:rPr>
          <w:rFonts w:eastAsia="Noto Serif CJK TC"/>
          <w:i/>
          <w:iCs/>
          <w:color w:val="C0392B"/>
          <w:sz w:val="20"/>
          <w:szCs w:val="20"/>
        </w:rPr>
        <w:t>、詹鎮榮</w:t>
      </w:r>
      <w:r>
        <w:rPr>
          <w:rFonts w:eastAsia="Noto Serif CJK TC"/>
          <w:i/>
          <w:iCs/>
          <w:color w:val="C0392B"/>
          <w:sz w:val="20"/>
          <w:szCs w:val="20"/>
        </w:rPr>
        <w:t xml:space="preserve"> 2021</w:t>
      </w:r>
      <w:r>
        <w:rPr>
          <w:rFonts w:eastAsia="Noto Serif CJK TC"/>
          <w:i/>
          <w:iCs/>
          <w:color w:val="C0392B"/>
          <w:sz w:val="20"/>
          <w:szCs w:val="20"/>
        </w:rPr>
        <w:t>、蘇永欽</w:t>
      </w:r>
      <w:r>
        <w:rPr>
          <w:rFonts w:eastAsia="Noto Serif CJK TC"/>
          <w:i/>
          <w:iCs/>
          <w:color w:val="C0392B"/>
          <w:sz w:val="20"/>
          <w:szCs w:val="20"/>
        </w:rPr>
        <w:t xml:space="preserve"> 2020 </w:t>
      </w:r>
      <w:r>
        <w:rPr>
          <w:rFonts w:eastAsia="Noto Serif CJK TC"/>
          <w:i/>
          <w:iCs/>
          <w:color w:val="C0392B"/>
          <w:sz w:val="20"/>
          <w:szCs w:val="20"/>
        </w:rPr>
        <w:t>之期刊論文）。經複查確認上述期刊論文出處有誤，已將詹鎮榮、蘇永欽</w:t>
      </w:r>
      <w:proofErr w:type="gramStart"/>
      <w:r>
        <w:rPr>
          <w:rFonts w:eastAsia="Noto Serif CJK TC"/>
          <w:i/>
          <w:iCs/>
          <w:color w:val="C0392B"/>
          <w:sz w:val="20"/>
          <w:szCs w:val="20"/>
        </w:rPr>
        <w:t>部分改引其</w:t>
      </w:r>
      <w:proofErr w:type="gramEnd"/>
      <w:r>
        <w:rPr>
          <w:rFonts w:eastAsia="Noto Serif CJK TC"/>
          <w:i/>
          <w:iCs/>
          <w:color w:val="C0392B"/>
          <w:sz w:val="20"/>
          <w:szCs w:val="20"/>
        </w:rPr>
        <w:t>確實出版之真實專書著作；葉俊榮部分原亦因未能查得對應文獻而刪除，惟後續查證發現其確實於</w:t>
      </w:r>
      <w:r>
        <w:rPr>
          <w:rFonts w:eastAsia="Noto Serif CJK TC"/>
          <w:i/>
          <w:iCs/>
          <w:color w:val="C0392B"/>
          <w:sz w:val="20"/>
          <w:szCs w:val="20"/>
        </w:rPr>
        <w:t xml:space="preserve"> 2025 </w:t>
      </w:r>
      <w:r>
        <w:rPr>
          <w:rFonts w:eastAsia="Noto Serif CJK TC"/>
          <w:i/>
          <w:iCs/>
          <w:color w:val="C0392B"/>
          <w:sz w:val="20"/>
          <w:szCs w:val="20"/>
        </w:rPr>
        <w:t>年出版之學術對話專書中，收錄與本研究主題高度相關之真實篇章</w:t>
      </w:r>
      <w:proofErr w:type="gramStart"/>
      <w:r>
        <w:rPr>
          <w:rFonts w:eastAsia="Noto Serif CJK TC"/>
          <w:i/>
          <w:iCs/>
          <w:color w:val="C0392B"/>
          <w:sz w:val="20"/>
          <w:szCs w:val="20"/>
        </w:rPr>
        <w:t>〈</w:t>
      </w:r>
      <w:proofErr w:type="gramEnd"/>
      <w:r>
        <w:rPr>
          <w:rFonts w:eastAsia="Noto Serif CJK TC"/>
          <w:i/>
          <w:iCs/>
          <w:color w:val="C0392B"/>
          <w:sz w:val="20"/>
          <w:szCs w:val="20"/>
        </w:rPr>
        <w:t>人工智慧的管制：從避免悲劇選擇走向協調治理</w:t>
      </w:r>
      <w:proofErr w:type="gramStart"/>
      <w:r>
        <w:rPr>
          <w:rFonts w:eastAsia="Noto Serif CJK TC"/>
          <w:i/>
          <w:iCs/>
          <w:color w:val="C0392B"/>
          <w:sz w:val="20"/>
          <w:szCs w:val="20"/>
        </w:rPr>
        <w:t>〉</w:t>
      </w:r>
      <w:proofErr w:type="gramEnd"/>
      <w:r>
        <w:rPr>
          <w:rFonts w:eastAsia="Noto Serif CJK TC"/>
          <w:i/>
          <w:iCs/>
          <w:color w:val="C0392B"/>
          <w:sz w:val="20"/>
          <w:szCs w:val="20"/>
        </w:rPr>
        <w:t>，</w:t>
      </w:r>
      <w:proofErr w:type="gramStart"/>
      <w:r>
        <w:rPr>
          <w:rFonts w:eastAsia="Noto Serif CJK TC"/>
          <w:i/>
          <w:iCs/>
          <w:color w:val="C0392B"/>
          <w:sz w:val="20"/>
          <w:szCs w:val="20"/>
        </w:rPr>
        <w:t>已補入</w:t>
      </w:r>
      <w:proofErr w:type="gramEnd"/>
      <w:r>
        <w:rPr>
          <w:rFonts w:eastAsia="Noto Serif CJK TC"/>
          <w:i/>
          <w:iCs/>
          <w:color w:val="C0392B"/>
          <w:sz w:val="20"/>
          <w:szCs w:val="20"/>
        </w:rPr>
        <w:t>並於</w:t>
      </w:r>
      <w:r>
        <w:rPr>
          <w:rFonts w:eastAsia="Noto Serif CJK TC"/>
          <w:i/>
          <w:iCs/>
          <w:color w:val="C0392B"/>
          <w:sz w:val="20"/>
          <w:szCs w:val="20"/>
        </w:rPr>
        <w:t xml:space="preserve"> 5.1 </w:t>
      </w:r>
      <w:r>
        <w:rPr>
          <w:rFonts w:eastAsia="Noto Serif CJK TC"/>
          <w:i/>
          <w:iCs/>
          <w:color w:val="C0392B"/>
          <w:sz w:val="20"/>
          <w:szCs w:val="20"/>
        </w:rPr>
        <w:t>節納入實質討論；</w:t>
      </w:r>
      <w:proofErr w:type="gramStart"/>
      <w:r>
        <w:rPr>
          <w:rFonts w:eastAsia="Noto Serif CJK TC"/>
          <w:i/>
          <w:iCs/>
          <w:color w:val="C0392B"/>
          <w:sz w:val="20"/>
          <w:szCs w:val="20"/>
        </w:rPr>
        <w:t>同書中</w:t>
      </w:r>
      <w:proofErr w:type="gramEnd"/>
      <w:r>
        <w:rPr>
          <w:rFonts w:eastAsia="Noto Serif CJK TC"/>
          <w:i/>
          <w:iCs/>
          <w:color w:val="C0392B"/>
          <w:sz w:val="20"/>
          <w:szCs w:val="20"/>
        </w:rPr>
        <w:t>李韶曼〈人工智慧管制的實踐困境：以檢察</w:t>
      </w:r>
      <w:r>
        <w:rPr>
          <w:rFonts w:eastAsia="Noto Serif CJK TC"/>
          <w:i/>
          <w:iCs/>
          <w:color w:val="C0392B"/>
          <w:sz w:val="20"/>
          <w:szCs w:val="20"/>
        </w:rPr>
        <w:t>AI</w:t>
      </w:r>
      <w:r>
        <w:rPr>
          <w:rFonts w:eastAsia="Noto Serif CJK TC"/>
          <w:i/>
          <w:iCs/>
          <w:color w:val="C0392B"/>
          <w:sz w:val="20"/>
          <w:szCs w:val="20"/>
        </w:rPr>
        <w:t>智慧輔助系統為例</w:t>
      </w:r>
      <w:proofErr w:type="gramStart"/>
      <w:r>
        <w:rPr>
          <w:rFonts w:eastAsia="Noto Serif CJK TC"/>
          <w:i/>
          <w:iCs/>
          <w:color w:val="C0392B"/>
          <w:sz w:val="20"/>
          <w:szCs w:val="20"/>
        </w:rPr>
        <w:t>〉</w:t>
      </w:r>
      <w:proofErr w:type="gramEnd"/>
      <w:r>
        <w:rPr>
          <w:rFonts w:eastAsia="Noto Serif CJK TC"/>
          <w:i/>
          <w:iCs/>
          <w:color w:val="C0392B"/>
          <w:sz w:val="20"/>
          <w:szCs w:val="20"/>
        </w:rPr>
        <w:t>一文，亦與本研究主題相關，</w:t>
      </w:r>
      <w:proofErr w:type="gramStart"/>
      <w:r>
        <w:rPr>
          <w:rFonts w:eastAsia="Noto Serif CJK TC"/>
          <w:i/>
          <w:iCs/>
          <w:color w:val="C0392B"/>
          <w:sz w:val="20"/>
          <w:szCs w:val="20"/>
        </w:rPr>
        <w:t>一併補</w:t>
      </w:r>
      <w:proofErr w:type="gramEnd"/>
      <w:r>
        <w:rPr>
          <w:rFonts w:eastAsia="Noto Serif CJK TC"/>
          <w:i/>
          <w:iCs/>
          <w:color w:val="C0392B"/>
          <w:sz w:val="20"/>
          <w:szCs w:val="20"/>
        </w:rPr>
        <w:t>入。特此更正並致歉，以維學術倫理。】</w:t>
      </w:r>
    </w:p>
    <w:p w:rsidR="008D60E2" w:rsidRDefault="00A13A70">
      <w:pPr>
        <w:spacing w:after="160"/>
      </w:pPr>
      <w:r>
        <w:rPr>
          <w:rFonts w:eastAsia="Noto Serif CJK TC"/>
          <w:b/>
          <w:bCs/>
        </w:rPr>
        <w:t>中文文獻</w:t>
      </w:r>
    </w:p>
    <w:p w:rsidR="008D60E2" w:rsidRDefault="00A13A70">
      <w:pPr>
        <w:spacing w:after="160" w:line="300" w:lineRule="auto"/>
        <w:ind w:left="480" w:hanging="480"/>
        <w:jc w:val="both"/>
      </w:pPr>
      <w:r>
        <w:rPr>
          <w:rFonts w:eastAsia="Noto Serif CJK TC"/>
          <w:sz w:val="22"/>
          <w:szCs w:val="22"/>
        </w:rPr>
        <w:t>立法院（</w:t>
      </w:r>
      <w:r>
        <w:rPr>
          <w:rFonts w:eastAsia="Noto Serif CJK TC"/>
          <w:sz w:val="22"/>
          <w:szCs w:val="22"/>
        </w:rPr>
        <w:t>2025</w:t>
      </w:r>
      <w:r>
        <w:rPr>
          <w:rFonts w:eastAsia="Noto Serif CJK TC"/>
          <w:sz w:val="22"/>
          <w:szCs w:val="22"/>
        </w:rPr>
        <w:t>）。《人工智慧基本法》（中華民國</w:t>
      </w:r>
      <w:r>
        <w:rPr>
          <w:rFonts w:eastAsia="Noto Serif CJK TC"/>
          <w:sz w:val="22"/>
          <w:szCs w:val="22"/>
        </w:rPr>
        <w:t>114</w:t>
      </w:r>
      <w:r>
        <w:rPr>
          <w:rFonts w:eastAsia="Noto Serif CJK TC"/>
          <w:sz w:val="22"/>
          <w:szCs w:val="22"/>
        </w:rPr>
        <w:t>年</w:t>
      </w:r>
      <w:r>
        <w:rPr>
          <w:rFonts w:eastAsia="Noto Serif CJK TC"/>
          <w:sz w:val="22"/>
          <w:szCs w:val="22"/>
        </w:rPr>
        <w:t>12</w:t>
      </w:r>
      <w:r>
        <w:rPr>
          <w:rFonts w:eastAsia="Noto Serif CJK TC"/>
          <w:sz w:val="22"/>
          <w:szCs w:val="22"/>
        </w:rPr>
        <w:t>月</w:t>
      </w:r>
      <w:r>
        <w:rPr>
          <w:rFonts w:eastAsia="Noto Serif CJK TC"/>
          <w:sz w:val="22"/>
          <w:szCs w:val="22"/>
        </w:rPr>
        <w:t>23</w:t>
      </w:r>
      <w:r>
        <w:rPr>
          <w:rFonts w:eastAsia="Noto Serif CJK TC"/>
          <w:sz w:val="22"/>
          <w:szCs w:val="22"/>
        </w:rPr>
        <w:t>日三讀通過，全文</w:t>
      </w:r>
      <w:r>
        <w:rPr>
          <w:rFonts w:eastAsia="Noto Serif CJK TC"/>
          <w:sz w:val="22"/>
          <w:szCs w:val="22"/>
        </w:rPr>
        <w:t>20</w:t>
      </w:r>
      <w:r>
        <w:rPr>
          <w:rFonts w:eastAsia="Noto Serif CJK TC"/>
          <w:sz w:val="22"/>
          <w:szCs w:val="22"/>
        </w:rPr>
        <w:t>條，中央主管機關為國家科學及技術委員會）。台北：立法院。</w:t>
      </w:r>
    </w:p>
    <w:p w:rsidR="008D60E2" w:rsidRDefault="00A13A70">
      <w:pPr>
        <w:spacing w:after="160" w:line="300" w:lineRule="auto"/>
        <w:ind w:left="480" w:hanging="480"/>
        <w:jc w:val="both"/>
      </w:pPr>
      <w:r>
        <w:rPr>
          <w:rFonts w:eastAsia="Noto Serif CJK TC"/>
          <w:sz w:val="22"/>
          <w:szCs w:val="22"/>
        </w:rPr>
        <w:t>行政院（</w:t>
      </w:r>
      <w:r>
        <w:rPr>
          <w:rFonts w:eastAsia="Noto Serif CJK TC"/>
          <w:sz w:val="22"/>
          <w:szCs w:val="22"/>
        </w:rPr>
        <w:t>2025</w:t>
      </w:r>
      <w:r>
        <w:rPr>
          <w:rFonts w:eastAsia="Noto Serif CJK TC"/>
          <w:sz w:val="22"/>
          <w:szCs w:val="22"/>
        </w:rPr>
        <w:t>）。《人工智慧基本法》草案總說明（民國</w:t>
      </w:r>
      <w:r>
        <w:rPr>
          <w:rFonts w:eastAsia="Noto Serif CJK TC"/>
          <w:sz w:val="22"/>
          <w:szCs w:val="22"/>
        </w:rPr>
        <w:t>114</w:t>
      </w:r>
      <w:r>
        <w:rPr>
          <w:rFonts w:eastAsia="Noto Serif CJK TC"/>
          <w:sz w:val="22"/>
          <w:szCs w:val="22"/>
        </w:rPr>
        <w:t>年</w:t>
      </w:r>
      <w:r>
        <w:rPr>
          <w:rFonts w:eastAsia="Noto Serif CJK TC"/>
          <w:sz w:val="22"/>
          <w:szCs w:val="22"/>
        </w:rPr>
        <w:t>8</w:t>
      </w:r>
      <w:r>
        <w:rPr>
          <w:rFonts w:eastAsia="Noto Serif CJK TC"/>
          <w:sz w:val="22"/>
          <w:szCs w:val="22"/>
        </w:rPr>
        <w:t>月</w:t>
      </w:r>
      <w:r>
        <w:rPr>
          <w:rFonts w:eastAsia="Noto Serif CJK TC"/>
          <w:sz w:val="22"/>
          <w:szCs w:val="22"/>
        </w:rPr>
        <w:t>28</w:t>
      </w:r>
      <w:r>
        <w:rPr>
          <w:rFonts w:eastAsia="Noto Serif CJK TC"/>
          <w:sz w:val="22"/>
          <w:szCs w:val="22"/>
        </w:rPr>
        <w:t>日行政院會通過）。台北：行政院。</w:t>
      </w:r>
    </w:p>
    <w:p w:rsidR="008D60E2" w:rsidRDefault="00A13A70">
      <w:pPr>
        <w:spacing w:after="160" w:line="300" w:lineRule="auto"/>
        <w:ind w:left="480" w:hanging="480"/>
        <w:jc w:val="both"/>
      </w:pPr>
      <w:r>
        <w:rPr>
          <w:rFonts w:eastAsia="Noto Serif CJK TC"/>
          <w:sz w:val="22"/>
          <w:szCs w:val="22"/>
        </w:rPr>
        <w:t>監察院（</w:t>
      </w:r>
      <w:r>
        <w:rPr>
          <w:rFonts w:eastAsia="Noto Serif CJK TC"/>
          <w:sz w:val="22"/>
          <w:szCs w:val="22"/>
        </w:rPr>
        <w:t>2025</w:t>
      </w:r>
      <w:r>
        <w:rPr>
          <w:rFonts w:eastAsia="Noto Serif CJK TC"/>
          <w:sz w:val="22"/>
          <w:szCs w:val="22"/>
        </w:rPr>
        <w:t>）。監察委員賴鼎銘、林郁容、葉宜津：〈主權</w:t>
      </w:r>
      <w:r>
        <w:rPr>
          <w:rFonts w:eastAsia="Noto Serif CJK TC"/>
          <w:sz w:val="22"/>
          <w:szCs w:val="22"/>
        </w:rPr>
        <w:t>AI</w:t>
      </w:r>
      <w:r>
        <w:rPr>
          <w:rFonts w:eastAsia="Noto Serif CJK TC"/>
          <w:sz w:val="22"/>
          <w:szCs w:val="22"/>
        </w:rPr>
        <w:t>不能光說不「練」，資料治理也不是一個人的武林〉調查報告新聞稿（民國</w:t>
      </w:r>
      <w:r>
        <w:rPr>
          <w:rFonts w:eastAsia="Noto Serif CJK TC"/>
          <w:sz w:val="22"/>
          <w:szCs w:val="22"/>
        </w:rPr>
        <w:t>114</w:t>
      </w:r>
      <w:r>
        <w:rPr>
          <w:rFonts w:eastAsia="Noto Serif CJK TC"/>
          <w:sz w:val="22"/>
          <w:szCs w:val="22"/>
        </w:rPr>
        <w:t>年</w:t>
      </w:r>
      <w:r>
        <w:rPr>
          <w:rFonts w:eastAsia="Noto Serif CJK TC"/>
          <w:sz w:val="22"/>
          <w:szCs w:val="22"/>
        </w:rPr>
        <w:t>4</w:t>
      </w:r>
      <w:r>
        <w:rPr>
          <w:rFonts w:eastAsia="Noto Serif CJK TC"/>
          <w:sz w:val="22"/>
          <w:szCs w:val="22"/>
        </w:rPr>
        <w:t>月</w:t>
      </w:r>
      <w:r>
        <w:rPr>
          <w:rFonts w:eastAsia="Noto Serif CJK TC"/>
          <w:sz w:val="22"/>
          <w:szCs w:val="22"/>
        </w:rPr>
        <w:t>8</w:t>
      </w:r>
      <w:r>
        <w:rPr>
          <w:rFonts w:eastAsia="Noto Serif CJK TC"/>
          <w:sz w:val="22"/>
          <w:szCs w:val="22"/>
        </w:rPr>
        <w:t>日教育及文化、交通及採購、財政及經濟委員會聯席會議審議通過）。台北：監察院。</w:t>
      </w:r>
    </w:p>
    <w:p w:rsidR="008D60E2" w:rsidRDefault="00A13A70">
      <w:pPr>
        <w:spacing w:after="160" w:line="300" w:lineRule="auto"/>
        <w:ind w:left="480" w:hanging="480"/>
        <w:jc w:val="both"/>
      </w:pPr>
      <w:r>
        <w:rPr>
          <w:rFonts w:eastAsia="Noto Serif CJK TC"/>
          <w:sz w:val="22"/>
          <w:szCs w:val="22"/>
        </w:rPr>
        <w:t>數位發展部（</w:t>
      </w:r>
      <w:r>
        <w:rPr>
          <w:rFonts w:eastAsia="Noto Serif CJK TC"/>
          <w:sz w:val="22"/>
          <w:szCs w:val="22"/>
        </w:rPr>
        <w:t>2024</w:t>
      </w:r>
      <w:r>
        <w:rPr>
          <w:rFonts w:eastAsia="Noto Serif CJK TC"/>
          <w:sz w:val="22"/>
          <w:szCs w:val="22"/>
        </w:rPr>
        <w:t>）。《行政院及所屬機關使用生成式</w:t>
      </w:r>
      <w:r>
        <w:rPr>
          <w:rFonts w:eastAsia="Noto Serif CJK TC"/>
          <w:sz w:val="22"/>
          <w:szCs w:val="22"/>
        </w:rPr>
        <w:t>AI</w:t>
      </w:r>
      <w:r>
        <w:rPr>
          <w:rFonts w:eastAsia="Noto Serif CJK TC"/>
          <w:sz w:val="22"/>
          <w:szCs w:val="22"/>
        </w:rPr>
        <w:t>參考指引》。台北：數位發展部。</w:t>
      </w:r>
    </w:p>
    <w:p w:rsidR="008D60E2" w:rsidRDefault="00A13A70">
      <w:pPr>
        <w:spacing w:after="160" w:line="300" w:lineRule="auto"/>
        <w:ind w:left="480" w:hanging="480"/>
        <w:jc w:val="both"/>
      </w:pPr>
      <w:r>
        <w:rPr>
          <w:rFonts w:eastAsia="Noto Serif CJK TC"/>
          <w:sz w:val="22"/>
          <w:szCs w:val="22"/>
        </w:rPr>
        <w:t>資策會科技法律研究所（</w:t>
      </w:r>
      <w:r>
        <w:rPr>
          <w:rFonts w:eastAsia="Noto Serif CJK TC"/>
          <w:sz w:val="22"/>
          <w:szCs w:val="22"/>
        </w:rPr>
        <w:t>2023</w:t>
      </w:r>
      <w:r>
        <w:rPr>
          <w:rFonts w:eastAsia="Noto Serif CJK TC"/>
          <w:sz w:val="22"/>
          <w:szCs w:val="22"/>
        </w:rPr>
        <w:t>）。《人工智慧倫理風險自評包與合規檢核表》。台北：財團法人資訊工業策進會。</w:t>
      </w:r>
    </w:p>
    <w:p w:rsidR="008D60E2" w:rsidRDefault="00A13A70">
      <w:pPr>
        <w:spacing w:after="160" w:line="300" w:lineRule="auto"/>
        <w:ind w:left="480" w:hanging="480"/>
        <w:jc w:val="both"/>
      </w:pPr>
      <w:r>
        <w:rPr>
          <w:rFonts w:eastAsia="Noto Serif CJK TC"/>
          <w:sz w:val="22"/>
          <w:szCs w:val="22"/>
        </w:rPr>
        <w:t>邱文聰（</w:t>
      </w:r>
      <w:r>
        <w:rPr>
          <w:rFonts w:eastAsia="Noto Serif CJK TC"/>
          <w:sz w:val="22"/>
          <w:szCs w:val="22"/>
        </w:rPr>
        <w:t>2020</w:t>
      </w:r>
      <w:r>
        <w:rPr>
          <w:rFonts w:eastAsia="Noto Serif CJK TC"/>
          <w:sz w:val="22"/>
          <w:szCs w:val="22"/>
        </w:rPr>
        <w:t>）。〈第二波人工智慧知識學習與生產對法學的挑戰</w:t>
      </w:r>
      <w:r>
        <w:rPr>
          <w:rFonts w:eastAsia="Noto Serif CJK TC"/>
          <w:sz w:val="22"/>
          <w:szCs w:val="22"/>
        </w:rPr>
        <w:t>——</w:t>
      </w:r>
      <w:r>
        <w:rPr>
          <w:rFonts w:eastAsia="Noto Serif CJK TC"/>
          <w:sz w:val="22"/>
          <w:szCs w:val="22"/>
        </w:rPr>
        <w:t>資訊、科技與社會研究及法學的對話〉，收於：李建良編，《法律思維與制度的智慧轉型》，頁</w:t>
      </w:r>
      <w:r>
        <w:rPr>
          <w:rFonts w:eastAsia="Noto Serif CJK TC"/>
          <w:sz w:val="22"/>
          <w:szCs w:val="22"/>
        </w:rPr>
        <w:t>135-166</w:t>
      </w:r>
      <w:r>
        <w:rPr>
          <w:rFonts w:eastAsia="Noto Serif CJK TC"/>
          <w:sz w:val="22"/>
          <w:szCs w:val="22"/>
        </w:rPr>
        <w:t>。台北：元照。</w:t>
      </w:r>
    </w:p>
    <w:p w:rsidR="008D60E2" w:rsidRDefault="00A13A70">
      <w:pPr>
        <w:spacing w:after="160" w:line="300" w:lineRule="auto"/>
        <w:ind w:left="480" w:hanging="480"/>
        <w:jc w:val="both"/>
      </w:pPr>
      <w:r>
        <w:rPr>
          <w:rFonts w:eastAsia="Noto Serif CJK TC"/>
          <w:sz w:val="22"/>
          <w:szCs w:val="22"/>
        </w:rPr>
        <w:t>邱文聰（</w:t>
      </w:r>
      <w:r>
        <w:rPr>
          <w:rFonts w:eastAsia="Noto Serif CJK TC"/>
          <w:sz w:val="22"/>
          <w:szCs w:val="22"/>
        </w:rPr>
        <w:t>2025</w:t>
      </w:r>
      <w:r>
        <w:rPr>
          <w:rFonts w:eastAsia="Noto Serif CJK TC"/>
          <w:sz w:val="22"/>
          <w:szCs w:val="22"/>
        </w:rPr>
        <w:t>）。〈智慧政府資料驅動決策的法治挑戰</w:t>
      </w:r>
      <w:r>
        <w:rPr>
          <w:rFonts w:eastAsia="Noto Serif CJK TC"/>
          <w:sz w:val="22"/>
          <w:szCs w:val="22"/>
        </w:rPr>
        <w:t>——</w:t>
      </w:r>
      <w:r>
        <w:rPr>
          <w:rFonts w:eastAsia="Noto Serif CJK TC"/>
          <w:sz w:val="22"/>
          <w:szCs w:val="22"/>
        </w:rPr>
        <w:t>以「模仿型」及「相關性發掘型」人工智慧系統為例〉。《中研院法學期刊》，</w:t>
      </w:r>
      <w:r>
        <w:rPr>
          <w:rFonts w:eastAsia="Noto Serif CJK TC"/>
          <w:sz w:val="22"/>
          <w:szCs w:val="22"/>
        </w:rPr>
        <w:t>37</w:t>
      </w:r>
      <w:r>
        <w:rPr>
          <w:rFonts w:eastAsia="Noto Serif CJK TC"/>
          <w:sz w:val="22"/>
          <w:szCs w:val="22"/>
        </w:rPr>
        <w:t>，</w:t>
      </w:r>
      <w:r>
        <w:rPr>
          <w:rFonts w:eastAsia="Noto Serif CJK TC"/>
          <w:sz w:val="22"/>
          <w:szCs w:val="22"/>
        </w:rPr>
        <w:t>27-97</w:t>
      </w:r>
      <w:r>
        <w:rPr>
          <w:rFonts w:eastAsia="Noto Serif CJK TC"/>
          <w:sz w:val="22"/>
          <w:szCs w:val="22"/>
        </w:rPr>
        <w:t>。</w:t>
      </w:r>
    </w:p>
    <w:p w:rsidR="008D60E2" w:rsidRDefault="00A13A70">
      <w:pPr>
        <w:spacing w:after="160" w:line="300" w:lineRule="auto"/>
        <w:ind w:left="480" w:hanging="480"/>
        <w:jc w:val="both"/>
      </w:pPr>
      <w:r>
        <w:rPr>
          <w:rFonts w:eastAsia="Noto Serif CJK TC"/>
          <w:sz w:val="22"/>
          <w:szCs w:val="22"/>
        </w:rPr>
        <w:t>李韶曼（</w:t>
      </w:r>
      <w:r>
        <w:rPr>
          <w:rFonts w:eastAsia="Noto Serif CJK TC"/>
          <w:sz w:val="22"/>
          <w:szCs w:val="22"/>
        </w:rPr>
        <w:t>2025</w:t>
      </w:r>
      <w:r>
        <w:rPr>
          <w:rFonts w:eastAsia="Noto Serif CJK TC"/>
          <w:sz w:val="22"/>
          <w:szCs w:val="22"/>
        </w:rPr>
        <w:t>）。</w:t>
      </w:r>
      <w:proofErr w:type="gramStart"/>
      <w:r>
        <w:rPr>
          <w:rFonts w:eastAsia="Noto Serif CJK TC"/>
          <w:sz w:val="22"/>
          <w:szCs w:val="22"/>
        </w:rPr>
        <w:t>〈</w:t>
      </w:r>
      <w:proofErr w:type="gramEnd"/>
      <w:r>
        <w:rPr>
          <w:rFonts w:eastAsia="Noto Serif CJK TC"/>
          <w:sz w:val="22"/>
          <w:szCs w:val="22"/>
        </w:rPr>
        <w:t>人工智慧管制的實踐困境：以檢察</w:t>
      </w:r>
      <w:r>
        <w:rPr>
          <w:rFonts w:eastAsia="Noto Serif CJK TC"/>
          <w:sz w:val="22"/>
          <w:szCs w:val="22"/>
        </w:rPr>
        <w:t>AI</w:t>
      </w:r>
      <w:r>
        <w:rPr>
          <w:rFonts w:eastAsia="Noto Serif CJK TC"/>
          <w:sz w:val="22"/>
          <w:szCs w:val="22"/>
        </w:rPr>
        <w:t>智慧輔助系統為例</w:t>
      </w:r>
      <w:proofErr w:type="gramStart"/>
      <w:r>
        <w:rPr>
          <w:rFonts w:eastAsia="Noto Serif CJK TC"/>
          <w:sz w:val="22"/>
          <w:szCs w:val="22"/>
        </w:rPr>
        <w:t>〉</w:t>
      </w:r>
      <w:proofErr w:type="gramEnd"/>
      <w:r>
        <w:rPr>
          <w:rFonts w:eastAsia="Noto Serif CJK TC"/>
          <w:sz w:val="22"/>
          <w:szCs w:val="22"/>
        </w:rPr>
        <w:t>。收於張文貞、林春元（主編），</w:t>
      </w:r>
      <w:proofErr w:type="gramStart"/>
      <w:r>
        <w:rPr>
          <w:rFonts w:eastAsia="Noto Serif CJK TC"/>
          <w:sz w:val="22"/>
          <w:szCs w:val="22"/>
        </w:rPr>
        <w:t>《</w:t>
      </w:r>
      <w:proofErr w:type="gramEnd"/>
      <w:r>
        <w:rPr>
          <w:rFonts w:eastAsia="Noto Serif CJK TC"/>
          <w:sz w:val="22"/>
          <w:szCs w:val="22"/>
        </w:rPr>
        <w:t>行政法與管制理論：葉俊榮教授的學術對話</w:t>
      </w:r>
      <w:proofErr w:type="gramStart"/>
      <w:r>
        <w:rPr>
          <w:rFonts w:eastAsia="Noto Serif CJK TC"/>
          <w:sz w:val="22"/>
          <w:szCs w:val="22"/>
        </w:rPr>
        <w:t>》</w:t>
      </w:r>
      <w:proofErr w:type="gramEnd"/>
      <w:r>
        <w:rPr>
          <w:rFonts w:eastAsia="Noto Serif CJK TC"/>
          <w:sz w:val="22"/>
          <w:szCs w:val="22"/>
        </w:rPr>
        <w:t>（頁</w:t>
      </w:r>
      <w:r>
        <w:rPr>
          <w:rFonts w:eastAsia="Noto Serif CJK TC"/>
          <w:sz w:val="22"/>
          <w:szCs w:val="22"/>
        </w:rPr>
        <w:t>417</w:t>
      </w:r>
      <w:r>
        <w:rPr>
          <w:rFonts w:eastAsia="Noto Serif CJK TC"/>
          <w:sz w:val="22"/>
          <w:szCs w:val="22"/>
        </w:rPr>
        <w:t>起）。台北：元照。</w:t>
      </w:r>
    </w:p>
    <w:p w:rsidR="008D60E2" w:rsidRDefault="00A13A70">
      <w:pPr>
        <w:spacing w:after="160" w:line="300" w:lineRule="auto"/>
        <w:ind w:left="480" w:hanging="480"/>
        <w:jc w:val="both"/>
      </w:pPr>
      <w:r>
        <w:rPr>
          <w:rFonts w:eastAsia="Noto Serif CJK TC"/>
          <w:sz w:val="22"/>
          <w:szCs w:val="22"/>
        </w:rPr>
        <w:t>葉俊榮（</w:t>
      </w:r>
      <w:r>
        <w:rPr>
          <w:rFonts w:eastAsia="Noto Serif CJK TC"/>
          <w:sz w:val="22"/>
          <w:szCs w:val="22"/>
        </w:rPr>
        <w:t>2025</w:t>
      </w:r>
      <w:r>
        <w:rPr>
          <w:rFonts w:eastAsia="Noto Serif CJK TC"/>
          <w:sz w:val="22"/>
          <w:szCs w:val="22"/>
        </w:rPr>
        <w:t>）。</w:t>
      </w:r>
      <w:proofErr w:type="gramStart"/>
      <w:r>
        <w:rPr>
          <w:rFonts w:eastAsia="Noto Serif CJK TC"/>
          <w:sz w:val="22"/>
          <w:szCs w:val="22"/>
        </w:rPr>
        <w:t>〈</w:t>
      </w:r>
      <w:proofErr w:type="gramEnd"/>
      <w:r>
        <w:rPr>
          <w:rFonts w:eastAsia="Noto Serif CJK TC"/>
          <w:sz w:val="22"/>
          <w:szCs w:val="22"/>
        </w:rPr>
        <w:t>人工智慧的管制：從避免悲劇選擇走向協調治理</w:t>
      </w:r>
      <w:proofErr w:type="gramStart"/>
      <w:r>
        <w:rPr>
          <w:rFonts w:eastAsia="Noto Serif CJK TC"/>
          <w:sz w:val="22"/>
          <w:szCs w:val="22"/>
        </w:rPr>
        <w:t>〉</w:t>
      </w:r>
      <w:proofErr w:type="gramEnd"/>
      <w:r>
        <w:rPr>
          <w:rFonts w:eastAsia="Noto Serif CJK TC"/>
          <w:sz w:val="22"/>
          <w:szCs w:val="22"/>
        </w:rPr>
        <w:t>。收於張文貞、林春元（主編），</w:t>
      </w:r>
      <w:proofErr w:type="gramStart"/>
      <w:r>
        <w:rPr>
          <w:rFonts w:eastAsia="Noto Serif CJK TC"/>
          <w:sz w:val="22"/>
          <w:szCs w:val="22"/>
        </w:rPr>
        <w:t>《</w:t>
      </w:r>
      <w:proofErr w:type="gramEnd"/>
      <w:r>
        <w:rPr>
          <w:rFonts w:eastAsia="Noto Serif CJK TC"/>
          <w:sz w:val="22"/>
          <w:szCs w:val="22"/>
        </w:rPr>
        <w:t>行政法與管制理論：葉俊榮教授的學術對話</w:t>
      </w:r>
      <w:proofErr w:type="gramStart"/>
      <w:r>
        <w:rPr>
          <w:rFonts w:eastAsia="Noto Serif CJK TC"/>
          <w:sz w:val="22"/>
          <w:szCs w:val="22"/>
        </w:rPr>
        <w:t>》</w:t>
      </w:r>
      <w:proofErr w:type="gramEnd"/>
      <w:r>
        <w:rPr>
          <w:rFonts w:eastAsia="Noto Serif CJK TC"/>
          <w:sz w:val="22"/>
          <w:szCs w:val="22"/>
        </w:rPr>
        <w:t>（頁</w:t>
      </w:r>
      <w:r>
        <w:rPr>
          <w:rFonts w:eastAsia="Noto Serif CJK TC"/>
          <w:sz w:val="22"/>
          <w:szCs w:val="22"/>
        </w:rPr>
        <w:t>409-416</w:t>
      </w:r>
      <w:r>
        <w:rPr>
          <w:rFonts w:eastAsia="Noto Serif CJK TC"/>
          <w:sz w:val="22"/>
          <w:szCs w:val="22"/>
        </w:rPr>
        <w:t>）。台北：元照。</w:t>
      </w:r>
    </w:p>
    <w:p w:rsidR="008D60E2" w:rsidRDefault="00A13A70">
      <w:pPr>
        <w:spacing w:after="160" w:line="300" w:lineRule="auto"/>
        <w:ind w:left="480" w:hanging="480"/>
        <w:jc w:val="both"/>
      </w:pPr>
      <w:r>
        <w:rPr>
          <w:rFonts w:eastAsia="Noto Serif CJK TC"/>
          <w:sz w:val="22"/>
          <w:szCs w:val="22"/>
        </w:rPr>
        <w:t>詹鎮榮（</w:t>
      </w:r>
      <w:r>
        <w:rPr>
          <w:rFonts w:eastAsia="Noto Serif CJK TC"/>
          <w:sz w:val="22"/>
          <w:szCs w:val="22"/>
        </w:rPr>
        <w:t>2014</w:t>
      </w:r>
      <w:r>
        <w:rPr>
          <w:rFonts w:eastAsia="Noto Serif CJK TC"/>
          <w:sz w:val="22"/>
          <w:szCs w:val="22"/>
        </w:rPr>
        <w:t>）。《公私協力與行政合作法》。台北：新學林。</w:t>
      </w:r>
    </w:p>
    <w:p w:rsidR="008D60E2" w:rsidRDefault="00A13A70">
      <w:pPr>
        <w:spacing w:after="160" w:line="300" w:lineRule="auto"/>
        <w:ind w:left="480" w:hanging="480"/>
        <w:jc w:val="both"/>
      </w:pPr>
      <w:r>
        <w:rPr>
          <w:rFonts w:eastAsia="Noto Serif CJK TC"/>
          <w:sz w:val="22"/>
          <w:szCs w:val="22"/>
        </w:rPr>
        <w:t>蘇永欽（</w:t>
      </w:r>
      <w:r>
        <w:rPr>
          <w:rFonts w:eastAsia="Noto Serif CJK TC"/>
          <w:sz w:val="22"/>
          <w:szCs w:val="22"/>
        </w:rPr>
        <w:t>2012</w:t>
      </w:r>
      <w:r>
        <w:rPr>
          <w:rFonts w:eastAsia="Noto Serif CJK TC"/>
          <w:sz w:val="22"/>
          <w:szCs w:val="22"/>
        </w:rPr>
        <w:t>）。《尋找新民法》（增訂版），第</w:t>
      </w:r>
      <w:r>
        <w:rPr>
          <w:rFonts w:eastAsia="Noto Serif CJK TC"/>
          <w:sz w:val="22"/>
          <w:szCs w:val="22"/>
        </w:rPr>
        <w:t>10</w:t>
      </w:r>
      <w:r>
        <w:rPr>
          <w:rFonts w:eastAsia="Noto Serif CJK TC"/>
          <w:sz w:val="22"/>
          <w:szCs w:val="22"/>
        </w:rPr>
        <w:t>章〈從動態法規範體系的角度看公私法的調合〉、第</w:t>
      </w:r>
      <w:r>
        <w:rPr>
          <w:rFonts w:eastAsia="Noto Serif CJK TC"/>
          <w:sz w:val="22"/>
          <w:szCs w:val="22"/>
        </w:rPr>
        <w:t>11</w:t>
      </w:r>
      <w:r>
        <w:rPr>
          <w:rFonts w:eastAsia="Noto Serif CJK TC"/>
          <w:sz w:val="22"/>
          <w:szCs w:val="22"/>
        </w:rPr>
        <w:t>章〈以公法規範控制私法契約〉。台北：元照。</w:t>
      </w:r>
    </w:p>
    <w:p w:rsidR="008D60E2" w:rsidRDefault="00A13A70">
      <w:pPr>
        <w:spacing w:before="200" w:after="160"/>
      </w:pPr>
      <w:r>
        <w:rPr>
          <w:rFonts w:eastAsia="Noto Serif CJK TC"/>
          <w:b/>
          <w:bCs/>
        </w:rPr>
        <w:t>English References</w:t>
      </w:r>
    </w:p>
    <w:p w:rsidR="008D60E2" w:rsidRDefault="00A13A70">
      <w:pPr>
        <w:spacing w:after="160" w:line="300" w:lineRule="auto"/>
        <w:ind w:left="480" w:hanging="480"/>
        <w:jc w:val="both"/>
      </w:pPr>
      <w:proofErr w:type="spellStart"/>
      <w:r>
        <w:rPr>
          <w:rFonts w:eastAsia="Noto Serif CJK TC"/>
          <w:sz w:val="22"/>
          <w:szCs w:val="22"/>
        </w:rPr>
        <w:t>Binns</w:t>
      </w:r>
      <w:proofErr w:type="spellEnd"/>
      <w:r>
        <w:rPr>
          <w:rFonts w:eastAsia="Noto Serif CJK TC"/>
          <w:sz w:val="22"/>
          <w:szCs w:val="22"/>
        </w:rPr>
        <w:t>, R. (2018). Algorithmic accountability and public administration. Public Administration, 96(2), 356-370.</w:t>
      </w:r>
    </w:p>
    <w:p w:rsidR="008D60E2" w:rsidRDefault="00A13A70">
      <w:pPr>
        <w:spacing w:after="160" w:line="300" w:lineRule="auto"/>
        <w:ind w:left="480" w:hanging="480"/>
        <w:jc w:val="both"/>
      </w:pPr>
      <w:proofErr w:type="spellStart"/>
      <w:r>
        <w:rPr>
          <w:rFonts w:eastAsia="Noto Serif CJK TC"/>
          <w:sz w:val="22"/>
          <w:szCs w:val="22"/>
        </w:rPr>
        <w:t>Busuioc</w:t>
      </w:r>
      <w:proofErr w:type="spellEnd"/>
      <w:r>
        <w:rPr>
          <w:rFonts w:eastAsia="Noto Serif CJK TC"/>
          <w:sz w:val="22"/>
          <w:szCs w:val="22"/>
        </w:rPr>
        <w:t xml:space="preserve">, M. (2021). Accountable artificial intelligence: Holding algorithms to account. Public Administration </w:t>
      </w:r>
      <w:r>
        <w:rPr>
          <w:rFonts w:eastAsia="Noto Serif CJK TC"/>
          <w:sz w:val="22"/>
          <w:szCs w:val="22"/>
        </w:rPr>
        <w:lastRenderedPageBreak/>
        <w:t>Review, 81(5), 825-836.</w:t>
      </w:r>
    </w:p>
    <w:p w:rsidR="008D60E2" w:rsidRDefault="00A13A70">
      <w:pPr>
        <w:spacing w:after="160" w:line="300" w:lineRule="auto"/>
        <w:ind w:left="480" w:hanging="480"/>
        <w:jc w:val="both"/>
      </w:pPr>
      <w:r>
        <w:rPr>
          <w:rFonts w:eastAsia="Noto Serif CJK TC"/>
          <w:sz w:val="22"/>
          <w:szCs w:val="22"/>
        </w:rPr>
        <w:t xml:space="preserve">Chen, T., &amp; </w:t>
      </w:r>
      <w:proofErr w:type="spellStart"/>
      <w:r>
        <w:rPr>
          <w:rFonts w:eastAsia="Noto Serif CJK TC"/>
          <w:sz w:val="22"/>
          <w:szCs w:val="22"/>
        </w:rPr>
        <w:t>Gascó</w:t>
      </w:r>
      <w:proofErr w:type="spellEnd"/>
      <w:r>
        <w:rPr>
          <w:rFonts w:eastAsia="Noto Serif CJK TC"/>
          <w:sz w:val="22"/>
          <w:szCs w:val="22"/>
        </w:rPr>
        <w:t>-Hernández, M. (2024). Uncovering the results of AI chatbot use in the public sector: Evidence from US state governments. Public Performance &amp; Management Review, 48(6), 1-26. https://doi.org/10.1080/15309576.2024.2389864</w:t>
      </w:r>
    </w:p>
    <w:p w:rsidR="008D60E2" w:rsidRDefault="00A13A70">
      <w:pPr>
        <w:spacing w:after="160" w:line="300" w:lineRule="auto"/>
        <w:ind w:left="480" w:hanging="480"/>
        <w:jc w:val="both"/>
      </w:pPr>
      <w:r>
        <w:rPr>
          <w:rFonts w:eastAsia="Noto Serif CJK TC"/>
          <w:sz w:val="22"/>
          <w:szCs w:val="22"/>
        </w:rPr>
        <w:t>Citron, D. K. (2008). Technological due process. Washington University Law Review, 85(6), 1249-1313.</w:t>
      </w:r>
    </w:p>
    <w:p w:rsidR="008D60E2" w:rsidRDefault="00A13A70">
      <w:pPr>
        <w:spacing w:after="160" w:line="300" w:lineRule="auto"/>
        <w:ind w:left="480" w:hanging="480"/>
        <w:jc w:val="both"/>
      </w:pPr>
      <w:r>
        <w:rPr>
          <w:rFonts w:eastAsia="Noto Serif CJK TC"/>
          <w:sz w:val="22"/>
          <w:szCs w:val="22"/>
        </w:rPr>
        <w:t>Cobbe, J., Lee, M. S. A., &amp; Singh, J. (2021). Reviewable automated decision-making: A framework for accountable algorithmic systems. In Proceedings of the 2021 ACM Conference on Fairness, Accountability, and Transparency (</w:t>
      </w:r>
      <w:proofErr w:type="spellStart"/>
      <w:r>
        <w:rPr>
          <w:rFonts w:eastAsia="Noto Serif CJK TC"/>
          <w:sz w:val="22"/>
          <w:szCs w:val="22"/>
        </w:rPr>
        <w:t>FAccT</w:t>
      </w:r>
      <w:proofErr w:type="spellEnd"/>
      <w:r>
        <w:rPr>
          <w:rFonts w:eastAsia="Noto Serif CJK TC"/>
          <w:sz w:val="22"/>
          <w:szCs w:val="22"/>
        </w:rPr>
        <w:t xml:space="preserve"> ’21) (pp. 598-609). New York: ACM. https://doi.org/10.1145/3442188.3445921</w:t>
      </w:r>
    </w:p>
    <w:p w:rsidR="008D60E2" w:rsidRDefault="00A13A70">
      <w:pPr>
        <w:spacing w:after="160" w:line="300" w:lineRule="auto"/>
        <w:ind w:left="480" w:hanging="480"/>
        <w:jc w:val="both"/>
      </w:pPr>
      <w:proofErr w:type="spellStart"/>
      <w:r>
        <w:rPr>
          <w:rFonts w:eastAsia="Noto Serif CJK TC"/>
          <w:sz w:val="22"/>
          <w:szCs w:val="22"/>
        </w:rPr>
        <w:t>Coglianese</w:t>
      </w:r>
      <w:proofErr w:type="spellEnd"/>
      <w:r>
        <w:rPr>
          <w:rFonts w:eastAsia="Noto Serif CJK TC"/>
          <w:sz w:val="22"/>
          <w:szCs w:val="22"/>
        </w:rPr>
        <w:t>, C., &amp; Lehr, D. (2019). Regulating by robot: Administrative decision making in the machine-learning era. Georgetown Law Journal, 105(5), 1147-1223.</w:t>
      </w:r>
    </w:p>
    <w:p w:rsidR="008D60E2" w:rsidRDefault="00A13A70">
      <w:pPr>
        <w:spacing w:after="160" w:line="300" w:lineRule="auto"/>
        <w:ind w:left="480" w:hanging="480"/>
        <w:jc w:val="both"/>
      </w:pPr>
      <w:r>
        <w:rPr>
          <w:rFonts w:eastAsia="Noto Serif CJK TC"/>
          <w:sz w:val="22"/>
          <w:szCs w:val="22"/>
        </w:rPr>
        <w:t xml:space="preserve">Dahl, M., Magesh, V., </w:t>
      </w:r>
      <w:proofErr w:type="spellStart"/>
      <w:r>
        <w:rPr>
          <w:rFonts w:eastAsia="Noto Serif CJK TC"/>
          <w:sz w:val="22"/>
          <w:szCs w:val="22"/>
        </w:rPr>
        <w:t>Suzgun</w:t>
      </w:r>
      <w:proofErr w:type="spellEnd"/>
      <w:r>
        <w:rPr>
          <w:rFonts w:eastAsia="Noto Serif CJK TC"/>
          <w:sz w:val="22"/>
          <w:szCs w:val="22"/>
        </w:rPr>
        <w:t>, M., &amp; Ho, D. E. (2024). Large legal fictions: Profiling legal hallucinations in large language models. Journal of Legal Analysis, 16(1), 64-93. https://doi.org/10.1093/jla/laae003</w:t>
      </w:r>
    </w:p>
    <w:p w:rsidR="008D60E2" w:rsidRDefault="00A13A70">
      <w:pPr>
        <w:spacing w:after="160" w:line="300" w:lineRule="auto"/>
        <w:ind w:left="480" w:hanging="480"/>
        <w:jc w:val="both"/>
      </w:pPr>
      <w:r>
        <w:rPr>
          <w:rFonts w:eastAsia="Noto Serif CJK TC"/>
          <w:sz w:val="22"/>
          <w:szCs w:val="22"/>
        </w:rPr>
        <w:t xml:space="preserve">Danaher, J. (2016). The threat of </w:t>
      </w:r>
      <w:proofErr w:type="spellStart"/>
      <w:r>
        <w:rPr>
          <w:rFonts w:eastAsia="Noto Serif CJK TC"/>
          <w:sz w:val="22"/>
          <w:szCs w:val="22"/>
        </w:rPr>
        <w:t>algocracy</w:t>
      </w:r>
      <w:proofErr w:type="spellEnd"/>
      <w:r>
        <w:rPr>
          <w:rFonts w:eastAsia="Noto Serif CJK TC"/>
          <w:sz w:val="22"/>
          <w:szCs w:val="22"/>
        </w:rPr>
        <w:t>: Reality, resistance and accommodation. Philosophy &amp; Technology, 29(3), 245-268.</w:t>
      </w:r>
    </w:p>
    <w:p w:rsidR="008D60E2" w:rsidRDefault="00A13A70">
      <w:pPr>
        <w:spacing w:after="160" w:line="300" w:lineRule="auto"/>
        <w:ind w:left="480" w:hanging="480"/>
        <w:jc w:val="both"/>
      </w:pPr>
      <w:r>
        <w:rPr>
          <w:rFonts w:eastAsia="Noto Serif CJK TC"/>
          <w:sz w:val="22"/>
          <w:szCs w:val="22"/>
        </w:rPr>
        <w:t xml:space="preserve">European Union. (2024). Regulation (EU) 2024/1689 of the European Parliament and of the Council of 13 June 2024 laying down </w:t>
      </w:r>
      <w:proofErr w:type="spellStart"/>
      <w:r>
        <w:rPr>
          <w:rFonts w:eastAsia="Noto Serif CJK TC"/>
          <w:sz w:val="22"/>
          <w:szCs w:val="22"/>
        </w:rPr>
        <w:t>harmonised</w:t>
      </w:r>
      <w:proofErr w:type="spellEnd"/>
      <w:r>
        <w:rPr>
          <w:rFonts w:eastAsia="Noto Serif CJK TC"/>
          <w:sz w:val="22"/>
          <w:szCs w:val="22"/>
        </w:rPr>
        <w:t xml:space="preserve"> rules on artificial intelligence (Artificial Intelligence Act). Official Journal of the European Union.</w:t>
      </w:r>
    </w:p>
    <w:p w:rsidR="008D60E2" w:rsidRDefault="00A13A70">
      <w:pPr>
        <w:spacing w:after="160" w:line="300" w:lineRule="auto"/>
        <w:ind w:left="480" w:hanging="480"/>
        <w:jc w:val="both"/>
      </w:pPr>
      <w:r>
        <w:rPr>
          <w:rFonts w:eastAsia="Noto Serif CJK TC"/>
          <w:sz w:val="22"/>
          <w:szCs w:val="22"/>
        </w:rPr>
        <w:t xml:space="preserve">Magesh, V., </w:t>
      </w:r>
      <w:proofErr w:type="spellStart"/>
      <w:r>
        <w:rPr>
          <w:rFonts w:eastAsia="Noto Serif CJK TC"/>
          <w:sz w:val="22"/>
          <w:szCs w:val="22"/>
        </w:rPr>
        <w:t>Surani</w:t>
      </w:r>
      <w:proofErr w:type="spellEnd"/>
      <w:r>
        <w:rPr>
          <w:rFonts w:eastAsia="Noto Serif CJK TC"/>
          <w:sz w:val="22"/>
          <w:szCs w:val="22"/>
        </w:rPr>
        <w:t xml:space="preserve">, F., Dahl, M., </w:t>
      </w:r>
      <w:proofErr w:type="spellStart"/>
      <w:r>
        <w:rPr>
          <w:rFonts w:eastAsia="Noto Serif CJK TC"/>
          <w:sz w:val="22"/>
          <w:szCs w:val="22"/>
        </w:rPr>
        <w:t>Suzgun</w:t>
      </w:r>
      <w:proofErr w:type="spellEnd"/>
      <w:r>
        <w:rPr>
          <w:rFonts w:eastAsia="Noto Serif CJK TC"/>
          <w:sz w:val="22"/>
          <w:szCs w:val="22"/>
        </w:rPr>
        <w:t>, M., Manning, C. D., &amp; Ho, D. E. (2025). Hallucination-free? Assessing the reliability of leading AI legal research tools. Journal of Empirical Legal Studies, 22, 216-242.</w:t>
      </w:r>
    </w:p>
    <w:p w:rsidR="008D60E2" w:rsidRDefault="00A13A70">
      <w:pPr>
        <w:spacing w:after="160" w:line="300" w:lineRule="auto"/>
        <w:ind w:left="480" w:hanging="480"/>
        <w:jc w:val="both"/>
      </w:pPr>
      <w:r>
        <w:rPr>
          <w:rFonts w:eastAsia="Noto Serif CJK TC"/>
          <w:sz w:val="22"/>
          <w:szCs w:val="22"/>
        </w:rPr>
        <w:t>National Institute of Standards and Technology (NIST). (2024). Artificial Intelligence Risk Management Framework: Generative Artificial Intelligence Profile (NIST AI 600-1). U.S. Department of Commerce. https://doi.org/10.6028/NIST.AI.600-1</w:t>
      </w:r>
    </w:p>
    <w:p w:rsidR="008D60E2" w:rsidRDefault="00A13A70">
      <w:pPr>
        <w:spacing w:after="160" w:line="300" w:lineRule="auto"/>
        <w:ind w:left="480" w:hanging="480"/>
        <w:jc w:val="both"/>
      </w:pPr>
      <w:r>
        <w:rPr>
          <w:rFonts w:eastAsia="Noto Serif CJK TC"/>
          <w:sz w:val="22"/>
          <w:szCs w:val="22"/>
        </w:rPr>
        <w:t>Pasquale, F. (2015). The Black Box Society: The Secret Algorithms That Control Money and Information. Harvard University Press.</w:t>
      </w:r>
    </w:p>
    <w:p w:rsidR="008D60E2" w:rsidRDefault="00A13A70">
      <w:pPr>
        <w:spacing w:after="160" w:line="300" w:lineRule="auto"/>
        <w:ind w:left="480" w:hanging="480"/>
        <w:jc w:val="both"/>
      </w:pPr>
      <w:proofErr w:type="spellStart"/>
      <w:r>
        <w:rPr>
          <w:rFonts w:eastAsia="Noto Serif CJK TC"/>
          <w:sz w:val="22"/>
          <w:szCs w:val="22"/>
        </w:rPr>
        <w:t>Porumbescu</w:t>
      </w:r>
      <w:proofErr w:type="spellEnd"/>
      <w:r>
        <w:rPr>
          <w:rFonts w:eastAsia="Noto Serif CJK TC"/>
          <w:sz w:val="22"/>
          <w:szCs w:val="22"/>
        </w:rPr>
        <w:t>, G., Young, M. M., &amp; Yang, K. (2025). Introduction to special issue on generative AI and public administration: Performance, accountability, and democratic governance. Public Performance &amp; Management Review, 48(6), 1-15. https://doi.org/10.1080/15309576.2025.2570315</w:t>
      </w:r>
    </w:p>
    <w:p w:rsidR="008D60E2" w:rsidRDefault="00A13A70">
      <w:pPr>
        <w:spacing w:after="160" w:line="300" w:lineRule="auto"/>
        <w:ind w:left="480" w:hanging="480"/>
        <w:jc w:val="both"/>
      </w:pPr>
      <w:r>
        <w:rPr>
          <w:rFonts w:eastAsia="Noto Serif CJK TC"/>
          <w:sz w:val="22"/>
          <w:szCs w:val="22"/>
        </w:rPr>
        <w:t>Veale, M., &amp; Brass, I. (2019). Administration by algorithm: Public management meets machine learning in the UK. Public Policy and Administration, 34(4), 385-406.</w:t>
      </w:r>
    </w:p>
    <w:p w:rsidR="008D60E2" w:rsidRDefault="00A13A70">
      <w:pPr>
        <w:pStyle w:val="1"/>
        <w:pageBreakBefore/>
      </w:pPr>
      <w:bookmarkStart w:id="17" w:name="_Toc238090780"/>
      <w:r>
        <w:lastRenderedPageBreak/>
        <w:t>政策附錄</w:t>
      </w:r>
      <w:bookmarkEnd w:id="1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8D60E2">
        <w:tc>
          <w:tcPr>
            <w:tcW w:w="9638" w:type="dxa"/>
            <w:tcBorders>
              <w:top w:val="single" w:sz="8" w:space="0" w:color="C0392B"/>
              <w:left w:val="single" w:sz="8" w:space="0" w:color="C0392B"/>
              <w:bottom w:val="single" w:sz="8" w:space="0" w:color="C0392B"/>
              <w:right w:val="single" w:sz="8" w:space="0" w:color="C0392B"/>
            </w:tcBorders>
            <w:shd w:val="clear" w:color="auto" w:fill="FDEBD0"/>
            <w:tcMar>
              <w:top w:w="160" w:type="dxa"/>
              <w:left w:w="200" w:type="dxa"/>
              <w:bottom w:w="160" w:type="dxa"/>
              <w:right w:w="200" w:type="dxa"/>
            </w:tcMar>
          </w:tcPr>
          <w:p w:rsidR="008D60E2" w:rsidRDefault="00A13A70">
            <w:pPr>
              <w:spacing w:line="320" w:lineRule="auto"/>
              <w:jc w:val="both"/>
            </w:pPr>
            <w:r>
              <w:rPr>
                <w:rFonts w:eastAsia="Noto Serif CJK TC"/>
                <w:b/>
                <w:bCs/>
                <w:color w:val="C0392B"/>
              </w:rPr>
              <w:t xml:space="preserve">⚠ </w:t>
            </w:r>
            <w:r>
              <w:rPr>
                <w:rFonts w:eastAsia="Noto Serif CJK TC"/>
                <w:b/>
                <w:bCs/>
                <w:color w:val="C0392B"/>
              </w:rPr>
              <w:t>研究倫理與使用說明：</w:t>
            </w:r>
            <w:r>
              <w:rPr>
                <w:rFonts w:eastAsia="Noto Serif CJK TC"/>
              </w:rPr>
              <w:t>本「政策附錄」（含附錄一行政院簽呈與附錄二三機關套裝工具包）為本研究基於論文政策建議所擬具之</w:t>
            </w:r>
            <w:r>
              <w:rPr>
                <w:rFonts w:eastAsia="Noto Serif CJK TC"/>
                <w:b/>
                <w:bCs/>
              </w:rPr>
              <w:t>假設性／示例性文件</w:t>
            </w:r>
            <w:r>
              <w:rPr>
                <w:rFonts w:eastAsia="Noto Serif CJK TC"/>
              </w:rPr>
              <w:t>，用以具體呈現「若相關政策建議獲採納，實務上可能之公文與契約條款樣貌」，</w:t>
            </w:r>
            <w:r>
              <w:rPr>
                <w:rFonts w:eastAsia="Noto Serif CJK TC"/>
                <w:b/>
                <w:bCs/>
              </w:rPr>
              <w:t>並非行政院、數位發展部、國家</w:t>
            </w:r>
            <w:proofErr w:type="gramStart"/>
            <w:r>
              <w:rPr>
                <w:rFonts w:eastAsia="Noto Serif CJK TC"/>
                <w:b/>
                <w:bCs/>
              </w:rPr>
              <w:t>審計部或任何</w:t>
            </w:r>
            <w:proofErr w:type="gramEnd"/>
            <w:r>
              <w:rPr>
                <w:rFonts w:eastAsia="Noto Serif CJK TC"/>
                <w:b/>
                <w:bCs/>
              </w:rPr>
              <w:t>政府機關實際核發、簽署、核准或生效之公文書、契約範本或法規</w:t>
            </w:r>
            <w:r>
              <w:rPr>
                <w:rFonts w:eastAsia="Noto Serif CJK TC"/>
              </w:rPr>
              <w:t>。文中所載機關全銜、日期、文號、</w:t>
            </w:r>
            <w:proofErr w:type="gramStart"/>
            <w:r>
              <w:rPr>
                <w:rFonts w:eastAsia="Noto Serif CJK TC"/>
              </w:rPr>
              <w:t>條號</w:t>
            </w:r>
            <w:proofErr w:type="gramEnd"/>
            <w:r>
              <w:rPr>
                <w:rFonts w:eastAsia="Noto Serif CJK TC"/>
              </w:rPr>
              <w:t>、百分比數值</w:t>
            </w:r>
            <w:proofErr w:type="gramStart"/>
            <w:r>
              <w:rPr>
                <w:rFonts w:eastAsia="Noto Serif CJK TC"/>
              </w:rPr>
              <w:t>等均屬論</w:t>
            </w:r>
            <w:proofErr w:type="gramEnd"/>
            <w:r>
              <w:rPr>
                <w:rFonts w:eastAsia="Noto Serif CJK TC"/>
              </w:rPr>
              <w:t>文示例性質，不具任何法律效力，亦不代表任何機關之實際立場，讀者／引用者請勿將其視為真實政府文件轉發或援引。</w:t>
            </w:r>
          </w:p>
        </w:tc>
      </w:tr>
    </w:tbl>
    <w:p w:rsidR="008D60E2" w:rsidRDefault="00A13A70">
      <w:pPr>
        <w:pStyle w:val="2"/>
        <w:spacing w:before="300"/>
      </w:pPr>
      <w:bookmarkStart w:id="18" w:name="_Toc238090781"/>
      <w:r>
        <w:t>附錄</w:t>
      </w:r>
      <w:proofErr w:type="gramStart"/>
      <w:r>
        <w:t>一</w:t>
      </w:r>
      <w:proofErr w:type="gramEnd"/>
      <w:r>
        <w:t>：行政院簽呈（假設性範例文件）</w:t>
      </w:r>
      <w:bookmarkEnd w:id="18"/>
    </w:p>
    <w:p w:rsidR="008D60E2" w:rsidRDefault="00A13A70">
      <w:pPr>
        <w:spacing w:after="200"/>
      </w:pPr>
      <w:r>
        <w:rPr>
          <w:rFonts w:eastAsia="Noto Serif CJK TC"/>
          <w:b/>
          <w:bCs/>
          <w:i/>
          <w:iCs/>
          <w:color w:val="C0392B"/>
          <w:sz w:val="22"/>
          <w:szCs w:val="22"/>
        </w:rPr>
        <w:t>【以下為假設性範例，非實際公文，格式僅供研究說明】</w:t>
      </w:r>
    </w:p>
    <w:p w:rsidR="008D60E2" w:rsidRDefault="00A13A70">
      <w:pPr>
        <w:spacing w:after="120"/>
      </w:pPr>
      <w:r>
        <w:rPr>
          <w:rFonts w:eastAsia="Noto Serif CJK TC"/>
          <w:b/>
          <w:bCs/>
        </w:rPr>
        <w:t>簽　於：</w:t>
      </w:r>
      <w:r>
        <w:rPr>
          <w:rFonts w:eastAsia="Noto Serif CJK TC"/>
        </w:rPr>
        <w:t>行政院數位治理與法制革新專案小組（假設性冠名）</w:t>
      </w:r>
    </w:p>
    <w:p w:rsidR="008D60E2" w:rsidRDefault="00A13A70">
      <w:pPr>
        <w:spacing w:after="120"/>
      </w:pPr>
      <w:r>
        <w:rPr>
          <w:rFonts w:eastAsia="Noto Serif CJK TC"/>
          <w:b/>
          <w:bCs/>
        </w:rPr>
        <w:t>日　期：</w:t>
      </w:r>
      <w:r>
        <w:rPr>
          <w:rFonts w:eastAsia="Noto Serif CJK TC"/>
        </w:rPr>
        <w:t>中華民國</w:t>
      </w:r>
      <w:r>
        <w:rPr>
          <w:rFonts w:eastAsia="Noto Serif CJK TC"/>
        </w:rPr>
        <w:t xml:space="preserve"> 115 </w:t>
      </w:r>
      <w:r>
        <w:rPr>
          <w:rFonts w:eastAsia="Noto Serif CJK TC"/>
        </w:rPr>
        <w:t>年</w:t>
      </w:r>
      <w:r>
        <w:rPr>
          <w:rFonts w:eastAsia="Noto Serif CJK TC"/>
        </w:rPr>
        <w:t xml:space="preserve"> 8 </w:t>
      </w:r>
      <w:r>
        <w:rPr>
          <w:rFonts w:eastAsia="Noto Serif CJK TC"/>
        </w:rPr>
        <w:t>月</w:t>
      </w:r>
      <w:r>
        <w:rPr>
          <w:rFonts w:eastAsia="Noto Serif CJK TC"/>
        </w:rPr>
        <w:t xml:space="preserve"> 20 </w:t>
      </w:r>
      <w:r>
        <w:rPr>
          <w:rFonts w:eastAsia="Noto Serif CJK TC"/>
        </w:rPr>
        <w:t>日（示例日期）</w:t>
      </w:r>
    </w:p>
    <w:p w:rsidR="008D60E2" w:rsidRDefault="00A13A70">
      <w:pPr>
        <w:spacing w:after="120"/>
      </w:pPr>
      <w:r>
        <w:rPr>
          <w:rFonts w:eastAsia="Noto Serif CJK TC"/>
          <w:b/>
          <w:bCs/>
        </w:rPr>
        <w:t>字　號：</w:t>
      </w:r>
      <w:proofErr w:type="gramStart"/>
      <w:r>
        <w:rPr>
          <w:rFonts w:eastAsia="Noto Serif CJK TC"/>
        </w:rPr>
        <w:t>政專字</w:t>
      </w:r>
      <w:proofErr w:type="gramEnd"/>
      <w:r>
        <w:rPr>
          <w:rFonts w:eastAsia="Noto Serif CJK TC"/>
        </w:rPr>
        <w:t>第</w:t>
      </w:r>
      <w:r>
        <w:rPr>
          <w:rFonts w:eastAsia="Noto Serif CJK TC"/>
        </w:rPr>
        <w:t xml:space="preserve"> 1150820001 </w:t>
      </w:r>
      <w:r>
        <w:rPr>
          <w:rFonts w:eastAsia="Noto Serif CJK TC"/>
        </w:rPr>
        <w:t>號（示例文號，非實際發文字號）</w:t>
      </w:r>
    </w:p>
    <w:p w:rsidR="008D60E2" w:rsidRDefault="00A13A70">
      <w:pPr>
        <w:spacing w:after="120"/>
      </w:pPr>
      <w:r>
        <w:rPr>
          <w:rFonts w:eastAsia="Noto Serif CJK TC"/>
          <w:b/>
          <w:bCs/>
        </w:rPr>
        <w:t>密等／解密條件：</w:t>
      </w:r>
      <w:r>
        <w:rPr>
          <w:rFonts w:eastAsia="Noto Serif CJK TC"/>
        </w:rPr>
        <w:t>普通</w:t>
      </w:r>
    </w:p>
    <w:p w:rsidR="008D60E2" w:rsidRDefault="00A13A70">
      <w:pPr>
        <w:spacing w:before="160" w:after="80"/>
      </w:pPr>
      <w:r>
        <w:rPr>
          <w:rFonts w:eastAsia="Noto Serif CJK TC"/>
          <w:b/>
          <w:bCs/>
          <w:sz w:val="26"/>
          <w:szCs w:val="26"/>
        </w:rPr>
        <w:t>主旨</w:t>
      </w:r>
    </w:p>
    <w:p w:rsidR="008D60E2" w:rsidRDefault="00A13A70">
      <w:pPr>
        <w:spacing w:after="200" w:line="360" w:lineRule="auto"/>
        <w:jc w:val="both"/>
      </w:pPr>
      <w:proofErr w:type="gramStart"/>
      <w:r>
        <w:rPr>
          <w:rFonts w:eastAsia="Noto Serif CJK TC"/>
        </w:rPr>
        <w:t>陳呈</w:t>
      </w:r>
      <w:proofErr w:type="gramEnd"/>
      <w:r>
        <w:rPr>
          <w:rFonts w:eastAsia="Noto Serif CJK TC"/>
        </w:rPr>
        <w:t>「</w:t>
      </w:r>
      <w:proofErr w:type="gramStart"/>
      <w:r>
        <w:rPr>
          <w:rFonts w:eastAsia="Noto Serif CJK TC"/>
        </w:rPr>
        <w:t>破除軟法幻</w:t>
      </w:r>
      <w:proofErr w:type="gramEnd"/>
      <w:r>
        <w:rPr>
          <w:rFonts w:eastAsia="Noto Serif CJK TC"/>
        </w:rPr>
        <w:t>覺，</w:t>
      </w:r>
      <w:proofErr w:type="gramStart"/>
      <w:r>
        <w:rPr>
          <w:rFonts w:eastAsia="Noto Serif CJK TC"/>
        </w:rPr>
        <w:t>建構公部</w:t>
      </w:r>
      <w:proofErr w:type="gramEnd"/>
      <w:r>
        <w:rPr>
          <w:rFonts w:eastAsia="Noto Serif CJK TC"/>
        </w:rPr>
        <w:t>門</w:t>
      </w:r>
      <w:r>
        <w:rPr>
          <w:rFonts w:eastAsia="Noto Serif CJK TC"/>
        </w:rPr>
        <w:t xml:space="preserve"> AI </w:t>
      </w:r>
      <w:r>
        <w:rPr>
          <w:rFonts w:eastAsia="Noto Serif CJK TC"/>
        </w:rPr>
        <w:t>治理之最低實質控制能力（</w:t>
      </w:r>
      <w:r>
        <w:rPr>
          <w:rFonts w:eastAsia="Noto Serif CJK TC"/>
        </w:rPr>
        <w:t>MSCC</w:t>
      </w:r>
      <w:r>
        <w:rPr>
          <w:rFonts w:eastAsia="Noto Serif CJK TC"/>
        </w:rPr>
        <w:t>）：</w:t>
      </w:r>
      <w:proofErr w:type="gramStart"/>
      <w:r>
        <w:rPr>
          <w:rFonts w:eastAsia="Noto Serif CJK TC"/>
        </w:rPr>
        <w:t>三</w:t>
      </w:r>
      <w:proofErr w:type="gramEnd"/>
      <w:r>
        <w:rPr>
          <w:rFonts w:eastAsia="Noto Serif CJK TC"/>
        </w:rPr>
        <w:t>機關落地工具矩陣與政策建議書」全文組合包，簽請　核示。</w:t>
      </w:r>
    </w:p>
    <w:p w:rsidR="008D60E2" w:rsidRDefault="00A13A70">
      <w:pPr>
        <w:spacing w:before="160" w:after="80"/>
      </w:pPr>
      <w:r>
        <w:rPr>
          <w:rFonts w:eastAsia="Noto Serif CJK TC"/>
          <w:b/>
          <w:bCs/>
          <w:sz w:val="26"/>
          <w:szCs w:val="26"/>
        </w:rPr>
        <w:t>說明</w:t>
      </w:r>
    </w:p>
    <w:p w:rsidR="008D60E2" w:rsidRDefault="00A13A70">
      <w:pPr>
        <w:spacing w:after="200" w:line="360" w:lineRule="auto"/>
        <w:ind w:left="480" w:hanging="480"/>
        <w:jc w:val="both"/>
      </w:pPr>
      <w:r>
        <w:rPr>
          <w:rFonts w:eastAsia="Noto Serif CJK TC"/>
          <w:b/>
          <w:bCs/>
        </w:rPr>
        <w:t xml:space="preserve">1. </w:t>
      </w:r>
      <w:r>
        <w:rPr>
          <w:rFonts w:eastAsia="Noto Serif CJK TC"/>
        </w:rPr>
        <w:t>當前公部門採用生成式</w:t>
      </w:r>
      <w:r>
        <w:rPr>
          <w:rFonts w:eastAsia="Noto Serif CJK TC"/>
        </w:rPr>
        <w:t xml:space="preserve"> AI </w:t>
      </w:r>
      <w:r>
        <w:rPr>
          <w:rFonts w:eastAsia="Noto Serif CJK TC"/>
        </w:rPr>
        <w:t>與</w:t>
      </w:r>
      <w:r>
        <w:rPr>
          <w:rFonts w:eastAsia="Noto Serif CJK TC"/>
        </w:rPr>
        <w:t xml:space="preserve"> RAG </w:t>
      </w:r>
      <w:r>
        <w:rPr>
          <w:rFonts w:eastAsia="Noto Serif CJK TC"/>
        </w:rPr>
        <w:t>技術，現行依賴資策會科法所草擬之參考指引與自律規範（軟法治理），實質上陷入「業主邊界、廠商包袱、官僚</w:t>
      </w:r>
      <w:proofErr w:type="gramStart"/>
      <w:r>
        <w:rPr>
          <w:rFonts w:eastAsia="Noto Serif CJK TC"/>
        </w:rPr>
        <w:t>舒適圈</w:t>
      </w:r>
      <w:proofErr w:type="gramEnd"/>
      <w:r>
        <w:rPr>
          <w:rFonts w:eastAsia="Noto Serif CJK TC"/>
        </w:rPr>
        <w:t>」之三重體制枷鎖，無法實質監督黑盒演算法與</w:t>
      </w:r>
      <w:r>
        <w:rPr>
          <w:rFonts w:eastAsia="Noto Serif CJK TC"/>
        </w:rPr>
        <w:t xml:space="preserve"> API </w:t>
      </w:r>
      <w:r>
        <w:rPr>
          <w:rFonts w:eastAsia="Noto Serif CJK TC"/>
        </w:rPr>
        <w:t>雲端巨頭，導致行政權力產生「高結構性分離」與「責任蒸發」之憲政危機。</w:t>
      </w:r>
    </w:p>
    <w:p w:rsidR="008D60E2" w:rsidRDefault="00A13A70">
      <w:pPr>
        <w:spacing w:after="200" w:line="360" w:lineRule="auto"/>
        <w:ind w:left="480" w:hanging="480"/>
        <w:jc w:val="both"/>
      </w:pPr>
      <w:r>
        <w:rPr>
          <w:rFonts w:eastAsia="Noto Serif CJK TC"/>
          <w:b/>
          <w:bCs/>
        </w:rPr>
        <w:t xml:space="preserve">2. </w:t>
      </w:r>
      <w:r>
        <w:rPr>
          <w:rFonts w:eastAsia="Noto Serif CJK TC"/>
        </w:rPr>
        <w:t>本專案報告提出「最低實質控制能力」（</w:t>
      </w:r>
      <w:r>
        <w:rPr>
          <w:rFonts w:eastAsia="Noto Serif CJK TC"/>
        </w:rPr>
        <w:t>MSCC</w:t>
      </w:r>
      <w:r>
        <w:rPr>
          <w:rFonts w:eastAsia="Noto Serif CJK TC"/>
        </w:rPr>
        <w:t>）</w:t>
      </w:r>
      <w:proofErr w:type="gramStart"/>
      <w:r>
        <w:rPr>
          <w:rFonts w:eastAsia="Noto Serif CJK TC"/>
        </w:rPr>
        <w:t>作為硬法核定</w:t>
      </w:r>
      <w:proofErr w:type="gramEnd"/>
      <w:r>
        <w:rPr>
          <w:rFonts w:eastAsia="Noto Serif CJK TC"/>
        </w:rPr>
        <w:t>標準，並為</w:t>
      </w:r>
      <w:r>
        <w:rPr>
          <w:rFonts w:eastAsia="Noto Serif CJK TC"/>
        </w:rPr>
        <w:t xml:space="preserve"> MODA</w:t>
      </w:r>
      <w:r>
        <w:rPr>
          <w:rFonts w:eastAsia="Noto Serif CJK TC"/>
        </w:rPr>
        <w:t>、國家</w:t>
      </w:r>
      <w:proofErr w:type="gramStart"/>
      <w:r>
        <w:rPr>
          <w:rFonts w:eastAsia="Noto Serif CJK TC"/>
        </w:rPr>
        <w:t>審計部及行政法</w:t>
      </w:r>
      <w:proofErr w:type="gramEnd"/>
      <w:r>
        <w:rPr>
          <w:rFonts w:eastAsia="Noto Serif CJK TC"/>
        </w:rPr>
        <w:t>院設計套裝化之三機關落地工具矩陣。</w:t>
      </w:r>
    </w:p>
    <w:p w:rsidR="008D60E2" w:rsidRDefault="00A13A70">
      <w:pPr>
        <w:spacing w:before="160" w:after="80"/>
      </w:pPr>
      <w:r>
        <w:rPr>
          <w:rFonts w:eastAsia="Noto Serif CJK TC"/>
          <w:b/>
          <w:bCs/>
          <w:sz w:val="26"/>
          <w:szCs w:val="26"/>
        </w:rPr>
        <w:t>擬辦</w:t>
      </w:r>
    </w:p>
    <w:p w:rsidR="008D60E2" w:rsidRDefault="00A13A70">
      <w:pPr>
        <w:spacing w:after="200" w:line="360" w:lineRule="auto"/>
        <w:ind w:left="480" w:hanging="480"/>
        <w:jc w:val="both"/>
      </w:pPr>
      <w:r>
        <w:rPr>
          <w:rFonts w:eastAsia="Noto Serif CJK TC"/>
          <w:b/>
          <w:bCs/>
        </w:rPr>
        <w:t xml:space="preserve">1. </w:t>
      </w:r>
      <w:r>
        <w:rPr>
          <w:rFonts w:eastAsia="Noto Serif CJK TC"/>
        </w:rPr>
        <w:t>奉核可後，函送數位發展部、國家</w:t>
      </w:r>
      <w:proofErr w:type="gramStart"/>
      <w:r>
        <w:rPr>
          <w:rFonts w:eastAsia="Noto Serif CJK TC"/>
        </w:rPr>
        <w:t>審計部及司法</w:t>
      </w:r>
      <w:proofErr w:type="gramEnd"/>
      <w:r>
        <w:rPr>
          <w:rFonts w:eastAsia="Noto Serif CJK TC"/>
        </w:rPr>
        <w:t>院，作為修正政府採購範本、審計規範與行政審判指引之依據。</w:t>
      </w:r>
    </w:p>
    <w:p w:rsidR="008D60E2" w:rsidRDefault="00A13A70">
      <w:pPr>
        <w:spacing w:after="200" w:line="360" w:lineRule="auto"/>
        <w:ind w:left="480" w:hanging="480"/>
        <w:jc w:val="both"/>
      </w:pPr>
      <w:r>
        <w:rPr>
          <w:rFonts w:eastAsia="Noto Serif CJK TC"/>
          <w:b/>
          <w:bCs/>
        </w:rPr>
        <w:lastRenderedPageBreak/>
        <w:t xml:space="preserve">2. </w:t>
      </w:r>
      <w:r>
        <w:rPr>
          <w:rFonts w:eastAsia="Noto Serif CJK TC"/>
        </w:rPr>
        <w:t>擬由本小組召開跨部會公聽會，啟動《人工智慧基本法》中</w:t>
      </w:r>
      <w:r>
        <w:rPr>
          <w:rFonts w:eastAsia="Noto Serif CJK TC"/>
        </w:rPr>
        <w:t xml:space="preserve"> MSCC </w:t>
      </w:r>
      <w:r>
        <w:rPr>
          <w:rFonts w:eastAsia="Noto Serif CJK TC"/>
        </w:rPr>
        <w:t>硬指標之法制化程序。</w:t>
      </w:r>
    </w:p>
    <w:p w:rsidR="008D60E2" w:rsidRDefault="00A13A70">
      <w:pPr>
        <w:spacing w:before="160" w:after="200"/>
        <w:jc w:val="right"/>
      </w:pPr>
      <w:r>
        <w:rPr>
          <w:rFonts w:eastAsia="Noto Serif CJK TC"/>
          <w:b/>
          <w:bCs/>
        </w:rPr>
        <w:t>恭請　核示</w:t>
      </w:r>
    </w:p>
    <w:p w:rsidR="008D60E2" w:rsidRDefault="00A13A70">
      <w:pPr>
        <w:pStyle w:val="2"/>
        <w:spacing w:before="300"/>
      </w:pPr>
      <w:bookmarkStart w:id="19" w:name="_Toc238090782"/>
      <w:r>
        <w:t>附錄二：</w:t>
      </w:r>
      <w:proofErr w:type="gramStart"/>
      <w:r>
        <w:t>三</w:t>
      </w:r>
      <w:proofErr w:type="gramEnd"/>
      <w:r>
        <w:t>機關套裝工具包（完整條文，假設性範例）</w:t>
      </w:r>
      <w:bookmarkEnd w:id="19"/>
    </w:p>
    <w:p w:rsidR="008D60E2" w:rsidRDefault="00A13A70">
      <w:pPr>
        <w:spacing w:after="200"/>
      </w:pPr>
      <w:proofErr w:type="gramStart"/>
      <w:r>
        <w:rPr>
          <w:rFonts w:eastAsia="Noto Serif CJK TC"/>
          <w:i/>
          <w:iCs/>
          <w:color w:val="888888"/>
          <w:sz w:val="20"/>
          <w:szCs w:val="20"/>
        </w:rPr>
        <w:t>【</w:t>
      </w:r>
      <w:proofErr w:type="gramEnd"/>
      <w:r>
        <w:rPr>
          <w:rFonts w:eastAsia="Noto Serif CJK TC"/>
          <w:i/>
          <w:iCs/>
          <w:color w:val="888888"/>
          <w:sz w:val="20"/>
          <w:szCs w:val="20"/>
        </w:rPr>
        <w:t>編按：以下工具包一至三所列契約與審查條文，性質</w:t>
      </w:r>
      <w:proofErr w:type="gramStart"/>
      <w:r>
        <w:rPr>
          <w:rFonts w:eastAsia="Noto Serif CJK TC"/>
          <w:i/>
          <w:iCs/>
          <w:color w:val="888888"/>
          <w:sz w:val="20"/>
          <w:szCs w:val="20"/>
        </w:rPr>
        <w:t>上均屬本</w:t>
      </w:r>
      <w:proofErr w:type="gramEnd"/>
      <w:r>
        <w:rPr>
          <w:rFonts w:eastAsia="Noto Serif CJK TC"/>
          <w:i/>
          <w:iCs/>
          <w:color w:val="888888"/>
          <w:sz w:val="20"/>
          <w:szCs w:val="20"/>
        </w:rPr>
        <w:t>研究之政策倡議與建議草案，尚未經任何機關</w:t>
      </w:r>
      <w:proofErr w:type="gramStart"/>
      <w:r>
        <w:rPr>
          <w:rFonts w:eastAsia="Noto Serif CJK TC"/>
          <w:i/>
          <w:iCs/>
          <w:color w:val="888888"/>
          <w:sz w:val="20"/>
          <w:szCs w:val="20"/>
        </w:rPr>
        <w:t>採認</w:t>
      </w:r>
      <w:proofErr w:type="gramEnd"/>
      <w:r>
        <w:rPr>
          <w:rFonts w:eastAsia="Noto Serif CJK TC"/>
          <w:i/>
          <w:iCs/>
          <w:color w:val="888888"/>
          <w:sz w:val="20"/>
          <w:szCs w:val="20"/>
        </w:rPr>
        <w:t>或立法授權，時效／百分比等數值亦為本研究依情境設定之建議基準，非既定法規標準。其中工具包三之「舉證責任反轉原則」，更涉及現行《行政訴訟法》規則之變更，須待修法後始得援用，詳見第五章</w:t>
      </w:r>
      <w:r>
        <w:rPr>
          <w:rFonts w:eastAsia="Noto Serif CJK TC"/>
          <w:i/>
          <w:iCs/>
          <w:color w:val="888888"/>
          <w:sz w:val="20"/>
          <w:szCs w:val="20"/>
        </w:rPr>
        <w:t xml:space="preserve"> 5.2 </w:t>
      </w:r>
      <w:r>
        <w:rPr>
          <w:rFonts w:eastAsia="Noto Serif CJK TC"/>
          <w:i/>
          <w:iCs/>
          <w:color w:val="888888"/>
          <w:sz w:val="20"/>
          <w:szCs w:val="20"/>
        </w:rPr>
        <w:t>節說明。】</w:t>
      </w:r>
    </w:p>
    <w:p w:rsidR="008D60E2" w:rsidRDefault="00A13A70">
      <w:pPr>
        <w:pStyle w:val="3"/>
      </w:pPr>
      <w:bookmarkStart w:id="20" w:name="_Toc238090783"/>
      <w:r>
        <w:t>工具包</w:t>
      </w:r>
      <w:proofErr w:type="gramStart"/>
      <w:r>
        <w:t>一</w:t>
      </w:r>
      <w:proofErr w:type="gramEnd"/>
      <w:r>
        <w:t>：數位發展部（</w:t>
      </w:r>
      <w:r>
        <w:t>MODA</w:t>
      </w:r>
      <w:r>
        <w:t>）</w:t>
      </w:r>
      <w:proofErr w:type="gramStart"/>
      <w:r>
        <w:t>—</w:t>
      </w:r>
      <w:proofErr w:type="gramEnd"/>
      <w:r>
        <w:t>—</w:t>
      </w:r>
      <w:r>
        <w:t>政府採購</w:t>
      </w:r>
      <w:r>
        <w:t xml:space="preserve"> AI </w:t>
      </w:r>
      <w:r>
        <w:t>契約標準範本（</w:t>
      </w:r>
      <w:r>
        <w:t xml:space="preserve">MSCC </w:t>
      </w:r>
      <w:r>
        <w:t>強制條款完整版）</w:t>
      </w:r>
      <w:bookmarkEnd w:id="20"/>
    </w:p>
    <w:p w:rsidR="008D60E2" w:rsidRDefault="00A13A70">
      <w:pPr>
        <w:spacing w:before="120" w:after="80"/>
      </w:pPr>
      <w:r>
        <w:rPr>
          <w:rFonts w:eastAsia="Noto Serif CJK TC"/>
          <w:b/>
          <w:bCs/>
        </w:rPr>
        <w:t>第</w:t>
      </w:r>
      <w:r>
        <w:rPr>
          <w:rFonts w:eastAsia="Noto Serif CJK TC"/>
          <w:b/>
          <w:bCs/>
        </w:rPr>
        <w:t xml:space="preserve"> X </w:t>
      </w:r>
      <w:r>
        <w:rPr>
          <w:rFonts w:eastAsia="Noto Serif CJK TC"/>
          <w:b/>
          <w:bCs/>
        </w:rPr>
        <w:t>條【零資料留存</w:t>
      </w:r>
      <w:r>
        <w:rPr>
          <w:rFonts w:eastAsia="Noto Serif CJK TC"/>
          <w:b/>
          <w:bCs/>
        </w:rPr>
        <w:t xml:space="preserve"> ZDR </w:t>
      </w:r>
      <w:r>
        <w:rPr>
          <w:rFonts w:eastAsia="Noto Serif CJK TC"/>
          <w:b/>
          <w:bCs/>
        </w:rPr>
        <w:t>與資料主權】</w:t>
      </w:r>
    </w:p>
    <w:p w:rsidR="008D60E2" w:rsidRDefault="00A13A70">
      <w:pPr>
        <w:spacing w:after="200" w:line="360" w:lineRule="auto"/>
        <w:ind w:left="480" w:hanging="480"/>
        <w:jc w:val="both"/>
      </w:pPr>
      <w:r>
        <w:rPr>
          <w:rFonts w:eastAsia="Noto Serif CJK TC"/>
          <w:b/>
          <w:bCs/>
        </w:rPr>
        <w:t xml:space="preserve">1. </w:t>
      </w:r>
      <w:r>
        <w:rPr>
          <w:rFonts w:eastAsia="Noto Serif CJK TC"/>
        </w:rPr>
        <w:t>乙方（廠商）承諾提供之生成式</w:t>
      </w:r>
      <w:r>
        <w:rPr>
          <w:rFonts w:eastAsia="Noto Serif CJK TC"/>
        </w:rPr>
        <w:t xml:space="preserve"> AI API </w:t>
      </w:r>
      <w:r>
        <w:rPr>
          <w:rFonts w:eastAsia="Noto Serif CJK TC"/>
        </w:rPr>
        <w:t>服務嚴格遵循「零資料留存（</w:t>
      </w:r>
      <w:r>
        <w:rPr>
          <w:rFonts w:eastAsia="Noto Serif CJK TC"/>
        </w:rPr>
        <w:t>Zero Data Retention, ZDR</w:t>
      </w:r>
      <w:r>
        <w:rPr>
          <w:rFonts w:eastAsia="Noto Serif CJK TC"/>
        </w:rPr>
        <w:t>）」原則。甲方傳輸之任何提示詞（</w:t>
      </w:r>
      <w:r>
        <w:rPr>
          <w:rFonts w:eastAsia="Noto Serif CJK TC"/>
        </w:rPr>
        <w:t>Prompts</w:t>
      </w:r>
      <w:r>
        <w:rPr>
          <w:rFonts w:eastAsia="Noto Serif CJK TC"/>
        </w:rPr>
        <w:t>）、附件、公務機密、個人資料、</w:t>
      </w:r>
      <w:r>
        <w:rPr>
          <w:rFonts w:eastAsia="Noto Serif CJK TC"/>
        </w:rPr>
        <w:t xml:space="preserve">RAG </w:t>
      </w:r>
      <w:r>
        <w:rPr>
          <w:rFonts w:eastAsia="Noto Serif CJK TC"/>
        </w:rPr>
        <w:t>檢索脈絡，乙方不得留存超過處理必要時間（最長不得超過</w:t>
      </w:r>
      <w:r>
        <w:rPr>
          <w:rFonts w:eastAsia="Noto Serif CJK TC"/>
        </w:rPr>
        <w:t xml:space="preserve"> 24 </w:t>
      </w:r>
      <w:r>
        <w:rPr>
          <w:rFonts w:eastAsia="Noto Serif CJK TC"/>
        </w:rPr>
        <w:t>小時），且不得用於模型二次訓練、微調、</w:t>
      </w:r>
      <w:r>
        <w:rPr>
          <w:rFonts w:eastAsia="Noto Serif CJK TC"/>
        </w:rPr>
        <w:t xml:space="preserve">RLHF </w:t>
      </w:r>
      <w:r>
        <w:rPr>
          <w:rFonts w:eastAsia="Noto Serif CJK TC"/>
        </w:rPr>
        <w:t>或任何次級商業開發。</w:t>
      </w:r>
    </w:p>
    <w:p w:rsidR="008D60E2" w:rsidRDefault="00A13A70">
      <w:pPr>
        <w:spacing w:after="200" w:line="360" w:lineRule="auto"/>
        <w:ind w:left="480" w:hanging="480"/>
        <w:jc w:val="both"/>
      </w:pPr>
      <w:r>
        <w:rPr>
          <w:rFonts w:eastAsia="Noto Serif CJK TC"/>
          <w:b/>
          <w:bCs/>
        </w:rPr>
        <w:t xml:space="preserve">2. </w:t>
      </w:r>
      <w:r>
        <w:rPr>
          <w:rFonts w:eastAsia="Noto Serif CJK TC"/>
        </w:rPr>
        <w:t>乙方應提供</w:t>
      </w:r>
      <w:r>
        <w:rPr>
          <w:rFonts w:eastAsia="Noto Serif CJK TC"/>
        </w:rPr>
        <w:t xml:space="preserve"> ZDR </w:t>
      </w:r>
      <w:r>
        <w:rPr>
          <w:rFonts w:eastAsia="Noto Serif CJK TC"/>
        </w:rPr>
        <w:t>之第三方</w:t>
      </w:r>
      <w:r>
        <w:rPr>
          <w:rFonts w:eastAsia="Noto Serif CJK TC"/>
        </w:rPr>
        <w:t xml:space="preserve"> SOC 2 Type II </w:t>
      </w:r>
      <w:r>
        <w:rPr>
          <w:rFonts w:eastAsia="Noto Serif CJK TC"/>
        </w:rPr>
        <w:t>或同等稽核證明，並開放甲方進行資料流向稽核。違反本條視為重大違約，甲方得終止契約並請求懲罰性違約金為契約總額</w:t>
      </w:r>
      <w:r>
        <w:rPr>
          <w:rFonts w:eastAsia="Noto Serif CJK TC"/>
        </w:rPr>
        <w:t xml:space="preserve"> 30%</w:t>
      </w:r>
      <w:r>
        <w:rPr>
          <w:rFonts w:eastAsia="Noto Serif CJK TC"/>
        </w:rPr>
        <w:t>。</w:t>
      </w:r>
    </w:p>
    <w:p w:rsidR="008D60E2" w:rsidRDefault="00A13A70">
      <w:pPr>
        <w:spacing w:before="160" w:after="80"/>
      </w:pPr>
      <w:r>
        <w:rPr>
          <w:rFonts w:eastAsia="Noto Serif CJK TC"/>
          <w:b/>
          <w:bCs/>
        </w:rPr>
        <w:t>第</w:t>
      </w:r>
      <w:r>
        <w:rPr>
          <w:rFonts w:eastAsia="Noto Serif CJK TC"/>
          <w:b/>
          <w:bCs/>
        </w:rPr>
        <w:t xml:space="preserve"> Y </w:t>
      </w:r>
      <w:r>
        <w:rPr>
          <w:rFonts w:eastAsia="Noto Serif CJK TC"/>
          <w:b/>
          <w:bCs/>
        </w:rPr>
        <w:t>條【模型資產可攜性與反鎖定】</w:t>
      </w:r>
    </w:p>
    <w:p w:rsidR="008D60E2" w:rsidRDefault="00A13A70">
      <w:pPr>
        <w:spacing w:after="200" w:line="360" w:lineRule="auto"/>
        <w:ind w:left="480" w:hanging="480"/>
        <w:jc w:val="both"/>
      </w:pPr>
      <w:r>
        <w:rPr>
          <w:rFonts w:eastAsia="Noto Serif CJK TC"/>
          <w:b/>
          <w:bCs/>
        </w:rPr>
        <w:t xml:space="preserve">1. </w:t>
      </w:r>
      <w:r>
        <w:rPr>
          <w:rFonts w:eastAsia="Noto Serif CJK TC"/>
        </w:rPr>
        <w:t>履約期間及終止後，利用甲方公務資料進行微調（</w:t>
      </w:r>
      <w:r>
        <w:rPr>
          <w:rFonts w:eastAsia="Noto Serif CJK TC"/>
        </w:rPr>
        <w:t>Fine-tuning</w:t>
      </w:r>
      <w:r>
        <w:rPr>
          <w:rFonts w:eastAsia="Noto Serif CJK TC"/>
        </w:rPr>
        <w:t>）所產生之模型權重（</w:t>
      </w:r>
      <w:r>
        <w:rPr>
          <w:rFonts w:eastAsia="Noto Serif CJK TC"/>
        </w:rPr>
        <w:t>Weights</w:t>
      </w:r>
      <w:r>
        <w:rPr>
          <w:rFonts w:eastAsia="Noto Serif CJK TC"/>
        </w:rPr>
        <w:t>）、</w:t>
      </w:r>
      <w:r>
        <w:rPr>
          <w:rFonts w:eastAsia="Noto Serif CJK TC"/>
        </w:rPr>
        <w:t xml:space="preserve">Adapter </w:t>
      </w:r>
      <w:r>
        <w:rPr>
          <w:rFonts w:eastAsia="Noto Serif CJK TC"/>
        </w:rPr>
        <w:t>參數（</w:t>
      </w:r>
      <w:proofErr w:type="spellStart"/>
      <w:r>
        <w:rPr>
          <w:rFonts w:eastAsia="Noto Serif CJK TC"/>
        </w:rPr>
        <w:t>LoRA</w:t>
      </w:r>
      <w:proofErr w:type="spellEnd"/>
      <w:r>
        <w:rPr>
          <w:rFonts w:eastAsia="Noto Serif CJK TC"/>
        </w:rPr>
        <w:t>/PEFT</w:t>
      </w:r>
      <w:r>
        <w:rPr>
          <w:rFonts w:eastAsia="Noto Serif CJK TC"/>
        </w:rPr>
        <w:t>）、</w:t>
      </w:r>
      <w:r>
        <w:rPr>
          <w:rFonts w:eastAsia="Noto Serif CJK TC"/>
        </w:rPr>
        <w:t xml:space="preserve">RAG </w:t>
      </w:r>
      <w:r>
        <w:rPr>
          <w:rFonts w:eastAsia="Noto Serif CJK TC"/>
        </w:rPr>
        <w:t>向量資料庫（</w:t>
      </w:r>
      <w:r>
        <w:rPr>
          <w:rFonts w:eastAsia="Noto Serif CJK TC"/>
        </w:rPr>
        <w:t>Vector Embeddings</w:t>
      </w:r>
      <w:r>
        <w:rPr>
          <w:rFonts w:eastAsia="Noto Serif CJK TC"/>
        </w:rPr>
        <w:t>）、</w:t>
      </w:r>
      <w:r>
        <w:rPr>
          <w:rFonts w:eastAsia="Noto Serif CJK TC"/>
        </w:rPr>
        <w:t xml:space="preserve">Chunking </w:t>
      </w:r>
      <w:r>
        <w:rPr>
          <w:rFonts w:eastAsia="Noto Serif CJK TC"/>
        </w:rPr>
        <w:t>規則與</w:t>
      </w:r>
      <w:r>
        <w:rPr>
          <w:rFonts w:eastAsia="Noto Serif CJK TC"/>
        </w:rPr>
        <w:t xml:space="preserve"> Prompt </w:t>
      </w:r>
      <w:r>
        <w:rPr>
          <w:rFonts w:eastAsia="Noto Serif CJK TC"/>
        </w:rPr>
        <w:t>模板，其完整智慧財產權與所有權歸屬甲方。</w:t>
      </w:r>
    </w:p>
    <w:p w:rsidR="008D60E2" w:rsidRDefault="00A13A70">
      <w:pPr>
        <w:spacing w:after="200" w:line="360" w:lineRule="auto"/>
        <w:ind w:left="480" w:hanging="480"/>
        <w:jc w:val="both"/>
      </w:pPr>
      <w:r>
        <w:rPr>
          <w:rFonts w:eastAsia="Noto Serif CJK TC"/>
          <w:b/>
          <w:bCs/>
        </w:rPr>
        <w:t xml:space="preserve">2. </w:t>
      </w:r>
      <w:r>
        <w:rPr>
          <w:rFonts w:eastAsia="Noto Serif CJK TC"/>
        </w:rPr>
        <w:t>乙方應無條件提供標準化導出介面（</w:t>
      </w:r>
      <w:r>
        <w:rPr>
          <w:rFonts w:eastAsia="Noto Serif CJK TC"/>
        </w:rPr>
        <w:t>API</w:t>
      </w:r>
      <w:r>
        <w:rPr>
          <w:rFonts w:eastAsia="Noto Serif CJK TC"/>
        </w:rPr>
        <w:t>／</w:t>
      </w:r>
      <w:r>
        <w:rPr>
          <w:rFonts w:eastAsia="Noto Serif CJK TC"/>
        </w:rPr>
        <w:t>Dump Files</w:t>
      </w:r>
      <w:r>
        <w:rPr>
          <w:rFonts w:eastAsia="Noto Serif CJK TC"/>
        </w:rPr>
        <w:t>／</w:t>
      </w:r>
      <w:r>
        <w:rPr>
          <w:rFonts w:eastAsia="Noto Serif CJK TC"/>
        </w:rPr>
        <w:t xml:space="preserve">ONNX </w:t>
      </w:r>
      <w:r>
        <w:rPr>
          <w:rFonts w:eastAsia="Noto Serif CJK TC"/>
        </w:rPr>
        <w:t>格式），不得進行廠商綁定（</w:t>
      </w:r>
      <w:r>
        <w:rPr>
          <w:rFonts w:eastAsia="Noto Serif CJK TC"/>
        </w:rPr>
        <w:t>Vendor Lock-in</w:t>
      </w:r>
      <w:r>
        <w:rPr>
          <w:rFonts w:eastAsia="Noto Serif CJK TC"/>
        </w:rPr>
        <w:t>）。契約終止後</w:t>
      </w:r>
      <w:r>
        <w:rPr>
          <w:rFonts w:eastAsia="Noto Serif CJK TC"/>
        </w:rPr>
        <w:t xml:space="preserve"> 7 </w:t>
      </w:r>
      <w:r>
        <w:rPr>
          <w:rFonts w:eastAsia="Noto Serif CJK TC"/>
        </w:rPr>
        <w:t>日內完成全量移轉。</w:t>
      </w:r>
    </w:p>
    <w:p w:rsidR="008D60E2" w:rsidRDefault="00A13A70">
      <w:pPr>
        <w:spacing w:after="200" w:line="360" w:lineRule="auto"/>
        <w:ind w:left="480" w:hanging="480"/>
        <w:jc w:val="both"/>
      </w:pPr>
      <w:r>
        <w:rPr>
          <w:rFonts w:eastAsia="Noto Serif CJK TC"/>
          <w:b/>
          <w:bCs/>
        </w:rPr>
        <w:t xml:space="preserve">3. </w:t>
      </w:r>
      <w:r>
        <w:rPr>
          <w:rFonts w:eastAsia="Noto Serif CJK TC"/>
        </w:rPr>
        <w:t>乙方若使用開源模型，應揭露基礎模型名稱、版本、授權條款。</w:t>
      </w:r>
    </w:p>
    <w:p w:rsidR="008D60E2" w:rsidRDefault="00A13A70">
      <w:pPr>
        <w:spacing w:before="160" w:after="80"/>
      </w:pPr>
      <w:r>
        <w:rPr>
          <w:rFonts w:eastAsia="Noto Serif CJK TC"/>
          <w:b/>
          <w:bCs/>
        </w:rPr>
        <w:t>第</w:t>
      </w:r>
      <w:r>
        <w:rPr>
          <w:rFonts w:eastAsia="Noto Serif CJK TC"/>
          <w:b/>
          <w:bCs/>
        </w:rPr>
        <w:t xml:space="preserve"> Z </w:t>
      </w:r>
      <w:r>
        <w:rPr>
          <w:rFonts w:eastAsia="Noto Serif CJK TC"/>
          <w:b/>
          <w:bCs/>
        </w:rPr>
        <w:t>條【單向斷路權</w:t>
      </w:r>
      <w:r>
        <w:rPr>
          <w:rFonts w:eastAsia="Noto Serif CJK TC"/>
          <w:b/>
          <w:bCs/>
        </w:rPr>
        <w:t xml:space="preserve"> Kill-Switch </w:t>
      </w:r>
      <w:r>
        <w:rPr>
          <w:rFonts w:eastAsia="Noto Serif CJK TC"/>
          <w:b/>
          <w:bCs/>
        </w:rPr>
        <w:t>與備援義務】</w:t>
      </w:r>
    </w:p>
    <w:p w:rsidR="008D60E2" w:rsidRDefault="00A13A70">
      <w:pPr>
        <w:spacing w:after="200" w:line="360" w:lineRule="auto"/>
        <w:ind w:left="480" w:hanging="480"/>
        <w:jc w:val="both"/>
      </w:pPr>
      <w:r>
        <w:rPr>
          <w:rFonts w:eastAsia="Noto Serif CJK TC"/>
          <w:b/>
          <w:bCs/>
        </w:rPr>
        <w:t xml:space="preserve">1. </w:t>
      </w:r>
      <w:r>
        <w:rPr>
          <w:rFonts w:eastAsia="Noto Serif CJK TC"/>
        </w:rPr>
        <w:t>乙方須提供獨立之單向強制中斷（</w:t>
      </w:r>
      <w:r>
        <w:rPr>
          <w:rFonts w:eastAsia="Noto Serif CJK TC"/>
        </w:rPr>
        <w:t>Kill-Switch</w:t>
      </w:r>
      <w:r>
        <w:rPr>
          <w:rFonts w:eastAsia="Noto Serif CJK TC"/>
        </w:rPr>
        <w:t>）控制介面與實體</w:t>
      </w:r>
      <w:proofErr w:type="gramStart"/>
      <w:r>
        <w:rPr>
          <w:rFonts w:eastAsia="Noto Serif CJK TC"/>
        </w:rPr>
        <w:t>帳號予甲方</w:t>
      </w:r>
      <w:proofErr w:type="gramEnd"/>
      <w:r>
        <w:rPr>
          <w:rFonts w:eastAsia="Noto Serif CJK TC"/>
        </w:rPr>
        <w:t>資訊長。甲方認定系統產生集體幻覺、</w:t>
      </w:r>
      <w:proofErr w:type="gramStart"/>
      <w:r>
        <w:rPr>
          <w:rFonts w:eastAsia="Noto Serif CJK TC"/>
        </w:rPr>
        <w:t>個</w:t>
      </w:r>
      <w:proofErr w:type="gramEnd"/>
      <w:r>
        <w:rPr>
          <w:rFonts w:eastAsia="Noto Serif CJK TC"/>
        </w:rPr>
        <w:t>資洩漏、侵害公共利益或國家安全疑慮時，有權單方一鍵切斷</w:t>
      </w:r>
      <w:r>
        <w:rPr>
          <w:rFonts w:eastAsia="Noto Serif CJK TC"/>
        </w:rPr>
        <w:t xml:space="preserve"> API </w:t>
      </w:r>
      <w:r>
        <w:rPr>
          <w:rFonts w:eastAsia="Noto Serif CJK TC"/>
        </w:rPr>
        <w:t>連線。</w:t>
      </w:r>
    </w:p>
    <w:p w:rsidR="008D60E2" w:rsidRDefault="00A13A70">
      <w:pPr>
        <w:spacing w:after="200" w:line="360" w:lineRule="auto"/>
        <w:ind w:left="480" w:hanging="480"/>
        <w:jc w:val="both"/>
      </w:pPr>
      <w:r>
        <w:rPr>
          <w:rFonts w:eastAsia="Noto Serif CJK TC"/>
          <w:b/>
          <w:bCs/>
        </w:rPr>
        <w:t xml:space="preserve">2. </w:t>
      </w:r>
      <w:r>
        <w:rPr>
          <w:rFonts w:eastAsia="Noto Serif CJK TC"/>
        </w:rPr>
        <w:t>觸發</w:t>
      </w:r>
      <w:r>
        <w:rPr>
          <w:rFonts w:eastAsia="Noto Serif CJK TC"/>
        </w:rPr>
        <w:t xml:space="preserve"> Kill-Switch </w:t>
      </w:r>
      <w:r>
        <w:rPr>
          <w:rFonts w:eastAsia="Noto Serif CJK TC"/>
        </w:rPr>
        <w:t>不構成甲方違約，乙方不得主張違約賠償或服務中斷損失。</w:t>
      </w:r>
    </w:p>
    <w:p w:rsidR="008D60E2" w:rsidRDefault="00A13A70">
      <w:pPr>
        <w:spacing w:after="200" w:line="360" w:lineRule="auto"/>
        <w:ind w:left="480" w:hanging="480"/>
        <w:jc w:val="both"/>
      </w:pPr>
      <w:r>
        <w:rPr>
          <w:rFonts w:eastAsia="Noto Serif CJK TC"/>
          <w:b/>
          <w:bCs/>
        </w:rPr>
        <w:lastRenderedPageBreak/>
        <w:t xml:space="preserve">3. </w:t>
      </w:r>
      <w:r>
        <w:rPr>
          <w:rFonts w:eastAsia="Noto Serif CJK TC"/>
        </w:rPr>
        <w:t>乙方應協助機關建立「</w:t>
      </w:r>
      <w:r>
        <w:rPr>
          <w:rFonts w:eastAsia="Noto Serif CJK TC"/>
        </w:rPr>
        <w:t xml:space="preserve">AI </w:t>
      </w:r>
      <w:r>
        <w:rPr>
          <w:rFonts w:eastAsia="Noto Serif CJK TC"/>
        </w:rPr>
        <w:t>失效備援</w:t>
      </w:r>
      <w:r>
        <w:rPr>
          <w:rFonts w:eastAsia="Noto Serif CJK TC"/>
        </w:rPr>
        <w:t xml:space="preserve"> SOP</w:t>
      </w:r>
      <w:r>
        <w:rPr>
          <w:rFonts w:eastAsia="Noto Serif CJK TC"/>
        </w:rPr>
        <w:t>」，確保系統切斷後得於甲方依風險分級所定之時限內</w:t>
      </w:r>
      <w:proofErr w:type="gramStart"/>
      <w:r>
        <w:rPr>
          <w:rFonts w:eastAsia="Noto Serif CJK TC"/>
        </w:rPr>
        <w:t>（</w:t>
      </w:r>
      <w:proofErr w:type="gramEnd"/>
      <w:r>
        <w:rPr>
          <w:rFonts w:eastAsia="Noto Serif CJK TC"/>
        </w:rPr>
        <w:t>原則上為高風險或架構單純系統之</w:t>
      </w:r>
      <w:r>
        <w:rPr>
          <w:rFonts w:eastAsia="Noto Serif CJK TC"/>
        </w:rPr>
        <w:t xml:space="preserve"> 5 </w:t>
      </w:r>
      <w:r>
        <w:rPr>
          <w:rFonts w:eastAsia="Noto Serif CJK TC"/>
        </w:rPr>
        <w:t>分鐘內；大型、跨系統整合之複雜架構，甲方得於採購規劃階段另定合理展延時限，但最長不得逾</w:t>
      </w:r>
      <w:r>
        <w:rPr>
          <w:rFonts w:eastAsia="Noto Serif CJK TC"/>
        </w:rPr>
        <w:t xml:space="preserve"> 30 </w:t>
      </w:r>
      <w:r>
        <w:rPr>
          <w:rFonts w:eastAsia="Noto Serif CJK TC"/>
        </w:rPr>
        <w:t>分鐘，並應載明於採購文件</w:t>
      </w:r>
      <w:proofErr w:type="gramStart"/>
      <w:r>
        <w:rPr>
          <w:rFonts w:eastAsia="Noto Serif CJK TC"/>
        </w:rPr>
        <w:t>）</w:t>
      </w:r>
      <w:proofErr w:type="gramEnd"/>
      <w:r>
        <w:rPr>
          <w:rFonts w:eastAsia="Noto Serif CJK TC"/>
        </w:rPr>
        <w:t>切換至傳統人工臨櫃／公文辦理流程，並每半年</w:t>
      </w:r>
      <w:proofErr w:type="gramStart"/>
      <w:r>
        <w:rPr>
          <w:rFonts w:eastAsia="Noto Serif CJK TC"/>
        </w:rPr>
        <w:t>辦理盲測演</w:t>
      </w:r>
      <w:proofErr w:type="gramEnd"/>
      <w:r>
        <w:rPr>
          <w:rFonts w:eastAsia="Noto Serif CJK TC"/>
        </w:rPr>
        <w:t>練一次。</w:t>
      </w:r>
    </w:p>
    <w:p w:rsidR="008D60E2" w:rsidRDefault="00A13A70">
      <w:pPr>
        <w:spacing w:before="160" w:after="80"/>
      </w:pPr>
      <w:r>
        <w:rPr>
          <w:rFonts w:eastAsia="Noto Serif CJK TC"/>
          <w:b/>
          <w:bCs/>
        </w:rPr>
        <w:t>第</w:t>
      </w:r>
      <w:r>
        <w:rPr>
          <w:rFonts w:eastAsia="Noto Serif CJK TC"/>
          <w:b/>
          <w:bCs/>
        </w:rPr>
        <w:t xml:space="preserve"> W </w:t>
      </w:r>
      <w:r>
        <w:rPr>
          <w:rFonts w:eastAsia="Noto Serif CJK TC"/>
          <w:b/>
          <w:bCs/>
        </w:rPr>
        <w:t>條【切片級語意強歸因與信心度揭露】</w:t>
      </w:r>
    </w:p>
    <w:p w:rsidR="008D60E2" w:rsidRDefault="00A13A70">
      <w:pPr>
        <w:spacing w:after="200" w:line="360" w:lineRule="auto"/>
        <w:ind w:left="480" w:hanging="480"/>
        <w:jc w:val="both"/>
      </w:pPr>
      <w:r>
        <w:rPr>
          <w:rFonts w:eastAsia="Noto Serif CJK TC"/>
          <w:b/>
          <w:bCs/>
        </w:rPr>
        <w:t xml:space="preserve">1. </w:t>
      </w:r>
      <w:r>
        <w:rPr>
          <w:rFonts w:eastAsia="Noto Serif CJK TC"/>
        </w:rPr>
        <w:t>凡涉及法規檢索、處分理由之</w:t>
      </w:r>
      <w:r>
        <w:rPr>
          <w:rFonts w:eastAsia="Noto Serif CJK TC"/>
        </w:rPr>
        <w:t xml:space="preserve"> RAG </w:t>
      </w:r>
      <w:r>
        <w:rPr>
          <w:rFonts w:eastAsia="Noto Serif CJK TC"/>
        </w:rPr>
        <w:t>輸出，乙方系統必須提供</w:t>
      </w:r>
      <w:r>
        <w:rPr>
          <w:rFonts w:eastAsia="Noto Serif CJK TC"/>
        </w:rPr>
        <w:t xml:space="preserve"> Chunk-level Attribution</w:t>
      </w:r>
      <w:r>
        <w:rPr>
          <w:rFonts w:eastAsia="Noto Serif CJK TC"/>
        </w:rPr>
        <w:t>，標示：原始法源依據（法規名稱＋條號＋項次）、切片</w:t>
      </w:r>
      <w:r>
        <w:rPr>
          <w:rFonts w:eastAsia="Noto Serif CJK TC"/>
        </w:rPr>
        <w:t xml:space="preserve"> ID</w:t>
      </w:r>
      <w:r>
        <w:rPr>
          <w:rFonts w:eastAsia="Noto Serif CJK TC"/>
        </w:rPr>
        <w:t>、檢索信心度分數、時間戳記。</w:t>
      </w:r>
    </w:p>
    <w:p w:rsidR="008D60E2" w:rsidRDefault="00A13A70">
      <w:pPr>
        <w:spacing w:after="200" w:line="360" w:lineRule="auto"/>
        <w:ind w:left="480" w:hanging="480"/>
        <w:jc w:val="both"/>
      </w:pPr>
      <w:r>
        <w:rPr>
          <w:rFonts w:eastAsia="Noto Serif CJK TC"/>
          <w:b/>
          <w:bCs/>
        </w:rPr>
        <w:t xml:space="preserve">2. </w:t>
      </w:r>
      <w:r>
        <w:rPr>
          <w:rFonts w:eastAsia="Noto Serif CJK TC"/>
        </w:rPr>
        <w:t>信心度低於</w:t>
      </w:r>
      <w:r>
        <w:rPr>
          <w:rFonts w:eastAsia="Noto Serif CJK TC"/>
        </w:rPr>
        <w:t xml:space="preserve"> 0.75 </w:t>
      </w:r>
      <w:r>
        <w:rPr>
          <w:rFonts w:eastAsia="Noto Serif CJK TC"/>
        </w:rPr>
        <w:t>者，系統應自動阻斷生成並跳出紅色警示，強制人工接管。</w:t>
      </w:r>
    </w:p>
    <w:p w:rsidR="008D60E2" w:rsidRDefault="00A13A70">
      <w:pPr>
        <w:spacing w:before="160" w:after="80"/>
      </w:pPr>
      <w:r>
        <w:rPr>
          <w:rFonts w:eastAsia="Noto Serif CJK TC"/>
          <w:b/>
          <w:bCs/>
        </w:rPr>
        <w:t>第</w:t>
      </w:r>
      <w:r>
        <w:rPr>
          <w:rFonts w:eastAsia="Noto Serif CJK TC"/>
          <w:b/>
          <w:bCs/>
        </w:rPr>
        <w:t xml:space="preserve"> V </w:t>
      </w:r>
      <w:r>
        <w:rPr>
          <w:rFonts w:eastAsia="Noto Serif CJK TC"/>
          <w:b/>
          <w:bCs/>
        </w:rPr>
        <w:t>條【全歷程不可竄改</w:t>
      </w:r>
      <w:r>
        <w:rPr>
          <w:rFonts w:eastAsia="Noto Serif CJK TC"/>
          <w:b/>
          <w:bCs/>
        </w:rPr>
        <w:t xml:space="preserve"> Log </w:t>
      </w:r>
      <w:r>
        <w:rPr>
          <w:rFonts w:eastAsia="Noto Serif CJK TC"/>
          <w:b/>
          <w:bCs/>
        </w:rPr>
        <w:t>與稽核配合】</w:t>
      </w:r>
    </w:p>
    <w:p w:rsidR="008D60E2" w:rsidRDefault="00A13A70">
      <w:pPr>
        <w:spacing w:after="200" w:line="360" w:lineRule="auto"/>
        <w:ind w:left="480" w:hanging="480"/>
        <w:jc w:val="both"/>
      </w:pPr>
      <w:r>
        <w:rPr>
          <w:rFonts w:eastAsia="Noto Serif CJK TC"/>
          <w:b/>
          <w:bCs/>
        </w:rPr>
        <w:t xml:space="preserve">1. </w:t>
      </w:r>
      <w:r>
        <w:rPr>
          <w:rFonts w:eastAsia="Noto Serif CJK TC"/>
        </w:rPr>
        <w:t>乙方應完整記錄</w:t>
      </w:r>
      <w:r>
        <w:rPr>
          <w:rFonts w:eastAsia="Noto Serif CJK TC"/>
        </w:rPr>
        <w:t xml:space="preserve"> Prompt → </w:t>
      </w:r>
      <w:proofErr w:type="gramStart"/>
      <w:r>
        <w:rPr>
          <w:rFonts w:eastAsia="Noto Serif CJK TC"/>
        </w:rPr>
        <w:t>脫敏處理</w:t>
      </w:r>
      <w:proofErr w:type="gramEnd"/>
      <w:r>
        <w:rPr>
          <w:rFonts w:eastAsia="Noto Serif CJK TC"/>
        </w:rPr>
        <w:t xml:space="preserve"> → RAG </w:t>
      </w:r>
      <w:r>
        <w:rPr>
          <w:rFonts w:eastAsia="Noto Serif CJK TC"/>
        </w:rPr>
        <w:t>檢索（</w:t>
      </w:r>
      <w:r>
        <w:rPr>
          <w:rFonts w:eastAsia="Noto Serif CJK TC"/>
        </w:rPr>
        <w:t>Top-K</w:t>
      </w:r>
      <w:r>
        <w:rPr>
          <w:rFonts w:eastAsia="Noto Serif CJK TC"/>
        </w:rPr>
        <w:t>）</w:t>
      </w:r>
      <w:r>
        <w:rPr>
          <w:rFonts w:eastAsia="Noto Serif CJK TC"/>
        </w:rPr>
        <w:t xml:space="preserve">→ </w:t>
      </w:r>
      <w:r>
        <w:rPr>
          <w:rFonts w:eastAsia="Noto Serif CJK TC"/>
        </w:rPr>
        <w:t>生成</w:t>
      </w:r>
      <w:r>
        <w:rPr>
          <w:rFonts w:eastAsia="Noto Serif CJK TC"/>
        </w:rPr>
        <w:t xml:space="preserve"> → </w:t>
      </w:r>
      <w:r>
        <w:rPr>
          <w:rFonts w:eastAsia="Noto Serif CJK TC"/>
        </w:rPr>
        <w:t>人工修改</w:t>
      </w:r>
      <w:r>
        <w:rPr>
          <w:rFonts w:eastAsia="Noto Serif CJK TC"/>
        </w:rPr>
        <w:t xml:space="preserve"> Diff → </w:t>
      </w:r>
      <w:r>
        <w:rPr>
          <w:rFonts w:eastAsia="Noto Serif CJK TC"/>
        </w:rPr>
        <w:t>核章</w:t>
      </w:r>
      <w:r>
        <w:rPr>
          <w:rFonts w:eastAsia="Noto Serif CJK TC"/>
        </w:rPr>
        <w:t xml:space="preserve"> </w:t>
      </w:r>
      <w:r>
        <w:rPr>
          <w:rFonts w:eastAsia="Noto Serif CJK TC"/>
        </w:rPr>
        <w:t>之全歷程</w:t>
      </w:r>
      <w:r>
        <w:rPr>
          <w:rFonts w:eastAsia="Noto Serif CJK TC"/>
        </w:rPr>
        <w:t xml:space="preserve"> Log</w:t>
      </w:r>
      <w:r>
        <w:rPr>
          <w:rFonts w:eastAsia="Noto Serif CJK TC"/>
        </w:rPr>
        <w:t>，採用</w:t>
      </w:r>
      <w:r>
        <w:rPr>
          <w:rFonts w:eastAsia="Noto Serif CJK TC"/>
        </w:rPr>
        <w:t xml:space="preserve"> WORM</w:t>
      </w:r>
      <w:r>
        <w:rPr>
          <w:rFonts w:eastAsia="Noto Serif CJK TC"/>
        </w:rPr>
        <w:t>（</w:t>
      </w:r>
      <w:r>
        <w:rPr>
          <w:rFonts w:eastAsia="Noto Serif CJK TC"/>
        </w:rPr>
        <w:t>Write Once Read Many</w:t>
      </w:r>
      <w:r>
        <w:rPr>
          <w:rFonts w:eastAsia="Noto Serif CJK TC"/>
        </w:rPr>
        <w:t>）或</w:t>
      </w:r>
      <w:proofErr w:type="gramStart"/>
      <w:r>
        <w:rPr>
          <w:rFonts w:eastAsia="Noto Serif CJK TC"/>
        </w:rPr>
        <w:t>區塊鏈存</w:t>
      </w:r>
      <w:proofErr w:type="gramEnd"/>
      <w:r>
        <w:rPr>
          <w:rFonts w:eastAsia="Noto Serif CJK TC"/>
        </w:rPr>
        <w:t>證，不可刪改，保存至少</w:t>
      </w:r>
      <w:r>
        <w:rPr>
          <w:rFonts w:eastAsia="Noto Serif CJK TC"/>
        </w:rPr>
        <w:t xml:space="preserve"> 5 </w:t>
      </w:r>
      <w:r>
        <w:rPr>
          <w:rFonts w:eastAsia="Noto Serif CJK TC"/>
        </w:rPr>
        <w:t>年。</w:t>
      </w:r>
    </w:p>
    <w:p w:rsidR="008D60E2" w:rsidRDefault="00A13A70">
      <w:pPr>
        <w:spacing w:after="200" w:line="360" w:lineRule="auto"/>
        <w:ind w:left="480" w:hanging="480"/>
        <w:jc w:val="both"/>
      </w:pPr>
      <w:r>
        <w:rPr>
          <w:rFonts w:eastAsia="Noto Serif CJK TC"/>
          <w:b/>
          <w:bCs/>
        </w:rPr>
        <w:t xml:space="preserve">2. </w:t>
      </w:r>
      <w:r>
        <w:rPr>
          <w:rFonts w:eastAsia="Noto Serif CJK TC"/>
        </w:rPr>
        <w:t>乙方無條件配合國家</w:t>
      </w:r>
      <w:proofErr w:type="gramStart"/>
      <w:r>
        <w:rPr>
          <w:rFonts w:eastAsia="Noto Serif CJK TC"/>
        </w:rPr>
        <w:t>審計部及司法</w:t>
      </w:r>
      <w:proofErr w:type="gramEnd"/>
      <w:r>
        <w:rPr>
          <w:rFonts w:eastAsia="Noto Serif CJK TC"/>
        </w:rPr>
        <w:t>機關之調閱。</w:t>
      </w:r>
    </w:p>
    <w:p w:rsidR="008D60E2" w:rsidRDefault="00A13A70">
      <w:pPr>
        <w:pStyle w:val="3"/>
      </w:pPr>
      <w:bookmarkStart w:id="21" w:name="_Toc238090784"/>
      <w:r>
        <w:t>工具包二：國家審計部</w:t>
      </w:r>
      <w:proofErr w:type="gramStart"/>
      <w:r>
        <w:t>—</w:t>
      </w:r>
      <w:proofErr w:type="gramEnd"/>
      <w:r>
        <w:t xml:space="preserve">—AI </w:t>
      </w:r>
      <w:r>
        <w:t>決策全歷程數位稽核清單（完整版）</w:t>
      </w:r>
      <w:bookmarkEnd w:id="21"/>
    </w:p>
    <w:p w:rsidR="008D60E2" w:rsidRDefault="00A13A70">
      <w:pPr>
        <w:spacing w:after="200" w:line="360" w:lineRule="auto"/>
        <w:jc w:val="both"/>
      </w:pPr>
      <w:r>
        <w:rPr>
          <w:rFonts w:eastAsia="Noto Serif CJK TC"/>
        </w:rPr>
        <w:t>本稽核清單依</w:t>
      </w:r>
      <w:r>
        <w:rPr>
          <w:rFonts w:eastAsia="Noto Serif CJK TC"/>
        </w:rPr>
        <w:t xml:space="preserve"> MSCC </w:t>
      </w:r>
      <w:r>
        <w:rPr>
          <w:rFonts w:eastAsia="Noto Serif CJK TC"/>
        </w:rPr>
        <w:t>四大維度設計，列為各機關年度資訊與效能審計必要項目。</w:t>
      </w:r>
    </w:p>
    <w:p w:rsidR="008D60E2" w:rsidRDefault="00A13A70">
      <w:pPr>
        <w:spacing w:after="160"/>
      </w:pPr>
      <w:proofErr w:type="gramStart"/>
      <w:r>
        <w:rPr>
          <w:rFonts w:eastAsia="Noto Serif CJK TC"/>
          <w:i/>
          <w:iCs/>
          <w:color w:val="888888"/>
          <w:sz w:val="20"/>
          <w:szCs w:val="20"/>
        </w:rPr>
        <w:t>【</w:t>
      </w:r>
      <w:proofErr w:type="gramEnd"/>
      <w:r>
        <w:rPr>
          <w:rFonts w:eastAsia="Noto Serif CJK TC"/>
          <w:i/>
          <w:iCs/>
          <w:color w:val="888888"/>
          <w:sz w:val="20"/>
          <w:szCs w:val="20"/>
        </w:rPr>
        <w:t>編按：原「人工審查重合度」項目，若單純以「文本重合度</w:t>
      </w:r>
      <w:r>
        <w:rPr>
          <w:rFonts w:eastAsia="Noto Serif CJK TC"/>
          <w:i/>
          <w:iCs/>
          <w:color w:val="888888"/>
          <w:sz w:val="20"/>
          <w:szCs w:val="20"/>
        </w:rPr>
        <w:t>≥95%</w:t>
      </w:r>
      <w:r>
        <w:rPr>
          <w:rFonts w:eastAsia="Noto Serif CJK TC"/>
          <w:i/>
          <w:iCs/>
          <w:color w:val="888888"/>
          <w:sz w:val="20"/>
          <w:szCs w:val="20"/>
        </w:rPr>
        <w:t>」作為違失自動認定標準，將產生逆選擇（</w:t>
      </w:r>
      <w:r>
        <w:rPr>
          <w:rFonts w:eastAsia="Noto Serif CJK TC"/>
          <w:i/>
          <w:iCs/>
          <w:color w:val="888888"/>
          <w:sz w:val="20"/>
          <w:szCs w:val="20"/>
        </w:rPr>
        <w:t>adverse selection</w:t>
      </w:r>
      <w:r>
        <w:rPr>
          <w:rFonts w:eastAsia="Noto Serif CJK TC"/>
          <w:i/>
          <w:iCs/>
          <w:color w:val="888888"/>
          <w:sz w:val="20"/>
          <w:szCs w:val="20"/>
        </w:rPr>
        <w:t>）風險</w:t>
      </w:r>
      <w:r>
        <w:rPr>
          <w:rFonts w:eastAsia="Noto Serif CJK TC"/>
          <w:i/>
          <w:iCs/>
          <w:color w:val="888888"/>
          <w:sz w:val="20"/>
          <w:szCs w:val="20"/>
        </w:rPr>
        <w:t>——</w:t>
      </w:r>
      <w:r>
        <w:rPr>
          <w:rFonts w:eastAsia="Noto Serif CJK TC"/>
          <w:i/>
          <w:iCs/>
          <w:color w:val="888888"/>
          <w:sz w:val="20"/>
          <w:szCs w:val="20"/>
        </w:rPr>
        <w:t>認真核對後確認</w:t>
      </w:r>
      <w:r>
        <w:rPr>
          <w:rFonts w:eastAsia="Noto Serif CJK TC"/>
          <w:i/>
          <w:iCs/>
          <w:color w:val="888888"/>
          <w:sz w:val="20"/>
          <w:szCs w:val="20"/>
        </w:rPr>
        <w:t>AI</w:t>
      </w:r>
      <w:r>
        <w:rPr>
          <w:rFonts w:eastAsia="Noto Serif CJK TC"/>
          <w:i/>
          <w:iCs/>
          <w:color w:val="888888"/>
          <w:sz w:val="20"/>
          <w:szCs w:val="20"/>
        </w:rPr>
        <w:t>草案無誤而未修改之承辦人，反而因高重合度被誤判為盲從；</w:t>
      </w:r>
      <w:proofErr w:type="gramStart"/>
      <w:r>
        <w:rPr>
          <w:rFonts w:eastAsia="Noto Serif CJK TC"/>
          <w:i/>
          <w:iCs/>
          <w:color w:val="888888"/>
          <w:sz w:val="20"/>
          <w:szCs w:val="20"/>
        </w:rPr>
        <w:t>反之，</w:t>
      </w:r>
      <w:proofErr w:type="gramEnd"/>
      <w:r>
        <w:rPr>
          <w:rFonts w:eastAsia="Noto Serif CJK TC"/>
          <w:i/>
          <w:iCs/>
          <w:color w:val="888888"/>
          <w:sz w:val="20"/>
          <w:szCs w:val="20"/>
        </w:rPr>
        <w:t>僅做無實質意義之字句調整以規避門檻者，卻可能通過稽核。下表已改</w:t>
      </w:r>
      <w:proofErr w:type="gramStart"/>
      <w:r>
        <w:rPr>
          <w:rFonts w:eastAsia="Noto Serif CJK TC"/>
          <w:i/>
          <w:iCs/>
          <w:color w:val="888888"/>
          <w:sz w:val="20"/>
          <w:szCs w:val="20"/>
        </w:rPr>
        <w:t>採</w:t>
      </w:r>
      <w:proofErr w:type="gramEnd"/>
      <w:r>
        <w:rPr>
          <w:rFonts w:eastAsia="Noto Serif CJK TC"/>
          <w:i/>
          <w:iCs/>
          <w:color w:val="888888"/>
          <w:sz w:val="20"/>
          <w:szCs w:val="20"/>
        </w:rPr>
        <w:t>「語意相似度＋審查紀錄交叉查核」之兩階段設計，重合度僅作為風險分級抽樣之觸發指標，不再單獨作為違失認定之充分依據。】</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8"/>
        <w:gridCol w:w="2600"/>
        <w:gridCol w:w="2600"/>
        <w:gridCol w:w="2500"/>
      </w:tblGrid>
      <w:tr w:rsidR="008D60E2">
        <w:trPr>
          <w:tblHeader/>
        </w:trPr>
        <w:tc>
          <w:tcPr>
            <w:tcW w:w="1938"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稽核項目</w:t>
            </w:r>
          </w:p>
        </w:tc>
        <w:tc>
          <w:tcPr>
            <w:tcW w:w="26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稽核重點與標準</w:t>
            </w:r>
          </w:p>
        </w:tc>
        <w:tc>
          <w:tcPr>
            <w:tcW w:w="26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違失認定</w:t>
            </w:r>
            <w:r>
              <w:rPr>
                <w:rFonts w:eastAsia="Noto Serif CJK TC"/>
                <w:b/>
                <w:bCs/>
                <w:sz w:val="22"/>
                <w:szCs w:val="22"/>
              </w:rPr>
              <w:t xml:space="preserve"> Criteria</w:t>
            </w:r>
          </w:p>
        </w:tc>
        <w:tc>
          <w:tcPr>
            <w:tcW w:w="2500" w:type="dxa"/>
            <w:shd w:val="clear" w:color="auto" w:fill="D9E2F3"/>
            <w:tcMar>
              <w:top w:w="100" w:type="dxa"/>
              <w:left w:w="120" w:type="dxa"/>
              <w:bottom w:w="100" w:type="dxa"/>
              <w:right w:w="120" w:type="dxa"/>
            </w:tcMar>
            <w:vAlign w:val="center"/>
          </w:tcPr>
          <w:p w:rsidR="008D60E2" w:rsidRDefault="00A13A70">
            <w:pPr>
              <w:spacing w:after="60" w:line="300" w:lineRule="auto"/>
            </w:pPr>
            <w:r>
              <w:rPr>
                <w:rFonts w:eastAsia="Noto Serif CJK TC"/>
                <w:b/>
                <w:bCs/>
                <w:sz w:val="22"/>
                <w:szCs w:val="22"/>
              </w:rPr>
              <w:t>稽核方式</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1. Prompt </w:t>
            </w:r>
            <w:proofErr w:type="gramStart"/>
            <w:r>
              <w:rPr>
                <w:rFonts w:eastAsia="Noto Serif CJK TC"/>
                <w:sz w:val="22"/>
                <w:szCs w:val="22"/>
              </w:rPr>
              <w:t>脫敏查核</w:t>
            </w:r>
            <w:proofErr w:type="gramEnd"/>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輸入</w:t>
            </w:r>
            <w:r>
              <w:rPr>
                <w:rFonts w:eastAsia="Noto Serif CJK TC"/>
                <w:sz w:val="22"/>
                <w:szCs w:val="22"/>
              </w:rPr>
              <w:t xml:space="preserve"> API </w:t>
            </w:r>
            <w:r>
              <w:rPr>
                <w:rFonts w:eastAsia="Noto Serif CJK TC"/>
                <w:sz w:val="22"/>
                <w:szCs w:val="22"/>
              </w:rPr>
              <w:t>之提示詞是否含未脫敏</w:t>
            </w:r>
            <w:proofErr w:type="gramStart"/>
            <w:r>
              <w:rPr>
                <w:rFonts w:eastAsia="Noto Serif CJK TC"/>
                <w:sz w:val="22"/>
                <w:szCs w:val="22"/>
              </w:rPr>
              <w:t>個</w:t>
            </w:r>
            <w:proofErr w:type="gramEnd"/>
            <w:r>
              <w:rPr>
                <w:rFonts w:eastAsia="Noto Serif CJK TC"/>
                <w:sz w:val="22"/>
                <w:szCs w:val="22"/>
              </w:rPr>
              <w:t>資／機密（身分證、病歷、國防機密）</w:t>
            </w:r>
          </w:p>
        </w:tc>
        <w:tc>
          <w:tcPr>
            <w:tcW w:w="2600" w:type="dxa"/>
            <w:tcMar>
              <w:top w:w="100" w:type="dxa"/>
              <w:left w:w="120" w:type="dxa"/>
              <w:bottom w:w="100" w:type="dxa"/>
              <w:right w:w="120" w:type="dxa"/>
            </w:tcMar>
            <w:vAlign w:val="center"/>
          </w:tcPr>
          <w:p w:rsidR="008D60E2" w:rsidRDefault="00A13A70">
            <w:pPr>
              <w:spacing w:after="60" w:line="300" w:lineRule="auto"/>
            </w:pPr>
            <w:proofErr w:type="gramStart"/>
            <w:r>
              <w:rPr>
                <w:rFonts w:eastAsia="Noto Serif CJK TC"/>
                <w:sz w:val="22"/>
                <w:szCs w:val="22"/>
              </w:rPr>
              <w:t>未經脫敏即</w:t>
            </w:r>
            <w:proofErr w:type="gramEnd"/>
            <w:r>
              <w:rPr>
                <w:rFonts w:eastAsia="Noto Serif CJK TC"/>
                <w:sz w:val="22"/>
                <w:szCs w:val="22"/>
              </w:rPr>
              <w:t>上傳商業</w:t>
            </w:r>
            <w:r>
              <w:rPr>
                <w:rFonts w:eastAsia="Noto Serif CJK TC"/>
                <w:sz w:val="22"/>
                <w:szCs w:val="22"/>
              </w:rPr>
              <w:t xml:space="preserve"> API</w:t>
            </w:r>
            <w:r>
              <w:rPr>
                <w:rFonts w:eastAsia="Noto Serif CJK TC"/>
                <w:sz w:val="22"/>
                <w:szCs w:val="22"/>
              </w:rPr>
              <w:t>，視為</w:t>
            </w:r>
            <w:proofErr w:type="gramStart"/>
            <w:r>
              <w:rPr>
                <w:rFonts w:eastAsia="Noto Serif CJK TC"/>
                <w:sz w:val="22"/>
                <w:szCs w:val="22"/>
              </w:rPr>
              <w:t>重大資安缺</w:t>
            </w:r>
            <w:proofErr w:type="gramEnd"/>
            <w:r>
              <w:rPr>
                <w:rFonts w:eastAsia="Noto Serif CJK TC"/>
                <w:sz w:val="22"/>
                <w:szCs w:val="22"/>
              </w:rPr>
              <w:t>失</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Log </w:t>
            </w:r>
            <w:r>
              <w:rPr>
                <w:rFonts w:eastAsia="Noto Serif CJK TC"/>
                <w:sz w:val="22"/>
                <w:szCs w:val="22"/>
              </w:rPr>
              <w:t>自動化過濾＋關鍵字正則比對＋抽樣</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2. RAG </w:t>
            </w:r>
            <w:r>
              <w:rPr>
                <w:rFonts w:eastAsia="Noto Serif CJK TC"/>
                <w:sz w:val="22"/>
                <w:szCs w:val="22"/>
              </w:rPr>
              <w:t>切片時效性</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向量庫切片是否定期更新，廢止法規是否同步下架，版本是否可追溯</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使用已廢止法規切片作為處分依據且未校正</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向量</w:t>
            </w:r>
            <w:r>
              <w:rPr>
                <w:rFonts w:eastAsia="Noto Serif CJK TC"/>
                <w:sz w:val="22"/>
                <w:szCs w:val="22"/>
              </w:rPr>
              <w:t xml:space="preserve"> DB </w:t>
            </w:r>
            <w:r>
              <w:rPr>
                <w:rFonts w:eastAsia="Noto Serif CJK TC"/>
                <w:sz w:val="22"/>
                <w:szCs w:val="22"/>
              </w:rPr>
              <w:t>版本校驗＋法規異動對比</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3. ZDR </w:t>
            </w:r>
            <w:r>
              <w:rPr>
                <w:rFonts w:eastAsia="Noto Serif CJK TC"/>
                <w:sz w:val="22"/>
                <w:szCs w:val="22"/>
              </w:rPr>
              <w:t>履約查核</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廠商是否提供</w:t>
            </w:r>
            <w:r>
              <w:rPr>
                <w:rFonts w:eastAsia="Noto Serif CJK TC"/>
                <w:sz w:val="22"/>
                <w:szCs w:val="22"/>
              </w:rPr>
              <w:t xml:space="preserve"> ZDR </w:t>
            </w:r>
            <w:r>
              <w:rPr>
                <w:rFonts w:eastAsia="Noto Serif CJK TC"/>
                <w:sz w:val="22"/>
                <w:szCs w:val="22"/>
              </w:rPr>
              <w:t>證明，後台是否留存</w:t>
            </w:r>
            <w:r>
              <w:rPr>
                <w:rFonts w:eastAsia="Noto Serif CJK TC"/>
                <w:sz w:val="22"/>
                <w:szCs w:val="22"/>
              </w:rPr>
              <w:t xml:space="preserve"> </w:t>
            </w:r>
            <w:r>
              <w:rPr>
                <w:rFonts w:eastAsia="Noto Serif CJK TC"/>
                <w:sz w:val="22"/>
                <w:szCs w:val="22"/>
              </w:rPr>
              <w:lastRenderedPageBreak/>
              <w:t xml:space="preserve">Prompt </w:t>
            </w:r>
            <w:r>
              <w:rPr>
                <w:rFonts w:eastAsia="Noto Serif CJK TC"/>
                <w:sz w:val="22"/>
                <w:szCs w:val="22"/>
              </w:rPr>
              <w:t>超過</w:t>
            </w:r>
            <w:r>
              <w:rPr>
                <w:rFonts w:eastAsia="Noto Serif CJK TC"/>
                <w:sz w:val="22"/>
                <w:szCs w:val="22"/>
              </w:rPr>
              <w:t xml:space="preserve"> 24 </w:t>
            </w:r>
            <w:r>
              <w:rPr>
                <w:rFonts w:eastAsia="Noto Serif CJK TC"/>
                <w:sz w:val="22"/>
                <w:szCs w:val="22"/>
              </w:rPr>
              <w:t>小時</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lastRenderedPageBreak/>
              <w:t>查獲留存紀錄或用於二</w:t>
            </w:r>
            <w:r>
              <w:rPr>
                <w:rFonts w:eastAsia="Noto Serif CJK TC"/>
                <w:sz w:val="22"/>
                <w:szCs w:val="22"/>
              </w:rPr>
              <w:lastRenderedPageBreak/>
              <w:t>次訓練</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lastRenderedPageBreak/>
              <w:t>要求廠商提供後台留存</w:t>
            </w:r>
            <w:r>
              <w:rPr>
                <w:rFonts w:eastAsia="Noto Serif CJK TC"/>
                <w:sz w:val="22"/>
                <w:szCs w:val="22"/>
              </w:rPr>
              <w:lastRenderedPageBreak/>
              <w:t>證明＋</w:t>
            </w:r>
            <w:r>
              <w:rPr>
                <w:rFonts w:eastAsia="Noto Serif CJK TC"/>
                <w:sz w:val="22"/>
                <w:szCs w:val="22"/>
              </w:rPr>
              <w:t xml:space="preserve">API </w:t>
            </w:r>
            <w:r>
              <w:rPr>
                <w:rFonts w:eastAsia="Noto Serif CJK TC"/>
                <w:sz w:val="22"/>
                <w:szCs w:val="22"/>
              </w:rPr>
              <w:t>流量側錄</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4. </w:t>
            </w:r>
            <w:r>
              <w:rPr>
                <w:rFonts w:eastAsia="Noto Serif CJK TC"/>
                <w:sz w:val="22"/>
                <w:szCs w:val="22"/>
              </w:rPr>
              <w:t>人工審查實質性查核（原「重合度」項目，已修正）</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以語意相似度（</w:t>
            </w:r>
            <w:r>
              <w:rPr>
                <w:rFonts w:eastAsia="Noto Serif CJK TC"/>
                <w:sz w:val="22"/>
                <w:szCs w:val="22"/>
              </w:rPr>
              <w:t>Semantic Similarity</w:t>
            </w:r>
            <w:r>
              <w:rPr>
                <w:rFonts w:eastAsia="Noto Serif CJK TC"/>
                <w:sz w:val="22"/>
                <w:szCs w:val="22"/>
              </w:rPr>
              <w:t>）而非逐字文本</w:t>
            </w:r>
            <w:r>
              <w:rPr>
                <w:rFonts w:eastAsia="Noto Serif CJK TC"/>
                <w:sz w:val="22"/>
                <w:szCs w:val="22"/>
              </w:rPr>
              <w:t xml:space="preserve"> Diff</w:t>
            </w:r>
            <w:r>
              <w:rPr>
                <w:rFonts w:eastAsia="Noto Serif CJK TC"/>
                <w:sz w:val="22"/>
                <w:szCs w:val="22"/>
              </w:rPr>
              <w:t>，比對</w:t>
            </w:r>
            <w:r>
              <w:rPr>
                <w:rFonts w:eastAsia="Noto Serif CJK TC"/>
                <w:sz w:val="22"/>
                <w:szCs w:val="22"/>
              </w:rPr>
              <w:t xml:space="preserve"> AI </w:t>
            </w:r>
            <w:r>
              <w:rPr>
                <w:rFonts w:eastAsia="Noto Serif CJK TC"/>
                <w:sz w:val="22"/>
                <w:szCs w:val="22"/>
              </w:rPr>
              <w:t>草案與最終發文，避免承辦人以無實質意義之字句調整規避門檻</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語意重合度達門檻，且經查無實質審查紀錄（未能提出法條涵攝、體系解釋或低信心度</w:t>
            </w:r>
            <w:proofErr w:type="gramStart"/>
            <w:r>
              <w:rPr>
                <w:rFonts w:eastAsia="Noto Serif CJK TC"/>
                <w:sz w:val="22"/>
                <w:szCs w:val="22"/>
              </w:rPr>
              <w:t>採</w:t>
            </w:r>
            <w:proofErr w:type="gramEnd"/>
            <w:r>
              <w:rPr>
                <w:rFonts w:eastAsia="Noto Serif CJK TC"/>
                <w:sz w:val="22"/>
                <w:szCs w:val="22"/>
              </w:rPr>
              <w:t>信理由等具體心證說明）者，方認定為盲從未實質審查；若承辦人留有具體審查紀錄，即便語意重合度高，</w:t>
            </w:r>
            <w:proofErr w:type="gramStart"/>
            <w:r>
              <w:rPr>
                <w:rFonts w:eastAsia="Noto Serif CJK TC"/>
                <w:sz w:val="22"/>
                <w:szCs w:val="22"/>
              </w:rPr>
              <w:t>不</w:t>
            </w:r>
            <w:proofErr w:type="gramEnd"/>
            <w:r>
              <w:rPr>
                <w:rFonts w:eastAsia="Noto Serif CJK TC"/>
                <w:sz w:val="22"/>
                <w:szCs w:val="22"/>
              </w:rPr>
              <w:t>當然認定違失</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語意相似度演算法自動比對＋審查紀錄交叉查核＋風險分級抽樣（重合度過高或「恰低於門檻之可疑微調」皆列入加強抽查）</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5. Kill-Switch </w:t>
            </w:r>
            <w:r>
              <w:rPr>
                <w:rFonts w:eastAsia="Noto Serif CJK TC"/>
                <w:sz w:val="22"/>
                <w:szCs w:val="22"/>
              </w:rPr>
              <w:t>斷路演練</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實地測試機關是否具備於契約所定時限內（原則</w:t>
            </w:r>
            <w:r>
              <w:rPr>
                <w:rFonts w:eastAsia="Noto Serif CJK TC"/>
                <w:sz w:val="22"/>
                <w:szCs w:val="22"/>
              </w:rPr>
              <w:t xml:space="preserve"> 5 </w:t>
            </w:r>
            <w:r>
              <w:rPr>
                <w:rFonts w:eastAsia="Noto Serif CJK TC"/>
                <w:sz w:val="22"/>
                <w:szCs w:val="22"/>
              </w:rPr>
              <w:t>分鐘，複雜系統依風險分級得合理展延，最長</w:t>
            </w:r>
            <w:proofErr w:type="gramStart"/>
            <w:r>
              <w:rPr>
                <w:rFonts w:eastAsia="Noto Serif CJK TC"/>
                <w:sz w:val="22"/>
                <w:szCs w:val="22"/>
              </w:rPr>
              <w:t>不</w:t>
            </w:r>
            <w:proofErr w:type="gramEnd"/>
            <w:r>
              <w:rPr>
                <w:rFonts w:eastAsia="Noto Serif CJK TC"/>
                <w:sz w:val="22"/>
                <w:szCs w:val="22"/>
              </w:rPr>
              <w:t>逾</w:t>
            </w:r>
            <w:r>
              <w:rPr>
                <w:rFonts w:eastAsia="Noto Serif CJK TC"/>
                <w:sz w:val="22"/>
                <w:szCs w:val="22"/>
              </w:rPr>
              <w:t xml:space="preserve"> 30 </w:t>
            </w:r>
            <w:r>
              <w:rPr>
                <w:rFonts w:eastAsia="Noto Serif CJK TC"/>
                <w:sz w:val="22"/>
                <w:szCs w:val="22"/>
              </w:rPr>
              <w:t>分鐘）關閉</w:t>
            </w:r>
            <w:r>
              <w:rPr>
                <w:rFonts w:eastAsia="Noto Serif CJK TC"/>
                <w:sz w:val="22"/>
                <w:szCs w:val="22"/>
              </w:rPr>
              <w:t xml:space="preserve"> AI </w:t>
            </w:r>
            <w:r>
              <w:rPr>
                <w:rFonts w:eastAsia="Noto Serif CJK TC"/>
                <w:sz w:val="22"/>
                <w:szCs w:val="22"/>
              </w:rPr>
              <w:t>模組並切換人工</w:t>
            </w:r>
            <w:r>
              <w:rPr>
                <w:rFonts w:eastAsia="Noto Serif CJK TC"/>
                <w:sz w:val="22"/>
                <w:szCs w:val="22"/>
              </w:rPr>
              <w:t xml:space="preserve"> SOP </w:t>
            </w:r>
            <w:r>
              <w:rPr>
                <w:rFonts w:eastAsia="Noto Serif CJK TC"/>
                <w:sz w:val="22"/>
                <w:szCs w:val="22"/>
              </w:rPr>
              <w:t>之能力</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系統故障時完全無法人工辦理，或逾契約所定時限（含展延上限）仍未完成切換</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現場</w:t>
            </w:r>
            <w:proofErr w:type="gramStart"/>
            <w:r>
              <w:rPr>
                <w:rFonts w:eastAsia="Noto Serif CJK TC"/>
                <w:sz w:val="22"/>
                <w:szCs w:val="22"/>
              </w:rPr>
              <w:t>突擊盲測</w:t>
            </w:r>
            <w:proofErr w:type="gramEnd"/>
            <w:r>
              <w:rPr>
                <w:rFonts w:eastAsia="Noto Serif CJK TC"/>
                <w:sz w:val="22"/>
                <w:szCs w:val="22"/>
              </w:rPr>
              <w:t>＋訪談</w:t>
            </w:r>
          </w:p>
        </w:tc>
      </w:tr>
      <w:tr w:rsidR="008D60E2">
        <w:tc>
          <w:tcPr>
            <w:tcW w:w="1938"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6. Log </w:t>
            </w:r>
            <w:r>
              <w:rPr>
                <w:rFonts w:eastAsia="Noto Serif CJK TC"/>
                <w:sz w:val="22"/>
                <w:szCs w:val="22"/>
              </w:rPr>
              <w:t>完整性</w:t>
            </w:r>
          </w:p>
        </w:tc>
        <w:tc>
          <w:tcPr>
            <w:tcW w:w="2600" w:type="dxa"/>
            <w:tcMar>
              <w:top w:w="100" w:type="dxa"/>
              <w:left w:w="120" w:type="dxa"/>
              <w:bottom w:w="100" w:type="dxa"/>
              <w:right w:w="120" w:type="dxa"/>
            </w:tcMar>
            <w:vAlign w:val="center"/>
          </w:tcPr>
          <w:p w:rsidR="008D60E2" w:rsidRDefault="00A13A70">
            <w:pPr>
              <w:spacing w:after="60" w:line="300" w:lineRule="auto"/>
            </w:pPr>
            <w:proofErr w:type="spellStart"/>
            <w:r>
              <w:rPr>
                <w:rFonts w:eastAsia="Noto Serif CJK TC"/>
                <w:sz w:val="22"/>
                <w:szCs w:val="22"/>
              </w:rPr>
              <w:t>Prompt→RAG</w:t>
            </w:r>
            <w:proofErr w:type="spellEnd"/>
            <w:r>
              <w:rPr>
                <w:rFonts w:eastAsia="Noto Serif CJK TC"/>
                <w:sz w:val="22"/>
                <w:szCs w:val="22"/>
              </w:rPr>
              <w:t>→</w:t>
            </w:r>
            <w:r>
              <w:rPr>
                <w:rFonts w:eastAsia="Noto Serif CJK TC"/>
                <w:sz w:val="22"/>
                <w:szCs w:val="22"/>
              </w:rPr>
              <w:t>生成</w:t>
            </w:r>
            <w:r>
              <w:rPr>
                <w:rFonts w:eastAsia="Noto Serif CJK TC"/>
                <w:sz w:val="22"/>
                <w:szCs w:val="22"/>
              </w:rPr>
              <w:t>→</w:t>
            </w:r>
            <w:r>
              <w:rPr>
                <w:rFonts w:eastAsia="Noto Serif CJK TC"/>
                <w:sz w:val="22"/>
                <w:szCs w:val="22"/>
              </w:rPr>
              <w:t>核章</w:t>
            </w:r>
            <w:r>
              <w:rPr>
                <w:rFonts w:eastAsia="Noto Serif CJK TC"/>
                <w:sz w:val="22"/>
                <w:szCs w:val="22"/>
              </w:rPr>
              <w:t xml:space="preserve"> Log </w:t>
            </w:r>
            <w:r>
              <w:rPr>
                <w:rFonts w:eastAsia="Noto Serif CJK TC"/>
                <w:sz w:val="22"/>
                <w:szCs w:val="22"/>
              </w:rPr>
              <w:t>是否不可竄改、保存</w:t>
            </w:r>
            <w:r>
              <w:rPr>
                <w:rFonts w:eastAsia="Noto Serif CJK TC"/>
                <w:sz w:val="22"/>
                <w:szCs w:val="22"/>
              </w:rPr>
              <w:t xml:space="preserve"> 5 </w:t>
            </w:r>
            <w:r>
              <w:rPr>
                <w:rFonts w:eastAsia="Noto Serif CJK TC"/>
                <w:sz w:val="22"/>
                <w:szCs w:val="22"/>
              </w:rPr>
              <w:t>年</w:t>
            </w:r>
          </w:p>
        </w:tc>
        <w:tc>
          <w:tcPr>
            <w:tcW w:w="26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 xml:space="preserve">Log </w:t>
            </w:r>
            <w:r>
              <w:rPr>
                <w:rFonts w:eastAsia="Noto Serif CJK TC"/>
                <w:sz w:val="22"/>
                <w:szCs w:val="22"/>
              </w:rPr>
              <w:t>缺漏、中斷、可被管理者刪除</w:t>
            </w:r>
          </w:p>
        </w:tc>
        <w:tc>
          <w:tcPr>
            <w:tcW w:w="2500" w:type="dxa"/>
            <w:tcMar>
              <w:top w:w="100" w:type="dxa"/>
              <w:left w:w="120" w:type="dxa"/>
              <w:bottom w:w="100" w:type="dxa"/>
              <w:right w:w="120" w:type="dxa"/>
            </w:tcMar>
            <w:vAlign w:val="center"/>
          </w:tcPr>
          <w:p w:rsidR="008D60E2" w:rsidRDefault="00A13A70">
            <w:pPr>
              <w:spacing w:after="60" w:line="300" w:lineRule="auto"/>
            </w:pPr>
            <w:r>
              <w:rPr>
                <w:rFonts w:eastAsia="Noto Serif CJK TC"/>
                <w:sz w:val="22"/>
                <w:szCs w:val="22"/>
              </w:rPr>
              <w:t>WORM</w:t>
            </w:r>
            <w:r>
              <w:rPr>
                <w:rFonts w:eastAsia="Noto Serif CJK TC"/>
                <w:sz w:val="22"/>
                <w:szCs w:val="22"/>
              </w:rPr>
              <w:t>／</w:t>
            </w:r>
            <w:proofErr w:type="gramStart"/>
            <w:r>
              <w:rPr>
                <w:rFonts w:eastAsia="Noto Serif CJK TC"/>
                <w:sz w:val="22"/>
                <w:szCs w:val="22"/>
              </w:rPr>
              <w:t>區塊鏈存證</w:t>
            </w:r>
            <w:proofErr w:type="gramEnd"/>
            <w:r>
              <w:rPr>
                <w:rFonts w:eastAsia="Noto Serif CJK TC"/>
                <w:sz w:val="22"/>
                <w:szCs w:val="22"/>
              </w:rPr>
              <w:t>驗證</w:t>
            </w:r>
          </w:p>
        </w:tc>
      </w:tr>
    </w:tbl>
    <w:p w:rsidR="008D60E2" w:rsidRDefault="00A13A70">
      <w:pPr>
        <w:spacing w:before="200" w:after="80"/>
      </w:pPr>
      <w:r>
        <w:rPr>
          <w:rFonts w:eastAsia="Noto Serif CJK TC"/>
          <w:b/>
          <w:bCs/>
        </w:rPr>
        <w:t>稽核結果處置：</w:t>
      </w:r>
    </w:p>
    <w:p w:rsidR="008D60E2" w:rsidRDefault="00A13A70">
      <w:pPr>
        <w:spacing w:after="200" w:line="360" w:lineRule="auto"/>
        <w:ind w:left="480" w:hanging="480"/>
        <w:jc w:val="both"/>
      </w:pPr>
      <w:r>
        <w:rPr>
          <w:rFonts w:eastAsia="Noto Serif CJK TC"/>
          <w:b/>
          <w:bCs/>
        </w:rPr>
        <w:t xml:space="preserve">1. </w:t>
      </w:r>
      <w:r>
        <w:rPr>
          <w:rFonts w:eastAsia="Noto Serif CJK TC"/>
        </w:rPr>
        <w:t>重大違失：移送監察院糾正，扣減機關資訊預算</w:t>
      </w:r>
      <w:r>
        <w:rPr>
          <w:rFonts w:eastAsia="Noto Serif CJK TC"/>
        </w:rPr>
        <w:t xml:space="preserve"> 5% </w:t>
      </w:r>
      <w:r>
        <w:rPr>
          <w:rFonts w:eastAsia="Noto Serif CJK TC"/>
        </w:rPr>
        <w:t>並限期</w:t>
      </w:r>
      <w:r>
        <w:rPr>
          <w:rFonts w:eastAsia="Noto Serif CJK TC"/>
        </w:rPr>
        <w:t xml:space="preserve"> 3 </w:t>
      </w:r>
      <w:proofErr w:type="gramStart"/>
      <w:r>
        <w:rPr>
          <w:rFonts w:eastAsia="Noto Serif CJK TC"/>
        </w:rPr>
        <w:t>個</w:t>
      </w:r>
      <w:proofErr w:type="gramEnd"/>
      <w:r>
        <w:rPr>
          <w:rFonts w:eastAsia="Noto Serif CJK TC"/>
        </w:rPr>
        <w:t>月改善。</w:t>
      </w:r>
    </w:p>
    <w:p w:rsidR="008D60E2" w:rsidRDefault="00A13A70">
      <w:pPr>
        <w:spacing w:after="200" w:line="360" w:lineRule="auto"/>
        <w:ind w:left="480" w:hanging="480"/>
        <w:jc w:val="both"/>
      </w:pPr>
      <w:r>
        <w:rPr>
          <w:rFonts w:eastAsia="Noto Serif CJK TC"/>
          <w:b/>
          <w:bCs/>
        </w:rPr>
        <w:t xml:space="preserve">2. </w:t>
      </w:r>
      <w:r>
        <w:rPr>
          <w:rFonts w:eastAsia="Noto Serif CJK TC"/>
        </w:rPr>
        <w:t>廠商違約：依採購契約第</w:t>
      </w:r>
      <w:r>
        <w:rPr>
          <w:rFonts w:eastAsia="Noto Serif CJK TC"/>
        </w:rPr>
        <w:t xml:space="preserve"> X </w:t>
      </w:r>
      <w:r>
        <w:rPr>
          <w:rFonts w:eastAsia="Noto Serif CJK TC"/>
        </w:rPr>
        <w:t>條主張懲罰性違約金，並列入政府採購黑名單</w:t>
      </w:r>
      <w:r>
        <w:rPr>
          <w:rFonts w:eastAsia="Noto Serif CJK TC"/>
        </w:rPr>
        <w:t xml:space="preserve"> 1 </w:t>
      </w:r>
      <w:r>
        <w:rPr>
          <w:rFonts w:eastAsia="Noto Serif CJK TC"/>
        </w:rPr>
        <w:t>年。</w:t>
      </w:r>
    </w:p>
    <w:p w:rsidR="008D60E2" w:rsidRDefault="00A13A70">
      <w:pPr>
        <w:pStyle w:val="3"/>
      </w:pPr>
      <w:bookmarkStart w:id="22" w:name="_Toc238090785"/>
      <w:r>
        <w:t>工具包</w:t>
      </w:r>
      <w:proofErr w:type="gramStart"/>
      <w:r>
        <w:t>三</w:t>
      </w:r>
      <w:proofErr w:type="gramEnd"/>
      <w:r>
        <w:t>：行政法院／訴願會</w:t>
      </w:r>
      <w:proofErr w:type="gramStart"/>
      <w:r>
        <w:t>—</w:t>
      </w:r>
      <w:proofErr w:type="gramEnd"/>
      <w:r>
        <w:t xml:space="preserve">—AI </w:t>
      </w:r>
      <w:r>
        <w:t>輔助處分實質審查標準（完整版）</w:t>
      </w:r>
      <w:bookmarkEnd w:id="22"/>
    </w:p>
    <w:p w:rsidR="008D60E2" w:rsidRDefault="00A13A70">
      <w:pPr>
        <w:spacing w:after="160"/>
      </w:pPr>
      <w:proofErr w:type="gramStart"/>
      <w:r>
        <w:rPr>
          <w:rFonts w:eastAsia="Noto Serif CJK TC"/>
          <w:i/>
          <w:iCs/>
          <w:color w:val="888888"/>
          <w:sz w:val="20"/>
          <w:szCs w:val="20"/>
        </w:rPr>
        <w:t>【</w:t>
      </w:r>
      <w:proofErr w:type="gramEnd"/>
      <w:r>
        <w:rPr>
          <w:rFonts w:eastAsia="Noto Serif CJK TC"/>
          <w:i/>
          <w:iCs/>
          <w:color w:val="888888"/>
          <w:sz w:val="20"/>
          <w:szCs w:val="20"/>
        </w:rPr>
        <w:t>編按：以下第一項「舉證責任反轉原則」涉及現行《行政訴訟法》舉證責任分配規則之變更，須待修法授權後始得適用，詳見第五章</w:t>
      </w:r>
      <w:r>
        <w:rPr>
          <w:rFonts w:eastAsia="Noto Serif CJK TC"/>
          <w:i/>
          <w:iCs/>
          <w:color w:val="888888"/>
          <w:sz w:val="20"/>
          <w:szCs w:val="20"/>
        </w:rPr>
        <w:t>5.2</w:t>
      </w:r>
      <w:r>
        <w:rPr>
          <w:rFonts w:eastAsia="Noto Serif CJK TC"/>
          <w:i/>
          <w:iCs/>
          <w:color w:val="888888"/>
          <w:sz w:val="20"/>
          <w:szCs w:val="20"/>
        </w:rPr>
        <w:t>節說明；第二至四項則屬行政法院於現行法架構下，得逕行</w:t>
      </w:r>
      <w:proofErr w:type="gramStart"/>
      <w:r>
        <w:rPr>
          <w:rFonts w:eastAsia="Noto Serif CJK TC"/>
          <w:i/>
          <w:iCs/>
          <w:color w:val="888888"/>
          <w:sz w:val="20"/>
          <w:szCs w:val="20"/>
        </w:rPr>
        <w:t>採</w:t>
      </w:r>
      <w:proofErr w:type="gramEnd"/>
      <w:r>
        <w:rPr>
          <w:rFonts w:eastAsia="Noto Serif CJK TC"/>
          <w:i/>
          <w:iCs/>
          <w:color w:val="888888"/>
          <w:sz w:val="20"/>
          <w:szCs w:val="20"/>
        </w:rPr>
        <w:t>為心證審查標準之操作建議。】</w:t>
      </w:r>
    </w:p>
    <w:p w:rsidR="008D60E2" w:rsidRDefault="00A13A70">
      <w:pPr>
        <w:spacing w:before="120" w:after="80"/>
      </w:pPr>
      <w:r>
        <w:rPr>
          <w:rFonts w:eastAsia="Noto Serif CJK TC"/>
          <w:b/>
          <w:bCs/>
        </w:rPr>
        <w:t>一、【舉證責任反轉原則】</w:t>
      </w:r>
    </w:p>
    <w:p w:rsidR="008D60E2" w:rsidRDefault="00A13A70">
      <w:pPr>
        <w:spacing w:after="200" w:line="360" w:lineRule="auto"/>
        <w:jc w:val="both"/>
      </w:pPr>
      <w:r>
        <w:rPr>
          <w:rFonts w:eastAsia="Noto Serif CJK TC"/>
        </w:rPr>
        <w:t>當原告主張行政處分受</w:t>
      </w:r>
      <w:r>
        <w:rPr>
          <w:rFonts w:eastAsia="Noto Serif CJK TC"/>
        </w:rPr>
        <w:t xml:space="preserve"> AI </w:t>
      </w:r>
      <w:r>
        <w:rPr>
          <w:rFonts w:eastAsia="Noto Serif CJK TC"/>
        </w:rPr>
        <w:t>幻覺、</w:t>
      </w:r>
      <w:r>
        <w:rPr>
          <w:rFonts w:eastAsia="Noto Serif CJK TC"/>
        </w:rPr>
        <w:t xml:space="preserve">RAG </w:t>
      </w:r>
      <w:r>
        <w:rPr>
          <w:rFonts w:eastAsia="Noto Serif CJK TC"/>
        </w:rPr>
        <w:t>切片錯誤或提示詞污染影響時，行政機關負有提出完整「</w:t>
      </w:r>
      <w:proofErr w:type="spellStart"/>
      <w:r>
        <w:rPr>
          <w:rFonts w:eastAsia="Noto Serif CJK TC"/>
        </w:rPr>
        <w:t>Prompt→RAG</w:t>
      </w:r>
      <w:proofErr w:type="spellEnd"/>
      <w:r>
        <w:rPr>
          <w:rFonts w:eastAsia="Noto Serif CJK TC"/>
        </w:rPr>
        <w:t xml:space="preserve"> </w:t>
      </w:r>
      <w:r>
        <w:rPr>
          <w:rFonts w:eastAsia="Noto Serif CJK TC"/>
        </w:rPr>
        <w:t>檢索清單（含信心度）</w:t>
      </w:r>
      <w:r>
        <w:rPr>
          <w:rFonts w:eastAsia="Noto Serif CJK TC"/>
        </w:rPr>
        <w:t>→</w:t>
      </w:r>
      <w:r>
        <w:rPr>
          <w:rFonts w:eastAsia="Noto Serif CJK TC"/>
        </w:rPr>
        <w:t>生成內容</w:t>
      </w:r>
      <w:r>
        <w:rPr>
          <w:rFonts w:eastAsia="Noto Serif CJK TC"/>
        </w:rPr>
        <w:t>→</w:t>
      </w:r>
      <w:r>
        <w:rPr>
          <w:rFonts w:eastAsia="Noto Serif CJK TC"/>
        </w:rPr>
        <w:t>人工修改</w:t>
      </w:r>
      <w:r>
        <w:rPr>
          <w:rFonts w:eastAsia="Noto Serif CJK TC"/>
        </w:rPr>
        <w:t xml:space="preserve"> Diff→</w:t>
      </w:r>
      <w:r>
        <w:rPr>
          <w:rFonts w:eastAsia="Noto Serif CJK TC"/>
        </w:rPr>
        <w:t>核章」全歷程不可竄</w:t>
      </w:r>
      <w:r>
        <w:rPr>
          <w:rFonts w:eastAsia="Noto Serif CJK TC"/>
        </w:rPr>
        <w:lastRenderedPageBreak/>
        <w:t>改</w:t>
      </w:r>
      <w:r>
        <w:rPr>
          <w:rFonts w:eastAsia="Noto Serif CJK TC"/>
        </w:rPr>
        <w:t xml:space="preserve"> Log </w:t>
      </w:r>
      <w:r>
        <w:rPr>
          <w:rFonts w:eastAsia="Noto Serif CJK TC"/>
        </w:rPr>
        <w:t>之舉證責任。機關若無法提出，或</w:t>
      </w:r>
      <w:r>
        <w:rPr>
          <w:rFonts w:eastAsia="Noto Serif CJK TC"/>
        </w:rPr>
        <w:t xml:space="preserve"> Log </w:t>
      </w:r>
      <w:r>
        <w:rPr>
          <w:rFonts w:eastAsia="Noto Serif CJK TC"/>
        </w:rPr>
        <w:t>顯示語意重合度達高標準、且經查無承辦人具體審查紀錄（如法條涵攝、體系解釋等心證說明）者，法院應直接推定該處分存在「認定事實</w:t>
      </w:r>
      <w:proofErr w:type="gramStart"/>
      <w:r>
        <w:rPr>
          <w:rFonts w:eastAsia="Noto Serif CJK TC"/>
        </w:rPr>
        <w:t>不</w:t>
      </w:r>
      <w:proofErr w:type="gramEnd"/>
      <w:r>
        <w:rPr>
          <w:rFonts w:eastAsia="Noto Serif CJK TC"/>
        </w:rPr>
        <w:t>憑證據」及「正當法律程序」重大瑕疵，原處分撤銷。惟若機關雖重合度高但能提出具體審查紀錄，尚</w:t>
      </w:r>
      <w:proofErr w:type="gramStart"/>
      <w:r>
        <w:rPr>
          <w:rFonts w:eastAsia="Noto Serif CJK TC"/>
        </w:rPr>
        <w:t>不</w:t>
      </w:r>
      <w:proofErr w:type="gramEnd"/>
      <w:r>
        <w:rPr>
          <w:rFonts w:eastAsia="Noto Serif CJK TC"/>
        </w:rPr>
        <w:t>當然推定有瑕疵，以避免對認真核對後確認</w:t>
      </w:r>
      <w:r>
        <w:rPr>
          <w:rFonts w:eastAsia="Noto Serif CJK TC"/>
        </w:rPr>
        <w:t>AI</w:t>
      </w:r>
      <w:r>
        <w:rPr>
          <w:rFonts w:eastAsia="Noto Serif CJK TC"/>
        </w:rPr>
        <w:t>草案無誤之承辦人產生不當不利推定，其認定標準應與工具包二稽核清單第</w:t>
      </w:r>
      <w:r>
        <w:rPr>
          <w:rFonts w:eastAsia="Noto Serif CJK TC"/>
        </w:rPr>
        <w:t>4</w:t>
      </w:r>
      <w:r>
        <w:rPr>
          <w:rFonts w:eastAsia="Noto Serif CJK TC"/>
        </w:rPr>
        <w:t>項所修正之邏輯一致。</w:t>
      </w:r>
    </w:p>
    <w:p w:rsidR="008D60E2" w:rsidRDefault="00A13A70">
      <w:pPr>
        <w:spacing w:before="160" w:after="80"/>
      </w:pPr>
      <w:r>
        <w:rPr>
          <w:rFonts w:eastAsia="Noto Serif CJK TC"/>
          <w:b/>
          <w:bCs/>
        </w:rPr>
        <w:t>二、【獨立心證審查標準】</w:t>
      </w:r>
    </w:p>
    <w:p w:rsidR="008D60E2" w:rsidRDefault="00A13A70">
      <w:pPr>
        <w:spacing w:after="200" w:line="360" w:lineRule="auto"/>
        <w:jc w:val="both"/>
      </w:pPr>
      <w:r>
        <w:rPr>
          <w:rFonts w:eastAsia="Noto Serif CJK TC"/>
        </w:rPr>
        <w:t>行政處分書之理由欄，不得直接複製貼上</w:t>
      </w:r>
      <w:r>
        <w:rPr>
          <w:rFonts w:eastAsia="Noto Serif CJK TC"/>
        </w:rPr>
        <w:t xml:space="preserve"> AI </w:t>
      </w:r>
      <w:r>
        <w:rPr>
          <w:rFonts w:eastAsia="Noto Serif CJK TC"/>
        </w:rPr>
        <w:t>生成語意片段。機關須具體說明：（</w:t>
      </w:r>
      <w:r>
        <w:rPr>
          <w:rFonts w:eastAsia="Noto Serif CJK TC"/>
        </w:rPr>
        <w:t>1</w:t>
      </w:r>
      <w:r>
        <w:rPr>
          <w:rFonts w:eastAsia="Noto Serif CJK TC"/>
        </w:rPr>
        <w:t>）公務員如何進行法條</w:t>
      </w:r>
      <w:proofErr w:type="gramStart"/>
      <w:r>
        <w:rPr>
          <w:rFonts w:eastAsia="Noto Serif CJK TC"/>
        </w:rPr>
        <w:t>涵攝與</w:t>
      </w:r>
      <w:proofErr w:type="gramEnd"/>
      <w:r>
        <w:rPr>
          <w:rFonts w:eastAsia="Noto Serif CJK TC"/>
        </w:rPr>
        <w:t>構成要件該當性判斷；（</w:t>
      </w:r>
      <w:r>
        <w:rPr>
          <w:rFonts w:eastAsia="Noto Serif CJK TC"/>
        </w:rPr>
        <w:t>2</w:t>
      </w:r>
      <w:r>
        <w:rPr>
          <w:rFonts w:eastAsia="Noto Serif CJK TC"/>
        </w:rPr>
        <w:t>）對</w:t>
      </w:r>
      <w:r>
        <w:rPr>
          <w:rFonts w:eastAsia="Noto Serif CJK TC"/>
        </w:rPr>
        <w:t xml:space="preserve"> AI </w:t>
      </w:r>
      <w:r>
        <w:rPr>
          <w:rFonts w:eastAsia="Noto Serif CJK TC"/>
        </w:rPr>
        <w:t>檢索之多筆法源如何進行取捨與體系解釋；（</w:t>
      </w:r>
      <w:r>
        <w:rPr>
          <w:rFonts w:eastAsia="Noto Serif CJK TC"/>
        </w:rPr>
        <w:t>3</w:t>
      </w:r>
      <w:r>
        <w:rPr>
          <w:rFonts w:eastAsia="Noto Serif CJK TC"/>
        </w:rPr>
        <w:t>）對低信心度檢索為何仍採納之理由。缺乏文官實質心證演繹者，屬行政程序法第</w:t>
      </w:r>
      <w:r>
        <w:rPr>
          <w:rFonts w:eastAsia="Noto Serif CJK TC"/>
        </w:rPr>
        <w:t xml:space="preserve"> 111 </w:t>
      </w:r>
      <w:r>
        <w:rPr>
          <w:rFonts w:eastAsia="Noto Serif CJK TC"/>
        </w:rPr>
        <w:t>條第</w:t>
      </w:r>
      <w:r>
        <w:rPr>
          <w:rFonts w:eastAsia="Noto Serif CJK TC"/>
        </w:rPr>
        <w:t xml:space="preserve"> 7 </w:t>
      </w:r>
      <w:r>
        <w:rPr>
          <w:rFonts w:eastAsia="Noto Serif CJK TC"/>
        </w:rPr>
        <w:t>款「其他重大瑕疵」，不得補正。</w:t>
      </w:r>
    </w:p>
    <w:p w:rsidR="008D60E2" w:rsidRDefault="00A13A70">
      <w:pPr>
        <w:spacing w:before="160" w:after="80"/>
      </w:pPr>
      <w:r>
        <w:rPr>
          <w:rFonts w:eastAsia="Noto Serif CJK TC"/>
          <w:b/>
          <w:bCs/>
        </w:rPr>
        <w:t>三、【公務員異議免責與吹哨者保障】</w:t>
      </w:r>
    </w:p>
    <w:p w:rsidR="008D60E2" w:rsidRDefault="00A13A70">
      <w:pPr>
        <w:spacing w:after="200" w:line="360" w:lineRule="auto"/>
        <w:jc w:val="both"/>
      </w:pPr>
      <w:r>
        <w:rPr>
          <w:rFonts w:eastAsia="Noto Serif CJK TC"/>
        </w:rPr>
        <w:t>第一線承辦、審核人員於簽核過程中，對</w:t>
      </w:r>
      <w:r>
        <w:rPr>
          <w:rFonts w:eastAsia="Noto Serif CJK TC"/>
        </w:rPr>
        <w:t xml:space="preserve"> AI </w:t>
      </w:r>
      <w:r>
        <w:rPr>
          <w:rFonts w:eastAsia="Noto Serif CJK TC"/>
        </w:rPr>
        <w:t>產出提出具體專業異議</w:t>
      </w:r>
      <w:proofErr w:type="gramStart"/>
      <w:r>
        <w:rPr>
          <w:rFonts w:eastAsia="Noto Serif CJK TC"/>
        </w:rPr>
        <w:t>（</w:t>
      </w:r>
      <w:proofErr w:type="gramEnd"/>
      <w:r>
        <w:rPr>
          <w:rFonts w:eastAsia="Noto Serif CJK TC"/>
        </w:rPr>
        <w:t>例如：法條已廢止、事實幻覺、適用錯誤</w:t>
      </w:r>
      <w:proofErr w:type="gramStart"/>
      <w:r>
        <w:rPr>
          <w:rFonts w:eastAsia="Noto Serif CJK TC"/>
        </w:rPr>
        <w:t>）</w:t>
      </w:r>
      <w:proofErr w:type="gramEnd"/>
      <w:r>
        <w:rPr>
          <w:rFonts w:eastAsia="Noto Serif CJK TC"/>
        </w:rPr>
        <w:t>並留存書面／系統紀錄者：（</w:t>
      </w:r>
      <w:r>
        <w:rPr>
          <w:rFonts w:eastAsia="Noto Serif CJK TC"/>
        </w:rPr>
        <w:t>1</w:t>
      </w:r>
      <w:r>
        <w:rPr>
          <w:rFonts w:eastAsia="Noto Serif CJK TC"/>
        </w:rPr>
        <w:t>）即使機關最終仍發出該處分，該公務員個人免除行政與國家賠償責任，責任由機關首長承擔；（</w:t>
      </w:r>
      <w:r>
        <w:rPr>
          <w:rFonts w:eastAsia="Noto Serif CJK TC"/>
        </w:rPr>
        <w:t>2</w:t>
      </w:r>
      <w:r>
        <w:rPr>
          <w:rFonts w:eastAsia="Noto Serif CJK TC"/>
        </w:rPr>
        <w:t>）機關不得對異議公務員為任何不利處分或考績懲處；（</w:t>
      </w:r>
      <w:r>
        <w:rPr>
          <w:rFonts w:eastAsia="Noto Serif CJK TC"/>
        </w:rPr>
        <w:t>3</w:t>
      </w:r>
      <w:r>
        <w:rPr>
          <w:rFonts w:eastAsia="Noto Serif CJK TC"/>
        </w:rPr>
        <w:t>）鼓勵機關建立</w:t>
      </w:r>
      <w:r>
        <w:rPr>
          <w:rFonts w:eastAsia="Noto Serif CJK TC"/>
        </w:rPr>
        <w:t xml:space="preserve"> AI </w:t>
      </w:r>
      <w:r>
        <w:rPr>
          <w:rFonts w:eastAsia="Noto Serif CJK TC"/>
        </w:rPr>
        <w:t>異議登記簿，作為審計部稽核加分項目。上述保障機制之具體立法技術，建議可參考現行公務人員保障法及</w:t>
      </w:r>
      <w:proofErr w:type="gramStart"/>
      <w:r>
        <w:rPr>
          <w:rFonts w:eastAsia="Noto Serif CJK TC"/>
        </w:rPr>
        <w:t>揭弊者</w:t>
      </w:r>
      <w:proofErr w:type="gramEnd"/>
      <w:r>
        <w:rPr>
          <w:rFonts w:eastAsia="Noto Serif CJK TC"/>
        </w:rPr>
        <w:t>保護相關法制之既有設計（如報復性人事處分之舉證責任分配、保密義務之例外等），使</w:t>
      </w:r>
      <w:r>
        <w:rPr>
          <w:rFonts w:eastAsia="Noto Serif CJK TC"/>
        </w:rPr>
        <w:t xml:space="preserve"> AI </w:t>
      </w:r>
      <w:r>
        <w:rPr>
          <w:rFonts w:eastAsia="Noto Serif CJK TC"/>
        </w:rPr>
        <w:t>異議保障與現行公務體系內之申訴、保障管道相互銜接，而非另立一套孤立之保障規範，以降低未來修法或行政規則訂定之制度銜接成本。</w:t>
      </w:r>
    </w:p>
    <w:p w:rsidR="008D60E2" w:rsidRDefault="00A13A70">
      <w:pPr>
        <w:spacing w:before="160" w:after="80"/>
      </w:pPr>
      <w:r>
        <w:rPr>
          <w:rFonts w:eastAsia="Noto Serif CJK TC"/>
          <w:b/>
          <w:bCs/>
        </w:rPr>
        <w:t>四、【法明確性與可救濟性審查】</w:t>
      </w:r>
    </w:p>
    <w:p w:rsidR="008D60E2" w:rsidRDefault="00A13A70">
      <w:pPr>
        <w:spacing w:after="200" w:line="360" w:lineRule="auto"/>
        <w:jc w:val="both"/>
      </w:pPr>
      <w:r>
        <w:rPr>
          <w:rFonts w:eastAsia="Noto Serif CJK TC"/>
        </w:rPr>
        <w:t xml:space="preserve">RAG </w:t>
      </w:r>
      <w:r>
        <w:rPr>
          <w:rFonts w:eastAsia="Noto Serif CJK TC"/>
        </w:rPr>
        <w:t>系統若無法提供</w:t>
      </w:r>
      <w:proofErr w:type="gramStart"/>
      <w:r>
        <w:rPr>
          <w:rFonts w:eastAsia="Noto Serif CJK TC"/>
        </w:rPr>
        <w:t>切片級歸因</w:t>
      </w:r>
      <w:proofErr w:type="gramEnd"/>
      <w:r>
        <w:rPr>
          <w:rFonts w:eastAsia="Noto Serif CJK TC"/>
        </w:rPr>
        <w:t>（僅提供籠統回答），該系統生成之處分草案不具備行政處分之「理由說明」適法性，</w:t>
      </w:r>
      <w:proofErr w:type="gramStart"/>
      <w:r>
        <w:rPr>
          <w:rFonts w:eastAsia="Noto Serif CJK TC"/>
        </w:rPr>
        <w:t>法院應命機</w:t>
      </w:r>
      <w:proofErr w:type="gramEnd"/>
      <w:r>
        <w:rPr>
          <w:rFonts w:eastAsia="Noto Serif CJK TC"/>
        </w:rPr>
        <w:t>關重新處分。</w:t>
      </w:r>
    </w:p>
    <w:p w:rsidR="008D60E2" w:rsidRDefault="00A13A70">
      <w:pPr>
        <w:spacing w:before="300"/>
        <w:jc w:val="center"/>
      </w:pPr>
      <w:proofErr w:type="gramStart"/>
      <w:r>
        <w:rPr>
          <w:rFonts w:eastAsia="Noto Serif CJK TC"/>
          <w:b/>
          <w:bCs/>
        </w:rPr>
        <w:t>—</w:t>
      </w:r>
      <w:proofErr w:type="gramEnd"/>
      <w:r>
        <w:rPr>
          <w:rFonts w:eastAsia="Noto Serif CJK TC"/>
          <w:b/>
          <w:bCs/>
        </w:rPr>
        <w:t xml:space="preserve">— </w:t>
      </w:r>
      <w:r>
        <w:rPr>
          <w:rFonts w:eastAsia="Noto Serif CJK TC"/>
          <w:b/>
          <w:bCs/>
        </w:rPr>
        <w:t>全文完</w:t>
      </w:r>
      <w:r>
        <w:rPr>
          <w:rFonts w:eastAsia="Noto Serif CJK TC"/>
          <w:b/>
          <w:bCs/>
        </w:rPr>
        <w:t xml:space="preserve"> ——</w:t>
      </w:r>
    </w:p>
    <w:sectPr w:rsidR="008D60E2">
      <w:pgSz w:w="11906" w:h="16838"/>
      <w:pgMar w:top="1440" w:right="1134" w:bottom="144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erif CJK T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1665A"/>
    <w:multiLevelType w:val="hybridMultilevel"/>
    <w:tmpl w:val="AC74591C"/>
    <w:lvl w:ilvl="0" w:tplc="D8F245C2">
      <w:start w:val="1"/>
      <w:numFmt w:val="bullet"/>
      <w:lvlText w:val="●"/>
      <w:lvlJc w:val="left"/>
      <w:pPr>
        <w:ind w:left="720" w:hanging="360"/>
      </w:pPr>
    </w:lvl>
    <w:lvl w:ilvl="1" w:tplc="89CCE06A">
      <w:start w:val="1"/>
      <w:numFmt w:val="bullet"/>
      <w:lvlText w:val="○"/>
      <w:lvlJc w:val="left"/>
      <w:pPr>
        <w:ind w:left="1440" w:hanging="360"/>
      </w:pPr>
    </w:lvl>
    <w:lvl w:ilvl="2" w:tplc="BD804DE2">
      <w:start w:val="1"/>
      <w:numFmt w:val="bullet"/>
      <w:lvlText w:val="■"/>
      <w:lvlJc w:val="left"/>
      <w:pPr>
        <w:ind w:left="2160" w:hanging="360"/>
      </w:pPr>
    </w:lvl>
    <w:lvl w:ilvl="3" w:tplc="60DAE702">
      <w:start w:val="1"/>
      <w:numFmt w:val="bullet"/>
      <w:lvlText w:val="●"/>
      <w:lvlJc w:val="left"/>
      <w:pPr>
        <w:ind w:left="2880" w:hanging="360"/>
      </w:pPr>
    </w:lvl>
    <w:lvl w:ilvl="4" w:tplc="D9CE745C">
      <w:start w:val="1"/>
      <w:numFmt w:val="bullet"/>
      <w:lvlText w:val="○"/>
      <w:lvlJc w:val="left"/>
      <w:pPr>
        <w:ind w:left="3600" w:hanging="360"/>
      </w:pPr>
    </w:lvl>
    <w:lvl w:ilvl="5" w:tplc="7B3ADF72">
      <w:start w:val="1"/>
      <w:numFmt w:val="bullet"/>
      <w:lvlText w:val="■"/>
      <w:lvlJc w:val="left"/>
      <w:pPr>
        <w:ind w:left="4320" w:hanging="360"/>
      </w:pPr>
    </w:lvl>
    <w:lvl w:ilvl="6" w:tplc="96B420DC">
      <w:start w:val="1"/>
      <w:numFmt w:val="bullet"/>
      <w:lvlText w:val="●"/>
      <w:lvlJc w:val="left"/>
      <w:pPr>
        <w:ind w:left="5040" w:hanging="360"/>
      </w:pPr>
    </w:lvl>
    <w:lvl w:ilvl="7" w:tplc="F9D61192">
      <w:start w:val="1"/>
      <w:numFmt w:val="bullet"/>
      <w:lvlText w:val="●"/>
      <w:lvlJc w:val="left"/>
      <w:pPr>
        <w:ind w:left="5760" w:hanging="360"/>
      </w:pPr>
    </w:lvl>
    <w:lvl w:ilvl="8" w:tplc="537E7FF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0E2"/>
    <w:rsid w:val="000C42B2"/>
    <w:rsid w:val="008D60E2"/>
    <w:rsid w:val="00A13A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692A"/>
  <w15:docId w15:val="{EF2DA16C-6E2B-444E-882B-0DDC6139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240" w:after="240"/>
      <w:outlineLvl w:val="0"/>
    </w:pPr>
    <w:rPr>
      <w:rFonts w:eastAsia="Noto Serif CJK TC"/>
      <w:b/>
      <w:bCs/>
      <w:color w:val="1F3864"/>
      <w:sz w:val="32"/>
      <w:szCs w:val="32"/>
    </w:rPr>
  </w:style>
  <w:style w:type="paragraph" w:styleId="2">
    <w:name w:val="heading 2"/>
    <w:uiPriority w:val="9"/>
    <w:unhideWhenUsed/>
    <w:qFormat/>
    <w:pPr>
      <w:spacing w:before="280" w:after="200"/>
      <w:outlineLvl w:val="1"/>
    </w:pPr>
    <w:rPr>
      <w:rFonts w:eastAsia="Noto Serif CJK TC"/>
      <w:b/>
      <w:bCs/>
      <w:color w:val="1F3864"/>
      <w:sz w:val="28"/>
      <w:szCs w:val="28"/>
    </w:rPr>
  </w:style>
  <w:style w:type="paragraph" w:styleId="3">
    <w:name w:val="heading 3"/>
    <w:uiPriority w:val="9"/>
    <w:unhideWhenUsed/>
    <w:qFormat/>
    <w:pPr>
      <w:spacing w:before="240" w:after="160"/>
      <w:outlineLvl w:val="2"/>
    </w:pPr>
    <w:rPr>
      <w:rFonts w:eastAsia="Noto Serif CJK TC"/>
      <w:b/>
      <w:bCs/>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11">
    <w:name w:val="toc 1"/>
    <w:basedOn w:val="a"/>
    <w:next w:val="a"/>
    <w:autoRedefine/>
    <w:uiPriority w:val="39"/>
    <w:unhideWhenUsed/>
    <w:rsid w:val="00A13A70"/>
  </w:style>
  <w:style w:type="paragraph" w:styleId="20">
    <w:name w:val="toc 2"/>
    <w:basedOn w:val="a"/>
    <w:next w:val="a"/>
    <w:autoRedefine/>
    <w:uiPriority w:val="39"/>
    <w:unhideWhenUsed/>
    <w:rsid w:val="00A13A70"/>
    <w:pPr>
      <w:ind w:leftChars="200" w:left="480"/>
    </w:pPr>
  </w:style>
  <w:style w:type="paragraph" w:styleId="30">
    <w:name w:val="toc 3"/>
    <w:basedOn w:val="a"/>
    <w:next w:val="a"/>
    <w:autoRedefine/>
    <w:uiPriority w:val="39"/>
    <w:unhideWhenUsed/>
    <w:rsid w:val="00A13A70"/>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3941</Words>
  <Characters>22468</Characters>
  <Application>Microsoft Office Word</Application>
  <DocSecurity>0</DocSecurity>
  <Lines>187</Lines>
  <Paragraphs>52</Paragraphs>
  <ScaleCrop>false</ScaleCrop>
  <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2026-08-20T08:37:00Z</dcterms:created>
  <dcterms:modified xsi:type="dcterms:W3CDTF">2026-08-20T08:37:00Z</dcterms:modified>
</cp:coreProperties>
</file>