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118" w:rsidRDefault="007D5CF6">
      <w:pPr>
        <w:spacing w:after="400"/>
        <w:jc w:val="center"/>
        <w:rPr>
          <w:b/>
          <w:bCs/>
          <w:sz w:val="32"/>
          <w:szCs w:val="32"/>
        </w:rPr>
      </w:pPr>
      <w:bookmarkStart w:id="0" w:name="_GoBack"/>
      <w:r>
        <w:rPr>
          <w:b/>
          <w:bCs/>
          <w:sz w:val="32"/>
          <w:szCs w:val="32"/>
        </w:rPr>
        <w:t>預測性行政下的國家實質控制能力：以宜蘭分署清償率模型檢驗結構性分離硬指標</w:t>
      </w:r>
    </w:p>
    <w:bookmarkEnd w:id="0"/>
    <w:p w:rsidR="00230D21" w:rsidRPr="00230D21" w:rsidRDefault="00230D21">
      <w:pPr>
        <w:spacing w:after="400"/>
        <w:jc w:val="center"/>
        <w:rPr>
          <w:rFonts w:hint="eastAsia"/>
        </w:rPr>
      </w:pPr>
      <w:r>
        <w:rPr>
          <w:rFonts w:hint="eastAsia"/>
        </w:rPr>
        <w:t>盧建旭</w:t>
      </w:r>
      <w:r>
        <w:rPr>
          <w:rFonts w:hint="eastAsia"/>
        </w:rPr>
        <w:t xml:space="preserve"> Lancelot Lu</w:t>
      </w:r>
    </w:p>
    <w:p w:rsidR="00046118" w:rsidRDefault="007D5CF6">
      <w:pPr>
        <w:spacing w:after="200"/>
      </w:pPr>
      <w:r>
        <w:rPr>
          <w:b/>
          <w:bCs/>
          <w:sz w:val="28"/>
          <w:szCs w:val="28"/>
        </w:rPr>
        <w:t>摘要</w:t>
      </w:r>
    </w:p>
    <w:p w:rsidR="00046118" w:rsidRDefault="007D5CF6">
      <w:pPr>
        <w:spacing w:after="200" w:line="360" w:lineRule="auto"/>
        <w:jc w:val="both"/>
      </w:pPr>
      <w:r>
        <w:t>隨著生成式</w:t>
      </w:r>
      <w:r>
        <w:t xml:space="preserve"> AI </w:t>
      </w:r>
      <w:r>
        <w:t>與預測性演算法進入公務體系，行政機關對外部技術供應商的依賴程度日益加深。既有文獻多聚焦於「演算法黑盒（</w:t>
      </w:r>
      <w:r>
        <w:t>Black Box</w:t>
      </w:r>
      <w:r>
        <w:t>）」對可解釋性、正當法律程序與行政裁量權之威脅，主張透過「軟能力建構」（如公務員技術能力提升與內部反思能力）來維繫官僚自主性。然而，此類主張往往忽視了我國現行體制下「數位發展部（採購標準）</w:t>
      </w:r>
      <w:proofErr w:type="gramStart"/>
      <w:r>
        <w:t>—</w:t>
      </w:r>
      <w:proofErr w:type="gramEnd"/>
      <w:r>
        <w:t>第一線執法機關（如法務部）</w:t>
      </w:r>
      <w:r>
        <w:t>—</w:t>
      </w:r>
      <w:r>
        <w:t>審計部（事後監督）」三方</w:t>
      </w:r>
      <w:proofErr w:type="gramStart"/>
      <w:r>
        <w:t>橫向斷鏈</w:t>
      </w:r>
      <w:proofErr w:type="gramEnd"/>
      <w:r>
        <w:t>的深層落差。若在「採購與基礎設施」層面，國家已將核心運算能力、資料權屬與系統</w:t>
      </w:r>
      <w:proofErr w:type="gramStart"/>
      <w:r>
        <w:t>維運權實質</w:t>
      </w:r>
      <w:proofErr w:type="gramEnd"/>
      <w:r>
        <w:t>讓渡給私法人，致使「結構性分離（</w:t>
      </w:r>
      <w:r>
        <w:t>Structural Separation</w:t>
      </w:r>
      <w:r>
        <w:t>）」不可逆轉，則要求第一線公務員憑一己之力抵抗</w:t>
      </w:r>
      <w:proofErr w:type="gramStart"/>
      <w:r>
        <w:t>演算法偏誤無</w:t>
      </w:r>
      <w:proofErr w:type="gramEnd"/>
      <w:r>
        <w:t>異於緣木求魚。</w:t>
      </w:r>
    </w:p>
    <w:p w:rsidR="00046118" w:rsidRDefault="007D5CF6">
      <w:pPr>
        <w:spacing w:after="200" w:line="360" w:lineRule="auto"/>
        <w:jc w:val="both"/>
      </w:pPr>
      <w:r>
        <w:t>本文採取</w:t>
      </w:r>
      <w:r>
        <w:t xml:space="preserve"> Desk-based </w:t>
      </w:r>
      <w:r>
        <w:t>文件分析與案例研究法，以法務部行政執行署宜蘭分署（以下簡稱宜蘭分署）發展之「清償率預測模型」為研究對象，檢驗公機關在未進行高額資通訊外包的前提下，能否透過自主發展或高度對等之陪伴式開發，建立「最低實質控制能力」（</w:t>
      </w:r>
      <w:r>
        <w:t>Minimum Substantive Control Capacity, MSCC</w:t>
      </w:r>
      <w:r>
        <w:t>）。公開資料顯示，宜蘭分署個案在（</w:t>
      </w:r>
      <w:r>
        <w:t>1</w:t>
      </w:r>
      <w:r>
        <w:t>）契約權力與單方處置能力、（</w:t>
      </w:r>
      <w:r>
        <w:t>2</w:t>
      </w:r>
      <w:r>
        <w:t>）模型控制權與再訓練能力、以及（</w:t>
      </w:r>
      <w:r>
        <w:t>3</w:t>
      </w:r>
      <w:r>
        <w:t>）基礎設施依賴度等三項硬指標上，均呈現「傾向低結構性分離」之特徵，可作為後續研究之低分離基準線參照；</w:t>
      </w:r>
      <w:proofErr w:type="gramStart"/>
      <w:r>
        <w:t>惟</w:t>
      </w:r>
      <w:proofErr w:type="gramEnd"/>
      <w:r>
        <w:t>此一判定嚴格限於公開資料可驗證之範圍，並非積極證明機關已完整取得技術主權。</w:t>
      </w:r>
    </w:p>
    <w:p w:rsidR="00046118" w:rsidRDefault="007D5CF6">
      <w:pPr>
        <w:spacing w:after="200" w:line="360" w:lineRule="auto"/>
        <w:jc w:val="both"/>
      </w:pPr>
      <w:r>
        <w:t>本研究之理論貢獻在於，</w:t>
      </w:r>
      <w:proofErr w:type="gramStart"/>
      <w:r>
        <w:t>釐</w:t>
      </w:r>
      <w:proofErr w:type="gramEnd"/>
      <w:r>
        <w:t>清了「硬指標（結構性控制權）」乃是「軟能力（公務員異議與裁量能力）」得以發揮的先決條件。據此，本文打破既有資策會科法所與傳統法學偏重單點倫理宣示之範式，針對數發部、</w:t>
      </w:r>
      <w:proofErr w:type="gramStart"/>
      <w:r>
        <w:t>審計部與法務部</w:t>
      </w:r>
      <w:proofErr w:type="gramEnd"/>
      <w:r>
        <w:t>提出「採購門檻</w:t>
      </w:r>
      <w:r>
        <w:t xml:space="preserve"> Checklist</w:t>
      </w:r>
      <w:r>
        <w:t>、程序性稽核三步法、低分離</w:t>
      </w:r>
      <w:r>
        <w:t xml:space="preserve"> SOP</w:t>
      </w:r>
      <w:r>
        <w:t>」之三機關協同治理工具矩陣，為預測性行政下的國家行政擔保責任提供具體可操作之制度藍圖。為提升未來研究之可比較性，本文另於附錄一提出</w:t>
      </w:r>
      <w:r>
        <w:t xml:space="preserve"> MSCC </w:t>
      </w:r>
      <w:r>
        <w:t>硬指標量化評分建議。</w:t>
      </w:r>
    </w:p>
    <w:p w:rsidR="00046118" w:rsidRDefault="007D5CF6">
      <w:pPr>
        <w:spacing w:after="200" w:line="360" w:lineRule="auto"/>
        <w:jc w:val="both"/>
      </w:pPr>
      <w:r>
        <w:rPr>
          <w:b/>
          <w:bCs/>
        </w:rPr>
        <w:lastRenderedPageBreak/>
        <w:t>關鍵字：</w:t>
      </w:r>
      <w:r>
        <w:t>預測性行政、結構性分離、最低實質控制能力（</w:t>
      </w:r>
      <w:r>
        <w:t>MSCC</w:t>
      </w:r>
      <w:r>
        <w:t>）、技術鎖定、行政擔保責任、三方治理鏈、宜蘭分署</w:t>
      </w:r>
    </w:p>
    <w:p w:rsidR="00046118" w:rsidRDefault="007D5CF6">
      <w:pPr>
        <w:pageBreakBefore/>
        <w:spacing w:after="200"/>
      </w:pPr>
      <w:r>
        <w:rPr>
          <w:b/>
          <w:bCs/>
          <w:sz w:val="28"/>
          <w:szCs w:val="28"/>
        </w:rPr>
        <w:lastRenderedPageBreak/>
        <w:t>目錄</w:t>
      </w:r>
    </w:p>
    <w:sdt>
      <w:sdtPr>
        <w:alias w:val="目錄"/>
        <w:id w:val="1354611576"/>
      </w:sdtPr>
      <w:sdtEndPr/>
      <w:sdtContent>
        <w:p w:rsidR="000C61C3" w:rsidRDefault="007D5CF6">
          <w:pPr>
            <w:pStyle w:val="11"/>
            <w:tabs>
              <w:tab w:val="right" w:leader="dot" w:pos="8296"/>
            </w:tabs>
            <w:rPr>
              <w:noProof/>
            </w:rPr>
          </w:pPr>
          <w:r>
            <w:fldChar w:fldCharType="begin"/>
          </w:r>
          <w:r>
            <w:instrText>TOC \h \o "1-3"</w:instrText>
          </w:r>
          <w:r>
            <w:fldChar w:fldCharType="separate"/>
          </w:r>
          <w:hyperlink w:anchor="_Toc238074039" w:history="1">
            <w:r w:rsidR="000C61C3" w:rsidRPr="0038566F">
              <w:rPr>
                <w:rStyle w:val="a5"/>
                <w:rFonts w:hint="eastAsia"/>
                <w:noProof/>
              </w:rPr>
              <w:t>第一章</w:t>
            </w:r>
            <w:r w:rsidR="000C61C3" w:rsidRPr="0038566F">
              <w:rPr>
                <w:rStyle w:val="a5"/>
                <w:noProof/>
              </w:rPr>
              <w:t xml:space="preserve"> </w:t>
            </w:r>
            <w:r w:rsidR="000C61C3" w:rsidRPr="0038566F">
              <w:rPr>
                <w:rStyle w:val="a5"/>
                <w:rFonts w:hint="eastAsia"/>
                <w:noProof/>
              </w:rPr>
              <w:t>緒論</w:t>
            </w:r>
            <w:r w:rsidR="000C61C3">
              <w:rPr>
                <w:noProof/>
              </w:rPr>
              <w:tab/>
            </w:r>
            <w:r w:rsidR="000C61C3">
              <w:rPr>
                <w:noProof/>
              </w:rPr>
              <w:fldChar w:fldCharType="begin"/>
            </w:r>
            <w:r w:rsidR="000C61C3">
              <w:rPr>
                <w:noProof/>
              </w:rPr>
              <w:instrText xml:space="preserve"> PAGEREF _Toc238074039 \h </w:instrText>
            </w:r>
            <w:r w:rsidR="000C61C3">
              <w:rPr>
                <w:noProof/>
              </w:rPr>
            </w:r>
            <w:r w:rsidR="000C61C3">
              <w:rPr>
                <w:noProof/>
              </w:rPr>
              <w:fldChar w:fldCharType="separate"/>
            </w:r>
            <w:r w:rsidR="000C61C3">
              <w:rPr>
                <w:noProof/>
              </w:rPr>
              <w:t>4</w:t>
            </w:r>
            <w:r w:rsidR="000C61C3">
              <w:rPr>
                <w:noProof/>
              </w:rPr>
              <w:fldChar w:fldCharType="end"/>
            </w:r>
          </w:hyperlink>
        </w:p>
        <w:p w:rsidR="000C61C3" w:rsidRDefault="00DB2FDC">
          <w:pPr>
            <w:pStyle w:val="20"/>
            <w:tabs>
              <w:tab w:val="right" w:leader="dot" w:pos="8296"/>
            </w:tabs>
            <w:rPr>
              <w:noProof/>
            </w:rPr>
          </w:pPr>
          <w:hyperlink w:anchor="_Toc238074040" w:history="1">
            <w:r w:rsidR="000C61C3" w:rsidRPr="0038566F">
              <w:rPr>
                <w:rStyle w:val="a5"/>
                <w:rFonts w:hint="eastAsia"/>
                <w:noProof/>
              </w:rPr>
              <w:t>第一節　研究背景與問題意識：未連鎖的治理鏈與預測性行政風險</w:t>
            </w:r>
            <w:r w:rsidR="000C61C3">
              <w:rPr>
                <w:noProof/>
              </w:rPr>
              <w:tab/>
            </w:r>
            <w:r w:rsidR="000C61C3">
              <w:rPr>
                <w:noProof/>
              </w:rPr>
              <w:fldChar w:fldCharType="begin"/>
            </w:r>
            <w:r w:rsidR="000C61C3">
              <w:rPr>
                <w:noProof/>
              </w:rPr>
              <w:instrText xml:space="preserve"> PAGEREF _Toc238074040 \h </w:instrText>
            </w:r>
            <w:r w:rsidR="000C61C3">
              <w:rPr>
                <w:noProof/>
              </w:rPr>
            </w:r>
            <w:r w:rsidR="000C61C3">
              <w:rPr>
                <w:noProof/>
              </w:rPr>
              <w:fldChar w:fldCharType="separate"/>
            </w:r>
            <w:r w:rsidR="000C61C3">
              <w:rPr>
                <w:noProof/>
              </w:rPr>
              <w:t>4</w:t>
            </w:r>
            <w:r w:rsidR="000C61C3">
              <w:rPr>
                <w:noProof/>
              </w:rPr>
              <w:fldChar w:fldCharType="end"/>
            </w:r>
          </w:hyperlink>
        </w:p>
        <w:p w:rsidR="000C61C3" w:rsidRDefault="00DB2FDC">
          <w:pPr>
            <w:pStyle w:val="20"/>
            <w:tabs>
              <w:tab w:val="right" w:leader="dot" w:pos="8296"/>
            </w:tabs>
            <w:rPr>
              <w:noProof/>
            </w:rPr>
          </w:pPr>
          <w:hyperlink w:anchor="_Toc238074041" w:history="1">
            <w:r w:rsidR="000C61C3" w:rsidRPr="0038566F">
              <w:rPr>
                <w:rStyle w:val="a5"/>
                <w:rFonts w:hint="eastAsia"/>
                <w:noProof/>
              </w:rPr>
              <w:t>第二節　研究目的與問題</w:t>
            </w:r>
            <w:r w:rsidR="000C61C3">
              <w:rPr>
                <w:noProof/>
              </w:rPr>
              <w:tab/>
            </w:r>
            <w:r w:rsidR="000C61C3">
              <w:rPr>
                <w:noProof/>
              </w:rPr>
              <w:fldChar w:fldCharType="begin"/>
            </w:r>
            <w:r w:rsidR="000C61C3">
              <w:rPr>
                <w:noProof/>
              </w:rPr>
              <w:instrText xml:space="preserve"> PAGEREF _Toc238074041 \h </w:instrText>
            </w:r>
            <w:r w:rsidR="000C61C3">
              <w:rPr>
                <w:noProof/>
              </w:rPr>
            </w:r>
            <w:r w:rsidR="000C61C3">
              <w:rPr>
                <w:noProof/>
              </w:rPr>
              <w:fldChar w:fldCharType="separate"/>
            </w:r>
            <w:r w:rsidR="000C61C3">
              <w:rPr>
                <w:noProof/>
              </w:rPr>
              <w:t>6</w:t>
            </w:r>
            <w:r w:rsidR="000C61C3">
              <w:rPr>
                <w:noProof/>
              </w:rPr>
              <w:fldChar w:fldCharType="end"/>
            </w:r>
          </w:hyperlink>
        </w:p>
        <w:p w:rsidR="000C61C3" w:rsidRDefault="00DB2FDC">
          <w:pPr>
            <w:pStyle w:val="20"/>
            <w:tabs>
              <w:tab w:val="right" w:leader="dot" w:pos="8296"/>
            </w:tabs>
            <w:rPr>
              <w:noProof/>
            </w:rPr>
          </w:pPr>
          <w:hyperlink w:anchor="_Toc238074042" w:history="1">
            <w:r w:rsidR="000C61C3" w:rsidRPr="0038566F">
              <w:rPr>
                <w:rStyle w:val="a5"/>
                <w:rFonts w:hint="eastAsia"/>
                <w:noProof/>
              </w:rPr>
              <w:t>第三節　研究方法與資料來源</w:t>
            </w:r>
            <w:r w:rsidR="000C61C3">
              <w:rPr>
                <w:noProof/>
              </w:rPr>
              <w:tab/>
            </w:r>
            <w:r w:rsidR="000C61C3">
              <w:rPr>
                <w:noProof/>
              </w:rPr>
              <w:fldChar w:fldCharType="begin"/>
            </w:r>
            <w:r w:rsidR="000C61C3">
              <w:rPr>
                <w:noProof/>
              </w:rPr>
              <w:instrText xml:space="preserve"> PAGEREF _Toc238074042 \h </w:instrText>
            </w:r>
            <w:r w:rsidR="000C61C3">
              <w:rPr>
                <w:noProof/>
              </w:rPr>
            </w:r>
            <w:r w:rsidR="000C61C3">
              <w:rPr>
                <w:noProof/>
              </w:rPr>
              <w:fldChar w:fldCharType="separate"/>
            </w:r>
            <w:r w:rsidR="000C61C3">
              <w:rPr>
                <w:noProof/>
              </w:rPr>
              <w:t>6</w:t>
            </w:r>
            <w:r w:rsidR="000C61C3">
              <w:rPr>
                <w:noProof/>
              </w:rPr>
              <w:fldChar w:fldCharType="end"/>
            </w:r>
          </w:hyperlink>
        </w:p>
        <w:p w:rsidR="000C61C3" w:rsidRDefault="00DB2FDC">
          <w:pPr>
            <w:pStyle w:val="20"/>
            <w:tabs>
              <w:tab w:val="right" w:leader="dot" w:pos="8296"/>
            </w:tabs>
            <w:rPr>
              <w:noProof/>
            </w:rPr>
          </w:pPr>
          <w:hyperlink w:anchor="_Toc238074043" w:history="1">
            <w:r w:rsidR="000C61C3" w:rsidRPr="0038566F">
              <w:rPr>
                <w:rStyle w:val="a5"/>
                <w:rFonts w:hint="eastAsia"/>
                <w:noProof/>
              </w:rPr>
              <w:t>第四節　研究限制與效度宣稱</w:t>
            </w:r>
            <w:r w:rsidR="000C61C3">
              <w:rPr>
                <w:noProof/>
              </w:rPr>
              <w:tab/>
            </w:r>
            <w:r w:rsidR="000C61C3">
              <w:rPr>
                <w:noProof/>
              </w:rPr>
              <w:fldChar w:fldCharType="begin"/>
            </w:r>
            <w:r w:rsidR="000C61C3">
              <w:rPr>
                <w:noProof/>
              </w:rPr>
              <w:instrText xml:space="preserve"> PAGEREF _Toc238074043 \h </w:instrText>
            </w:r>
            <w:r w:rsidR="000C61C3">
              <w:rPr>
                <w:noProof/>
              </w:rPr>
            </w:r>
            <w:r w:rsidR="000C61C3">
              <w:rPr>
                <w:noProof/>
              </w:rPr>
              <w:fldChar w:fldCharType="separate"/>
            </w:r>
            <w:r w:rsidR="000C61C3">
              <w:rPr>
                <w:noProof/>
              </w:rPr>
              <w:t>7</w:t>
            </w:r>
            <w:r w:rsidR="000C61C3">
              <w:rPr>
                <w:noProof/>
              </w:rPr>
              <w:fldChar w:fldCharType="end"/>
            </w:r>
          </w:hyperlink>
        </w:p>
        <w:p w:rsidR="000C61C3" w:rsidRDefault="00DB2FDC">
          <w:pPr>
            <w:pStyle w:val="11"/>
            <w:tabs>
              <w:tab w:val="right" w:leader="dot" w:pos="8296"/>
            </w:tabs>
            <w:rPr>
              <w:noProof/>
            </w:rPr>
          </w:pPr>
          <w:hyperlink w:anchor="_Toc238074044" w:history="1">
            <w:r w:rsidR="000C61C3" w:rsidRPr="0038566F">
              <w:rPr>
                <w:rStyle w:val="a5"/>
                <w:rFonts w:hint="eastAsia"/>
                <w:noProof/>
              </w:rPr>
              <w:t>第二章</w:t>
            </w:r>
            <w:r w:rsidR="000C61C3" w:rsidRPr="0038566F">
              <w:rPr>
                <w:rStyle w:val="a5"/>
                <w:noProof/>
              </w:rPr>
              <w:t xml:space="preserve"> </w:t>
            </w:r>
            <w:r w:rsidR="000C61C3" w:rsidRPr="0038566F">
              <w:rPr>
                <w:rStyle w:val="a5"/>
                <w:rFonts w:hint="eastAsia"/>
                <w:noProof/>
              </w:rPr>
              <w:t>文獻探討與理論架構</w:t>
            </w:r>
            <w:r w:rsidR="000C61C3">
              <w:rPr>
                <w:noProof/>
              </w:rPr>
              <w:tab/>
            </w:r>
            <w:r w:rsidR="000C61C3">
              <w:rPr>
                <w:noProof/>
              </w:rPr>
              <w:fldChar w:fldCharType="begin"/>
            </w:r>
            <w:r w:rsidR="000C61C3">
              <w:rPr>
                <w:noProof/>
              </w:rPr>
              <w:instrText xml:space="preserve"> PAGEREF _Toc238074044 \h </w:instrText>
            </w:r>
            <w:r w:rsidR="000C61C3">
              <w:rPr>
                <w:noProof/>
              </w:rPr>
            </w:r>
            <w:r w:rsidR="000C61C3">
              <w:rPr>
                <w:noProof/>
              </w:rPr>
              <w:fldChar w:fldCharType="separate"/>
            </w:r>
            <w:r w:rsidR="000C61C3">
              <w:rPr>
                <w:noProof/>
              </w:rPr>
              <w:t>8</w:t>
            </w:r>
            <w:r w:rsidR="000C61C3">
              <w:rPr>
                <w:noProof/>
              </w:rPr>
              <w:fldChar w:fldCharType="end"/>
            </w:r>
          </w:hyperlink>
        </w:p>
        <w:p w:rsidR="000C61C3" w:rsidRDefault="00DB2FDC">
          <w:pPr>
            <w:pStyle w:val="20"/>
            <w:tabs>
              <w:tab w:val="right" w:leader="dot" w:pos="8296"/>
            </w:tabs>
            <w:rPr>
              <w:noProof/>
            </w:rPr>
          </w:pPr>
          <w:hyperlink w:anchor="_Toc238074045" w:history="1">
            <w:r w:rsidR="000C61C3" w:rsidRPr="0038566F">
              <w:rPr>
                <w:rStyle w:val="a5"/>
                <w:rFonts w:hint="eastAsia"/>
                <w:noProof/>
              </w:rPr>
              <w:t>第一節　預測性行政中的控制權下沉與結構性分離</w:t>
            </w:r>
            <w:r w:rsidR="000C61C3">
              <w:rPr>
                <w:noProof/>
              </w:rPr>
              <w:tab/>
            </w:r>
            <w:r w:rsidR="000C61C3">
              <w:rPr>
                <w:noProof/>
              </w:rPr>
              <w:fldChar w:fldCharType="begin"/>
            </w:r>
            <w:r w:rsidR="000C61C3">
              <w:rPr>
                <w:noProof/>
              </w:rPr>
              <w:instrText xml:space="preserve"> PAGEREF _Toc238074045 \h </w:instrText>
            </w:r>
            <w:r w:rsidR="000C61C3">
              <w:rPr>
                <w:noProof/>
              </w:rPr>
            </w:r>
            <w:r w:rsidR="000C61C3">
              <w:rPr>
                <w:noProof/>
              </w:rPr>
              <w:fldChar w:fldCharType="separate"/>
            </w:r>
            <w:r w:rsidR="000C61C3">
              <w:rPr>
                <w:noProof/>
              </w:rPr>
              <w:t>8</w:t>
            </w:r>
            <w:r w:rsidR="000C61C3">
              <w:rPr>
                <w:noProof/>
              </w:rPr>
              <w:fldChar w:fldCharType="end"/>
            </w:r>
          </w:hyperlink>
        </w:p>
        <w:p w:rsidR="000C61C3" w:rsidRDefault="00DB2FDC">
          <w:pPr>
            <w:pStyle w:val="20"/>
            <w:tabs>
              <w:tab w:val="right" w:leader="dot" w:pos="8296"/>
            </w:tabs>
            <w:rPr>
              <w:noProof/>
            </w:rPr>
          </w:pPr>
          <w:hyperlink w:anchor="_Toc238074046" w:history="1">
            <w:r w:rsidR="000C61C3" w:rsidRPr="0038566F">
              <w:rPr>
                <w:rStyle w:val="a5"/>
                <w:rFonts w:hint="eastAsia"/>
                <w:noProof/>
              </w:rPr>
              <w:t>第二節　國內既有研究範式檢視與研究缺口（</w:t>
            </w:r>
            <w:r w:rsidR="000C61C3" w:rsidRPr="0038566F">
              <w:rPr>
                <w:rStyle w:val="a5"/>
                <w:noProof/>
              </w:rPr>
              <w:t>Research Gaps</w:t>
            </w:r>
            <w:r w:rsidR="000C61C3" w:rsidRPr="0038566F">
              <w:rPr>
                <w:rStyle w:val="a5"/>
                <w:rFonts w:hint="eastAsia"/>
                <w:noProof/>
              </w:rPr>
              <w:t>）</w:t>
            </w:r>
            <w:r w:rsidR="000C61C3">
              <w:rPr>
                <w:noProof/>
              </w:rPr>
              <w:tab/>
            </w:r>
            <w:r w:rsidR="000C61C3">
              <w:rPr>
                <w:noProof/>
              </w:rPr>
              <w:fldChar w:fldCharType="begin"/>
            </w:r>
            <w:r w:rsidR="000C61C3">
              <w:rPr>
                <w:noProof/>
              </w:rPr>
              <w:instrText xml:space="preserve"> PAGEREF _Toc238074046 \h </w:instrText>
            </w:r>
            <w:r w:rsidR="000C61C3">
              <w:rPr>
                <w:noProof/>
              </w:rPr>
            </w:r>
            <w:r w:rsidR="000C61C3">
              <w:rPr>
                <w:noProof/>
              </w:rPr>
              <w:fldChar w:fldCharType="separate"/>
            </w:r>
            <w:r w:rsidR="000C61C3">
              <w:rPr>
                <w:noProof/>
              </w:rPr>
              <w:t>8</w:t>
            </w:r>
            <w:r w:rsidR="000C61C3">
              <w:rPr>
                <w:noProof/>
              </w:rPr>
              <w:fldChar w:fldCharType="end"/>
            </w:r>
          </w:hyperlink>
        </w:p>
        <w:p w:rsidR="000C61C3" w:rsidRDefault="00DB2FDC">
          <w:pPr>
            <w:pStyle w:val="30"/>
            <w:tabs>
              <w:tab w:val="right" w:leader="dot" w:pos="8296"/>
            </w:tabs>
            <w:rPr>
              <w:noProof/>
            </w:rPr>
          </w:pPr>
          <w:hyperlink w:anchor="_Toc238074047" w:history="1">
            <w:r w:rsidR="000C61C3" w:rsidRPr="0038566F">
              <w:rPr>
                <w:rStyle w:val="a5"/>
                <w:rFonts w:hint="eastAsia"/>
                <w:noProof/>
              </w:rPr>
              <w:t>一、國內三大研究脈絡之梳理</w:t>
            </w:r>
            <w:r w:rsidR="000C61C3">
              <w:rPr>
                <w:noProof/>
              </w:rPr>
              <w:tab/>
            </w:r>
            <w:r w:rsidR="000C61C3">
              <w:rPr>
                <w:noProof/>
              </w:rPr>
              <w:fldChar w:fldCharType="begin"/>
            </w:r>
            <w:r w:rsidR="000C61C3">
              <w:rPr>
                <w:noProof/>
              </w:rPr>
              <w:instrText xml:space="preserve"> PAGEREF _Toc238074047 \h </w:instrText>
            </w:r>
            <w:r w:rsidR="000C61C3">
              <w:rPr>
                <w:noProof/>
              </w:rPr>
            </w:r>
            <w:r w:rsidR="000C61C3">
              <w:rPr>
                <w:noProof/>
              </w:rPr>
              <w:fldChar w:fldCharType="separate"/>
            </w:r>
            <w:r w:rsidR="000C61C3">
              <w:rPr>
                <w:noProof/>
              </w:rPr>
              <w:t>8</w:t>
            </w:r>
            <w:r w:rsidR="000C61C3">
              <w:rPr>
                <w:noProof/>
              </w:rPr>
              <w:fldChar w:fldCharType="end"/>
            </w:r>
          </w:hyperlink>
        </w:p>
        <w:p w:rsidR="000C61C3" w:rsidRDefault="00DB2FDC">
          <w:pPr>
            <w:pStyle w:val="30"/>
            <w:tabs>
              <w:tab w:val="right" w:leader="dot" w:pos="8296"/>
            </w:tabs>
            <w:rPr>
              <w:noProof/>
            </w:rPr>
          </w:pPr>
          <w:hyperlink w:anchor="_Toc238074048" w:history="1">
            <w:r w:rsidR="000C61C3" w:rsidRPr="0038566F">
              <w:rPr>
                <w:rStyle w:val="a5"/>
                <w:rFonts w:hint="eastAsia"/>
                <w:noProof/>
              </w:rPr>
              <w:t>二、既有文獻之三大研究缺口</w:t>
            </w:r>
            <w:r w:rsidR="000C61C3">
              <w:rPr>
                <w:noProof/>
              </w:rPr>
              <w:tab/>
            </w:r>
            <w:r w:rsidR="000C61C3">
              <w:rPr>
                <w:noProof/>
              </w:rPr>
              <w:fldChar w:fldCharType="begin"/>
            </w:r>
            <w:r w:rsidR="000C61C3">
              <w:rPr>
                <w:noProof/>
              </w:rPr>
              <w:instrText xml:space="preserve"> PAGEREF _Toc238074048 \h </w:instrText>
            </w:r>
            <w:r w:rsidR="000C61C3">
              <w:rPr>
                <w:noProof/>
              </w:rPr>
            </w:r>
            <w:r w:rsidR="000C61C3">
              <w:rPr>
                <w:noProof/>
              </w:rPr>
              <w:fldChar w:fldCharType="separate"/>
            </w:r>
            <w:r w:rsidR="000C61C3">
              <w:rPr>
                <w:noProof/>
              </w:rPr>
              <w:t>9</w:t>
            </w:r>
            <w:r w:rsidR="000C61C3">
              <w:rPr>
                <w:noProof/>
              </w:rPr>
              <w:fldChar w:fldCharType="end"/>
            </w:r>
          </w:hyperlink>
        </w:p>
        <w:p w:rsidR="000C61C3" w:rsidRDefault="00DB2FDC">
          <w:pPr>
            <w:pStyle w:val="20"/>
            <w:tabs>
              <w:tab w:val="right" w:leader="dot" w:pos="8296"/>
            </w:tabs>
            <w:rPr>
              <w:noProof/>
            </w:rPr>
          </w:pPr>
          <w:hyperlink w:anchor="_Toc238074049" w:history="1">
            <w:r w:rsidR="000C61C3" w:rsidRPr="0038566F">
              <w:rPr>
                <w:rStyle w:val="a5"/>
                <w:rFonts w:hint="eastAsia"/>
                <w:noProof/>
              </w:rPr>
              <w:t>第三節　國家行政擔保責任與最低實質控制能力（</w:t>
            </w:r>
            <w:r w:rsidR="000C61C3" w:rsidRPr="0038566F">
              <w:rPr>
                <w:rStyle w:val="a5"/>
                <w:noProof/>
              </w:rPr>
              <w:t>MSCC</w:t>
            </w:r>
            <w:r w:rsidR="000C61C3" w:rsidRPr="0038566F">
              <w:rPr>
                <w:rStyle w:val="a5"/>
                <w:rFonts w:hint="eastAsia"/>
                <w:noProof/>
              </w:rPr>
              <w:t>）</w:t>
            </w:r>
            <w:r w:rsidR="000C61C3">
              <w:rPr>
                <w:noProof/>
              </w:rPr>
              <w:tab/>
            </w:r>
            <w:r w:rsidR="000C61C3">
              <w:rPr>
                <w:noProof/>
              </w:rPr>
              <w:fldChar w:fldCharType="begin"/>
            </w:r>
            <w:r w:rsidR="000C61C3">
              <w:rPr>
                <w:noProof/>
              </w:rPr>
              <w:instrText xml:space="preserve"> PAGEREF _Toc238074049 \h </w:instrText>
            </w:r>
            <w:r w:rsidR="000C61C3">
              <w:rPr>
                <w:noProof/>
              </w:rPr>
            </w:r>
            <w:r w:rsidR="000C61C3">
              <w:rPr>
                <w:noProof/>
              </w:rPr>
              <w:fldChar w:fldCharType="separate"/>
            </w:r>
            <w:r w:rsidR="000C61C3">
              <w:rPr>
                <w:noProof/>
              </w:rPr>
              <w:t>9</w:t>
            </w:r>
            <w:r w:rsidR="000C61C3">
              <w:rPr>
                <w:noProof/>
              </w:rPr>
              <w:fldChar w:fldCharType="end"/>
            </w:r>
          </w:hyperlink>
        </w:p>
        <w:p w:rsidR="000C61C3" w:rsidRDefault="00DB2FDC">
          <w:pPr>
            <w:pStyle w:val="20"/>
            <w:tabs>
              <w:tab w:val="right" w:leader="dot" w:pos="8296"/>
            </w:tabs>
            <w:rPr>
              <w:noProof/>
            </w:rPr>
          </w:pPr>
          <w:hyperlink w:anchor="_Toc238074050" w:history="1">
            <w:r w:rsidR="000C61C3" w:rsidRPr="0038566F">
              <w:rPr>
                <w:rStyle w:val="a5"/>
                <w:rFonts w:hint="eastAsia"/>
                <w:noProof/>
              </w:rPr>
              <w:t>第四節　結構性分離的三項硬指標與概念架構</w:t>
            </w:r>
            <w:r w:rsidR="000C61C3">
              <w:rPr>
                <w:noProof/>
              </w:rPr>
              <w:tab/>
            </w:r>
            <w:r w:rsidR="000C61C3">
              <w:rPr>
                <w:noProof/>
              </w:rPr>
              <w:fldChar w:fldCharType="begin"/>
            </w:r>
            <w:r w:rsidR="000C61C3">
              <w:rPr>
                <w:noProof/>
              </w:rPr>
              <w:instrText xml:space="preserve"> PAGEREF _Toc238074050 \h </w:instrText>
            </w:r>
            <w:r w:rsidR="000C61C3">
              <w:rPr>
                <w:noProof/>
              </w:rPr>
            </w:r>
            <w:r w:rsidR="000C61C3">
              <w:rPr>
                <w:noProof/>
              </w:rPr>
              <w:fldChar w:fldCharType="separate"/>
            </w:r>
            <w:r w:rsidR="000C61C3">
              <w:rPr>
                <w:noProof/>
              </w:rPr>
              <w:t>10</w:t>
            </w:r>
            <w:r w:rsidR="000C61C3">
              <w:rPr>
                <w:noProof/>
              </w:rPr>
              <w:fldChar w:fldCharType="end"/>
            </w:r>
          </w:hyperlink>
        </w:p>
        <w:p w:rsidR="000C61C3" w:rsidRDefault="00DB2FDC">
          <w:pPr>
            <w:pStyle w:val="30"/>
            <w:tabs>
              <w:tab w:val="right" w:leader="dot" w:pos="8296"/>
            </w:tabs>
            <w:rPr>
              <w:noProof/>
            </w:rPr>
          </w:pPr>
          <w:hyperlink w:anchor="_Toc238074051" w:history="1">
            <w:r w:rsidR="000C61C3" w:rsidRPr="0038566F">
              <w:rPr>
                <w:rStyle w:val="a5"/>
                <w:rFonts w:hint="eastAsia"/>
                <w:noProof/>
              </w:rPr>
              <w:t>圖</w:t>
            </w:r>
            <w:r w:rsidR="000C61C3" w:rsidRPr="0038566F">
              <w:rPr>
                <w:rStyle w:val="a5"/>
                <w:noProof/>
              </w:rPr>
              <w:t xml:space="preserve"> 2-1 </w:t>
            </w:r>
            <w:r w:rsidR="000C61C3" w:rsidRPr="0038566F">
              <w:rPr>
                <w:rStyle w:val="a5"/>
                <w:rFonts w:hint="eastAsia"/>
                <w:noProof/>
              </w:rPr>
              <w:t>文字結構對照（無障礙輔助說明）</w:t>
            </w:r>
            <w:r w:rsidR="000C61C3">
              <w:rPr>
                <w:noProof/>
              </w:rPr>
              <w:tab/>
            </w:r>
            <w:r w:rsidR="000C61C3">
              <w:rPr>
                <w:noProof/>
              </w:rPr>
              <w:fldChar w:fldCharType="begin"/>
            </w:r>
            <w:r w:rsidR="000C61C3">
              <w:rPr>
                <w:noProof/>
              </w:rPr>
              <w:instrText xml:space="preserve"> PAGEREF _Toc238074051 \h </w:instrText>
            </w:r>
            <w:r w:rsidR="000C61C3">
              <w:rPr>
                <w:noProof/>
              </w:rPr>
            </w:r>
            <w:r w:rsidR="000C61C3">
              <w:rPr>
                <w:noProof/>
              </w:rPr>
              <w:fldChar w:fldCharType="separate"/>
            </w:r>
            <w:r w:rsidR="000C61C3">
              <w:rPr>
                <w:noProof/>
              </w:rPr>
              <w:t>12</w:t>
            </w:r>
            <w:r w:rsidR="000C61C3">
              <w:rPr>
                <w:noProof/>
              </w:rPr>
              <w:fldChar w:fldCharType="end"/>
            </w:r>
          </w:hyperlink>
        </w:p>
        <w:p w:rsidR="000C61C3" w:rsidRDefault="00DB2FDC">
          <w:pPr>
            <w:pStyle w:val="11"/>
            <w:tabs>
              <w:tab w:val="right" w:leader="dot" w:pos="8296"/>
            </w:tabs>
            <w:rPr>
              <w:noProof/>
            </w:rPr>
          </w:pPr>
          <w:hyperlink w:anchor="_Toc238074052" w:history="1">
            <w:r w:rsidR="000C61C3" w:rsidRPr="0038566F">
              <w:rPr>
                <w:rStyle w:val="a5"/>
                <w:rFonts w:hint="eastAsia"/>
                <w:noProof/>
              </w:rPr>
              <w:t>第三章</w:t>
            </w:r>
            <w:r w:rsidR="000C61C3" w:rsidRPr="0038566F">
              <w:rPr>
                <w:rStyle w:val="a5"/>
                <w:noProof/>
              </w:rPr>
              <w:t xml:space="preserve"> </w:t>
            </w:r>
            <w:r w:rsidR="000C61C3" w:rsidRPr="0038566F">
              <w:rPr>
                <w:rStyle w:val="a5"/>
                <w:rFonts w:hint="eastAsia"/>
                <w:noProof/>
              </w:rPr>
              <w:t>宜蘭分署清償率模型之案例檢驗</w:t>
            </w:r>
            <w:r w:rsidR="000C61C3">
              <w:rPr>
                <w:noProof/>
              </w:rPr>
              <w:tab/>
            </w:r>
            <w:r w:rsidR="000C61C3">
              <w:rPr>
                <w:noProof/>
              </w:rPr>
              <w:fldChar w:fldCharType="begin"/>
            </w:r>
            <w:r w:rsidR="000C61C3">
              <w:rPr>
                <w:noProof/>
              </w:rPr>
              <w:instrText xml:space="preserve"> PAGEREF _Toc238074052 \h </w:instrText>
            </w:r>
            <w:r w:rsidR="000C61C3">
              <w:rPr>
                <w:noProof/>
              </w:rPr>
            </w:r>
            <w:r w:rsidR="000C61C3">
              <w:rPr>
                <w:noProof/>
              </w:rPr>
              <w:fldChar w:fldCharType="separate"/>
            </w:r>
            <w:r w:rsidR="000C61C3">
              <w:rPr>
                <w:noProof/>
              </w:rPr>
              <w:t>13</w:t>
            </w:r>
            <w:r w:rsidR="000C61C3">
              <w:rPr>
                <w:noProof/>
              </w:rPr>
              <w:fldChar w:fldCharType="end"/>
            </w:r>
          </w:hyperlink>
        </w:p>
        <w:p w:rsidR="000C61C3" w:rsidRDefault="00DB2FDC">
          <w:pPr>
            <w:pStyle w:val="20"/>
            <w:tabs>
              <w:tab w:val="right" w:leader="dot" w:pos="8296"/>
            </w:tabs>
            <w:rPr>
              <w:noProof/>
            </w:rPr>
          </w:pPr>
          <w:hyperlink w:anchor="_Toc238074053" w:history="1">
            <w:r w:rsidR="000C61C3" w:rsidRPr="0038566F">
              <w:rPr>
                <w:rStyle w:val="a5"/>
                <w:rFonts w:hint="eastAsia"/>
                <w:noProof/>
              </w:rPr>
              <w:t>第一節　案例背景：公法上金錢給付執行與預測模型導入</w:t>
            </w:r>
            <w:r w:rsidR="000C61C3">
              <w:rPr>
                <w:noProof/>
              </w:rPr>
              <w:tab/>
            </w:r>
            <w:r w:rsidR="000C61C3">
              <w:rPr>
                <w:noProof/>
              </w:rPr>
              <w:fldChar w:fldCharType="begin"/>
            </w:r>
            <w:r w:rsidR="000C61C3">
              <w:rPr>
                <w:noProof/>
              </w:rPr>
              <w:instrText xml:space="preserve"> PAGEREF _Toc238074053 \h </w:instrText>
            </w:r>
            <w:r w:rsidR="000C61C3">
              <w:rPr>
                <w:noProof/>
              </w:rPr>
            </w:r>
            <w:r w:rsidR="000C61C3">
              <w:rPr>
                <w:noProof/>
              </w:rPr>
              <w:fldChar w:fldCharType="separate"/>
            </w:r>
            <w:r w:rsidR="000C61C3">
              <w:rPr>
                <w:noProof/>
              </w:rPr>
              <w:t>13</w:t>
            </w:r>
            <w:r w:rsidR="000C61C3">
              <w:rPr>
                <w:noProof/>
              </w:rPr>
              <w:fldChar w:fldCharType="end"/>
            </w:r>
          </w:hyperlink>
        </w:p>
        <w:p w:rsidR="000C61C3" w:rsidRDefault="00DB2FDC">
          <w:pPr>
            <w:pStyle w:val="20"/>
            <w:tabs>
              <w:tab w:val="right" w:leader="dot" w:pos="8296"/>
            </w:tabs>
            <w:rPr>
              <w:noProof/>
            </w:rPr>
          </w:pPr>
          <w:hyperlink w:anchor="_Toc238074054" w:history="1">
            <w:r w:rsidR="000C61C3" w:rsidRPr="0038566F">
              <w:rPr>
                <w:rStyle w:val="a5"/>
                <w:rFonts w:hint="eastAsia"/>
                <w:noProof/>
              </w:rPr>
              <w:t>第二節　三項硬指標之經驗檢驗</w:t>
            </w:r>
            <w:r w:rsidR="000C61C3">
              <w:rPr>
                <w:noProof/>
              </w:rPr>
              <w:tab/>
            </w:r>
            <w:r w:rsidR="000C61C3">
              <w:rPr>
                <w:noProof/>
              </w:rPr>
              <w:fldChar w:fldCharType="begin"/>
            </w:r>
            <w:r w:rsidR="000C61C3">
              <w:rPr>
                <w:noProof/>
              </w:rPr>
              <w:instrText xml:space="preserve"> PAGEREF _Toc238074054 \h </w:instrText>
            </w:r>
            <w:r w:rsidR="000C61C3">
              <w:rPr>
                <w:noProof/>
              </w:rPr>
            </w:r>
            <w:r w:rsidR="000C61C3">
              <w:rPr>
                <w:noProof/>
              </w:rPr>
              <w:fldChar w:fldCharType="separate"/>
            </w:r>
            <w:r w:rsidR="000C61C3">
              <w:rPr>
                <w:noProof/>
              </w:rPr>
              <w:t>13</w:t>
            </w:r>
            <w:r w:rsidR="000C61C3">
              <w:rPr>
                <w:noProof/>
              </w:rPr>
              <w:fldChar w:fldCharType="end"/>
            </w:r>
          </w:hyperlink>
        </w:p>
        <w:p w:rsidR="000C61C3" w:rsidRDefault="00DB2FDC">
          <w:pPr>
            <w:pStyle w:val="30"/>
            <w:tabs>
              <w:tab w:val="right" w:leader="dot" w:pos="8296"/>
            </w:tabs>
            <w:rPr>
              <w:noProof/>
            </w:rPr>
          </w:pPr>
          <w:hyperlink w:anchor="_Toc238074055" w:history="1">
            <w:r w:rsidR="000C61C3" w:rsidRPr="0038566F">
              <w:rPr>
                <w:rStyle w:val="a5"/>
                <w:rFonts w:hint="eastAsia"/>
                <w:noProof/>
              </w:rPr>
              <w:t>一、契約權力與單方處置能力之檢核</w:t>
            </w:r>
            <w:r w:rsidR="000C61C3">
              <w:rPr>
                <w:noProof/>
              </w:rPr>
              <w:tab/>
            </w:r>
            <w:r w:rsidR="000C61C3">
              <w:rPr>
                <w:noProof/>
              </w:rPr>
              <w:fldChar w:fldCharType="begin"/>
            </w:r>
            <w:r w:rsidR="000C61C3">
              <w:rPr>
                <w:noProof/>
              </w:rPr>
              <w:instrText xml:space="preserve"> PAGEREF _Toc238074055 \h </w:instrText>
            </w:r>
            <w:r w:rsidR="000C61C3">
              <w:rPr>
                <w:noProof/>
              </w:rPr>
            </w:r>
            <w:r w:rsidR="000C61C3">
              <w:rPr>
                <w:noProof/>
              </w:rPr>
              <w:fldChar w:fldCharType="separate"/>
            </w:r>
            <w:r w:rsidR="000C61C3">
              <w:rPr>
                <w:noProof/>
              </w:rPr>
              <w:t>13</w:t>
            </w:r>
            <w:r w:rsidR="000C61C3">
              <w:rPr>
                <w:noProof/>
              </w:rPr>
              <w:fldChar w:fldCharType="end"/>
            </w:r>
          </w:hyperlink>
        </w:p>
        <w:p w:rsidR="000C61C3" w:rsidRDefault="00DB2FDC">
          <w:pPr>
            <w:pStyle w:val="30"/>
            <w:tabs>
              <w:tab w:val="right" w:leader="dot" w:pos="8296"/>
            </w:tabs>
            <w:rPr>
              <w:noProof/>
            </w:rPr>
          </w:pPr>
          <w:hyperlink w:anchor="_Toc238074056" w:history="1">
            <w:r w:rsidR="000C61C3" w:rsidRPr="0038566F">
              <w:rPr>
                <w:rStyle w:val="a5"/>
                <w:rFonts w:hint="eastAsia"/>
                <w:noProof/>
              </w:rPr>
              <w:t>二、模型控制權與再訓練能力之檢核</w:t>
            </w:r>
            <w:r w:rsidR="000C61C3">
              <w:rPr>
                <w:noProof/>
              </w:rPr>
              <w:tab/>
            </w:r>
            <w:r w:rsidR="000C61C3">
              <w:rPr>
                <w:noProof/>
              </w:rPr>
              <w:fldChar w:fldCharType="begin"/>
            </w:r>
            <w:r w:rsidR="000C61C3">
              <w:rPr>
                <w:noProof/>
              </w:rPr>
              <w:instrText xml:space="preserve"> PAGEREF _Toc238074056 \h </w:instrText>
            </w:r>
            <w:r w:rsidR="000C61C3">
              <w:rPr>
                <w:noProof/>
              </w:rPr>
            </w:r>
            <w:r w:rsidR="000C61C3">
              <w:rPr>
                <w:noProof/>
              </w:rPr>
              <w:fldChar w:fldCharType="separate"/>
            </w:r>
            <w:r w:rsidR="000C61C3">
              <w:rPr>
                <w:noProof/>
              </w:rPr>
              <w:t>13</w:t>
            </w:r>
            <w:r w:rsidR="000C61C3">
              <w:rPr>
                <w:noProof/>
              </w:rPr>
              <w:fldChar w:fldCharType="end"/>
            </w:r>
          </w:hyperlink>
        </w:p>
        <w:p w:rsidR="000C61C3" w:rsidRDefault="00DB2FDC">
          <w:pPr>
            <w:pStyle w:val="30"/>
            <w:tabs>
              <w:tab w:val="right" w:leader="dot" w:pos="8296"/>
            </w:tabs>
            <w:rPr>
              <w:noProof/>
            </w:rPr>
          </w:pPr>
          <w:hyperlink w:anchor="_Toc238074057" w:history="1">
            <w:r w:rsidR="000C61C3" w:rsidRPr="0038566F">
              <w:rPr>
                <w:rStyle w:val="a5"/>
                <w:rFonts w:hint="eastAsia"/>
                <w:noProof/>
              </w:rPr>
              <w:t>三、基礎設施依賴度與部署位置之檢核</w:t>
            </w:r>
            <w:r w:rsidR="000C61C3">
              <w:rPr>
                <w:noProof/>
              </w:rPr>
              <w:tab/>
            </w:r>
            <w:r w:rsidR="000C61C3">
              <w:rPr>
                <w:noProof/>
              </w:rPr>
              <w:fldChar w:fldCharType="begin"/>
            </w:r>
            <w:r w:rsidR="000C61C3">
              <w:rPr>
                <w:noProof/>
              </w:rPr>
              <w:instrText xml:space="preserve"> PAGEREF _Toc238074057 \h </w:instrText>
            </w:r>
            <w:r w:rsidR="000C61C3">
              <w:rPr>
                <w:noProof/>
              </w:rPr>
            </w:r>
            <w:r w:rsidR="000C61C3">
              <w:rPr>
                <w:noProof/>
              </w:rPr>
              <w:fldChar w:fldCharType="separate"/>
            </w:r>
            <w:r w:rsidR="000C61C3">
              <w:rPr>
                <w:noProof/>
              </w:rPr>
              <w:t>14</w:t>
            </w:r>
            <w:r w:rsidR="000C61C3">
              <w:rPr>
                <w:noProof/>
              </w:rPr>
              <w:fldChar w:fldCharType="end"/>
            </w:r>
          </w:hyperlink>
        </w:p>
        <w:p w:rsidR="000C61C3" w:rsidRDefault="00DB2FDC">
          <w:pPr>
            <w:pStyle w:val="20"/>
            <w:tabs>
              <w:tab w:val="right" w:leader="dot" w:pos="8296"/>
            </w:tabs>
            <w:rPr>
              <w:noProof/>
            </w:rPr>
          </w:pPr>
          <w:hyperlink w:anchor="_Toc238074058" w:history="1">
            <w:r w:rsidR="000C61C3" w:rsidRPr="0038566F">
              <w:rPr>
                <w:rStyle w:val="a5"/>
                <w:rFonts w:hint="eastAsia"/>
                <w:noProof/>
              </w:rPr>
              <w:t>第三節　小結：宜蘭模式的「低分離基準線」</w:t>
            </w:r>
            <w:r w:rsidR="000C61C3">
              <w:rPr>
                <w:noProof/>
              </w:rPr>
              <w:tab/>
            </w:r>
            <w:r w:rsidR="000C61C3">
              <w:rPr>
                <w:noProof/>
              </w:rPr>
              <w:fldChar w:fldCharType="begin"/>
            </w:r>
            <w:r w:rsidR="000C61C3">
              <w:rPr>
                <w:noProof/>
              </w:rPr>
              <w:instrText xml:space="preserve"> PAGEREF _Toc238074058 \h </w:instrText>
            </w:r>
            <w:r w:rsidR="000C61C3">
              <w:rPr>
                <w:noProof/>
              </w:rPr>
            </w:r>
            <w:r w:rsidR="000C61C3">
              <w:rPr>
                <w:noProof/>
              </w:rPr>
              <w:fldChar w:fldCharType="separate"/>
            </w:r>
            <w:r w:rsidR="000C61C3">
              <w:rPr>
                <w:noProof/>
              </w:rPr>
              <w:t>15</w:t>
            </w:r>
            <w:r w:rsidR="000C61C3">
              <w:rPr>
                <w:noProof/>
              </w:rPr>
              <w:fldChar w:fldCharType="end"/>
            </w:r>
          </w:hyperlink>
        </w:p>
        <w:p w:rsidR="000C61C3" w:rsidRDefault="00DB2FDC">
          <w:pPr>
            <w:pStyle w:val="11"/>
            <w:tabs>
              <w:tab w:val="right" w:leader="dot" w:pos="8296"/>
            </w:tabs>
            <w:rPr>
              <w:noProof/>
            </w:rPr>
          </w:pPr>
          <w:hyperlink w:anchor="_Toc238074059" w:history="1">
            <w:r w:rsidR="000C61C3" w:rsidRPr="0038566F">
              <w:rPr>
                <w:rStyle w:val="a5"/>
                <w:rFonts w:hint="eastAsia"/>
                <w:noProof/>
              </w:rPr>
              <w:t>第四章</w:t>
            </w:r>
            <w:r w:rsidR="000C61C3" w:rsidRPr="0038566F">
              <w:rPr>
                <w:rStyle w:val="a5"/>
                <w:noProof/>
              </w:rPr>
              <w:t xml:space="preserve"> </w:t>
            </w:r>
            <w:r w:rsidR="000C61C3" w:rsidRPr="0038566F">
              <w:rPr>
                <w:rStyle w:val="a5"/>
                <w:rFonts w:hint="eastAsia"/>
                <w:noProof/>
              </w:rPr>
              <w:t>討論：從硬指標到國家實質控制能力</w:t>
            </w:r>
            <w:r w:rsidR="000C61C3">
              <w:rPr>
                <w:noProof/>
              </w:rPr>
              <w:tab/>
            </w:r>
            <w:r w:rsidR="000C61C3">
              <w:rPr>
                <w:noProof/>
              </w:rPr>
              <w:fldChar w:fldCharType="begin"/>
            </w:r>
            <w:r w:rsidR="000C61C3">
              <w:rPr>
                <w:noProof/>
              </w:rPr>
              <w:instrText xml:space="preserve"> PAGEREF _Toc238074059 \h </w:instrText>
            </w:r>
            <w:r w:rsidR="000C61C3">
              <w:rPr>
                <w:noProof/>
              </w:rPr>
            </w:r>
            <w:r w:rsidR="000C61C3">
              <w:rPr>
                <w:noProof/>
              </w:rPr>
              <w:fldChar w:fldCharType="separate"/>
            </w:r>
            <w:r w:rsidR="000C61C3">
              <w:rPr>
                <w:noProof/>
              </w:rPr>
              <w:t>16</w:t>
            </w:r>
            <w:r w:rsidR="000C61C3">
              <w:rPr>
                <w:noProof/>
              </w:rPr>
              <w:fldChar w:fldCharType="end"/>
            </w:r>
          </w:hyperlink>
        </w:p>
        <w:p w:rsidR="000C61C3" w:rsidRDefault="00DB2FDC">
          <w:pPr>
            <w:pStyle w:val="20"/>
            <w:tabs>
              <w:tab w:val="right" w:leader="dot" w:pos="8296"/>
            </w:tabs>
            <w:rPr>
              <w:noProof/>
            </w:rPr>
          </w:pPr>
          <w:hyperlink w:anchor="_Toc238074060" w:history="1">
            <w:r w:rsidR="000C61C3" w:rsidRPr="0038566F">
              <w:rPr>
                <w:rStyle w:val="a5"/>
                <w:rFonts w:hint="eastAsia"/>
                <w:noProof/>
              </w:rPr>
              <w:t>第一節　硬指標作為軟能力之前置承載空間</w:t>
            </w:r>
            <w:r w:rsidR="000C61C3">
              <w:rPr>
                <w:noProof/>
              </w:rPr>
              <w:tab/>
            </w:r>
            <w:r w:rsidR="000C61C3">
              <w:rPr>
                <w:noProof/>
              </w:rPr>
              <w:fldChar w:fldCharType="begin"/>
            </w:r>
            <w:r w:rsidR="000C61C3">
              <w:rPr>
                <w:noProof/>
              </w:rPr>
              <w:instrText xml:space="preserve"> PAGEREF _Toc238074060 \h </w:instrText>
            </w:r>
            <w:r w:rsidR="000C61C3">
              <w:rPr>
                <w:noProof/>
              </w:rPr>
            </w:r>
            <w:r w:rsidR="000C61C3">
              <w:rPr>
                <w:noProof/>
              </w:rPr>
              <w:fldChar w:fldCharType="separate"/>
            </w:r>
            <w:r w:rsidR="000C61C3">
              <w:rPr>
                <w:noProof/>
              </w:rPr>
              <w:t>16</w:t>
            </w:r>
            <w:r w:rsidR="000C61C3">
              <w:rPr>
                <w:noProof/>
              </w:rPr>
              <w:fldChar w:fldCharType="end"/>
            </w:r>
          </w:hyperlink>
        </w:p>
        <w:p w:rsidR="000C61C3" w:rsidRDefault="00DB2FDC">
          <w:pPr>
            <w:pStyle w:val="20"/>
            <w:tabs>
              <w:tab w:val="right" w:leader="dot" w:pos="8296"/>
            </w:tabs>
            <w:rPr>
              <w:noProof/>
            </w:rPr>
          </w:pPr>
          <w:hyperlink w:anchor="_Toc238074061" w:history="1">
            <w:r w:rsidR="000C61C3" w:rsidRPr="0038566F">
              <w:rPr>
                <w:rStyle w:val="a5"/>
                <w:rFonts w:hint="eastAsia"/>
                <w:noProof/>
              </w:rPr>
              <w:t xml:space="preserve">第二節　</w:t>
            </w:r>
            <w:r w:rsidR="000C61C3" w:rsidRPr="0038566F">
              <w:rPr>
                <w:rStyle w:val="a5"/>
                <w:noProof/>
              </w:rPr>
              <w:t xml:space="preserve">MSCC </w:t>
            </w:r>
            <w:r w:rsidR="000C61C3" w:rsidRPr="0038566F">
              <w:rPr>
                <w:rStyle w:val="a5"/>
                <w:rFonts w:hint="eastAsia"/>
                <w:noProof/>
              </w:rPr>
              <w:t>硬指標三要素之再精煉</w:t>
            </w:r>
            <w:r w:rsidR="000C61C3">
              <w:rPr>
                <w:noProof/>
              </w:rPr>
              <w:tab/>
            </w:r>
            <w:r w:rsidR="000C61C3">
              <w:rPr>
                <w:noProof/>
              </w:rPr>
              <w:fldChar w:fldCharType="begin"/>
            </w:r>
            <w:r w:rsidR="000C61C3">
              <w:rPr>
                <w:noProof/>
              </w:rPr>
              <w:instrText xml:space="preserve"> PAGEREF _Toc238074061 \h </w:instrText>
            </w:r>
            <w:r w:rsidR="000C61C3">
              <w:rPr>
                <w:noProof/>
              </w:rPr>
            </w:r>
            <w:r w:rsidR="000C61C3">
              <w:rPr>
                <w:noProof/>
              </w:rPr>
              <w:fldChar w:fldCharType="separate"/>
            </w:r>
            <w:r w:rsidR="000C61C3">
              <w:rPr>
                <w:noProof/>
              </w:rPr>
              <w:t>16</w:t>
            </w:r>
            <w:r w:rsidR="000C61C3">
              <w:rPr>
                <w:noProof/>
              </w:rPr>
              <w:fldChar w:fldCharType="end"/>
            </w:r>
          </w:hyperlink>
        </w:p>
        <w:p w:rsidR="000C61C3" w:rsidRDefault="00DB2FDC">
          <w:pPr>
            <w:pStyle w:val="20"/>
            <w:tabs>
              <w:tab w:val="right" w:leader="dot" w:pos="8296"/>
            </w:tabs>
            <w:rPr>
              <w:noProof/>
            </w:rPr>
          </w:pPr>
          <w:hyperlink w:anchor="_Toc238074062" w:history="1">
            <w:r w:rsidR="000C61C3" w:rsidRPr="0038566F">
              <w:rPr>
                <w:rStyle w:val="a5"/>
                <w:rFonts w:hint="eastAsia"/>
                <w:noProof/>
              </w:rPr>
              <w:t>第三節　與國家擔保責任及</w:t>
            </w:r>
            <w:r w:rsidR="000C61C3" w:rsidRPr="0038566F">
              <w:rPr>
                <w:rStyle w:val="a5"/>
                <w:noProof/>
              </w:rPr>
              <w:t xml:space="preserve"> MSCC </w:t>
            </w:r>
            <w:r w:rsidR="000C61C3" w:rsidRPr="0038566F">
              <w:rPr>
                <w:rStyle w:val="a5"/>
                <w:rFonts w:hint="eastAsia"/>
                <w:noProof/>
              </w:rPr>
              <w:t>理論的深層對話</w:t>
            </w:r>
            <w:r w:rsidR="000C61C3">
              <w:rPr>
                <w:noProof/>
              </w:rPr>
              <w:tab/>
            </w:r>
            <w:r w:rsidR="000C61C3">
              <w:rPr>
                <w:noProof/>
              </w:rPr>
              <w:fldChar w:fldCharType="begin"/>
            </w:r>
            <w:r w:rsidR="000C61C3">
              <w:rPr>
                <w:noProof/>
              </w:rPr>
              <w:instrText xml:space="preserve"> PAGEREF _Toc238074062 \h </w:instrText>
            </w:r>
            <w:r w:rsidR="000C61C3">
              <w:rPr>
                <w:noProof/>
              </w:rPr>
            </w:r>
            <w:r w:rsidR="000C61C3">
              <w:rPr>
                <w:noProof/>
              </w:rPr>
              <w:fldChar w:fldCharType="separate"/>
            </w:r>
            <w:r w:rsidR="000C61C3">
              <w:rPr>
                <w:noProof/>
              </w:rPr>
              <w:t>17</w:t>
            </w:r>
            <w:r w:rsidR="000C61C3">
              <w:rPr>
                <w:noProof/>
              </w:rPr>
              <w:fldChar w:fldCharType="end"/>
            </w:r>
          </w:hyperlink>
        </w:p>
        <w:p w:rsidR="000C61C3" w:rsidRDefault="00DB2FDC">
          <w:pPr>
            <w:pStyle w:val="20"/>
            <w:tabs>
              <w:tab w:val="right" w:leader="dot" w:pos="8296"/>
            </w:tabs>
            <w:rPr>
              <w:noProof/>
            </w:rPr>
          </w:pPr>
          <w:hyperlink w:anchor="_Toc238074063" w:history="1">
            <w:r w:rsidR="000C61C3" w:rsidRPr="0038566F">
              <w:rPr>
                <w:rStyle w:val="a5"/>
                <w:rFonts w:hint="eastAsia"/>
                <w:noProof/>
              </w:rPr>
              <w:t>第四節　政策意涵：哪些採購與技術選擇最易誘發控制權下沉？</w:t>
            </w:r>
            <w:r w:rsidR="000C61C3">
              <w:rPr>
                <w:noProof/>
              </w:rPr>
              <w:tab/>
            </w:r>
            <w:r w:rsidR="000C61C3">
              <w:rPr>
                <w:noProof/>
              </w:rPr>
              <w:fldChar w:fldCharType="begin"/>
            </w:r>
            <w:r w:rsidR="000C61C3">
              <w:rPr>
                <w:noProof/>
              </w:rPr>
              <w:instrText xml:space="preserve"> PAGEREF _Toc238074063 \h </w:instrText>
            </w:r>
            <w:r w:rsidR="000C61C3">
              <w:rPr>
                <w:noProof/>
              </w:rPr>
            </w:r>
            <w:r w:rsidR="000C61C3">
              <w:rPr>
                <w:noProof/>
              </w:rPr>
              <w:fldChar w:fldCharType="separate"/>
            </w:r>
            <w:r w:rsidR="000C61C3">
              <w:rPr>
                <w:noProof/>
              </w:rPr>
              <w:t>17</w:t>
            </w:r>
            <w:r w:rsidR="000C61C3">
              <w:rPr>
                <w:noProof/>
              </w:rPr>
              <w:fldChar w:fldCharType="end"/>
            </w:r>
          </w:hyperlink>
        </w:p>
        <w:p w:rsidR="000C61C3" w:rsidRDefault="00DB2FDC">
          <w:pPr>
            <w:pStyle w:val="11"/>
            <w:tabs>
              <w:tab w:val="right" w:leader="dot" w:pos="8296"/>
            </w:tabs>
            <w:rPr>
              <w:noProof/>
            </w:rPr>
          </w:pPr>
          <w:hyperlink w:anchor="_Toc238074064" w:history="1">
            <w:r w:rsidR="000C61C3" w:rsidRPr="0038566F">
              <w:rPr>
                <w:rStyle w:val="a5"/>
                <w:rFonts w:hint="eastAsia"/>
                <w:noProof/>
              </w:rPr>
              <w:t>第五章</w:t>
            </w:r>
            <w:r w:rsidR="000C61C3" w:rsidRPr="0038566F">
              <w:rPr>
                <w:rStyle w:val="a5"/>
                <w:noProof/>
              </w:rPr>
              <w:t xml:space="preserve"> </w:t>
            </w:r>
            <w:r w:rsidR="000C61C3" w:rsidRPr="0038566F">
              <w:rPr>
                <w:rStyle w:val="a5"/>
                <w:rFonts w:hint="eastAsia"/>
                <w:noProof/>
              </w:rPr>
              <w:t>結論與建議</w:t>
            </w:r>
            <w:r w:rsidR="000C61C3">
              <w:rPr>
                <w:noProof/>
              </w:rPr>
              <w:tab/>
            </w:r>
            <w:r w:rsidR="000C61C3">
              <w:rPr>
                <w:noProof/>
              </w:rPr>
              <w:fldChar w:fldCharType="begin"/>
            </w:r>
            <w:r w:rsidR="000C61C3">
              <w:rPr>
                <w:noProof/>
              </w:rPr>
              <w:instrText xml:space="preserve"> PAGEREF _Toc238074064 \h </w:instrText>
            </w:r>
            <w:r w:rsidR="000C61C3">
              <w:rPr>
                <w:noProof/>
              </w:rPr>
            </w:r>
            <w:r w:rsidR="000C61C3">
              <w:rPr>
                <w:noProof/>
              </w:rPr>
              <w:fldChar w:fldCharType="separate"/>
            </w:r>
            <w:r w:rsidR="000C61C3">
              <w:rPr>
                <w:noProof/>
              </w:rPr>
              <w:t>18</w:t>
            </w:r>
            <w:r w:rsidR="000C61C3">
              <w:rPr>
                <w:noProof/>
              </w:rPr>
              <w:fldChar w:fldCharType="end"/>
            </w:r>
          </w:hyperlink>
        </w:p>
        <w:p w:rsidR="000C61C3" w:rsidRDefault="00DB2FDC">
          <w:pPr>
            <w:pStyle w:val="20"/>
            <w:tabs>
              <w:tab w:val="right" w:leader="dot" w:pos="8296"/>
            </w:tabs>
            <w:rPr>
              <w:noProof/>
            </w:rPr>
          </w:pPr>
          <w:hyperlink w:anchor="_Toc238074065" w:history="1">
            <w:r w:rsidR="000C61C3" w:rsidRPr="0038566F">
              <w:rPr>
                <w:rStyle w:val="a5"/>
                <w:rFonts w:hint="eastAsia"/>
                <w:noProof/>
              </w:rPr>
              <w:t>第一節　主要研究發現</w:t>
            </w:r>
            <w:r w:rsidR="000C61C3">
              <w:rPr>
                <w:noProof/>
              </w:rPr>
              <w:tab/>
            </w:r>
            <w:r w:rsidR="000C61C3">
              <w:rPr>
                <w:noProof/>
              </w:rPr>
              <w:fldChar w:fldCharType="begin"/>
            </w:r>
            <w:r w:rsidR="000C61C3">
              <w:rPr>
                <w:noProof/>
              </w:rPr>
              <w:instrText xml:space="preserve"> PAGEREF _Toc238074065 \h </w:instrText>
            </w:r>
            <w:r w:rsidR="000C61C3">
              <w:rPr>
                <w:noProof/>
              </w:rPr>
            </w:r>
            <w:r w:rsidR="000C61C3">
              <w:rPr>
                <w:noProof/>
              </w:rPr>
              <w:fldChar w:fldCharType="separate"/>
            </w:r>
            <w:r w:rsidR="000C61C3">
              <w:rPr>
                <w:noProof/>
              </w:rPr>
              <w:t>18</w:t>
            </w:r>
            <w:r w:rsidR="000C61C3">
              <w:rPr>
                <w:noProof/>
              </w:rPr>
              <w:fldChar w:fldCharType="end"/>
            </w:r>
          </w:hyperlink>
        </w:p>
        <w:p w:rsidR="000C61C3" w:rsidRDefault="00DB2FDC">
          <w:pPr>
            <w:pStyle w:val="20"/>
            <w:tabs>
              <w:tab w:val="right" w:leader="dot" w:pos="8296"/>
            </w:tabs>
            <w:rPr>
              <w:noProof/>
            </w:rPr>
          </w:pPr>
          <w:hyperlink w:anchor="_Toc238074066" w:history="1">
            <w:r w:rsidR="000C61C3" w:rsidRPr="0038566F">
              <w:rPr>
                <w:rStyle w:val="a5"/>
                <w:rFonts w:hint="eastAsia"/>
                <w:noProof/>
              </w:rPr>
              <w:t>第二節　理論與實務貢獻</w:t>
            </w:r>
            <w:r w:rsidR="000C61C3">
              <w:rPr>
                <w:noProof/>
              </w:rPr>
              <w:tab/>
            </w:r>
            <w:r w:rsidR="000C61C3">
              <w:rPr>
                <w:noProof/>
              </w:rPr>
              <w:fldChar w:fldCharType="begin"/>
            </w:r>
            <w:r w:rsidR="000C61C3">
              <w:rPr>
                <w:noProof/>
              </w:rPr>
              <w:instrText xml:space="preserve"> PAGEREF _Toc238074066 \h </w:instrText>
            </w:r>
            <w:r w:rsidR="000C61C3">
              <w:rPr>
                <w:noProof/>
              </w:rPr>
            </w:r>
            <w:r w:rsidR="000C61C3">
              <w:rPr>
                <w:noProof/>
              </w:rPr>
              <w:fldChar w:fldCharType="separate"/>
            </w:r>
            <w:r w:rsidR="000C61C3">
              <w:rPr>
                <w:noProof/>
              </w:rPr>
              <w:t>18</w:t>
            </w:r>
            <w:r w:rsidR="000C61C3">
              <w:rPr>
                <w:noProof/>
              </w:rPr>
              <w:fldChar w:fldCharType="end"/>
            </w:r>
          </w:hyperlink>
        </w:p>
        <w:p w:rsidR="000C61C3" w:rsidRDefault="00DB2FDC">
          <w:pPr>
            <w:pStyle w:val="20"/>
            <w:tabs>
              <w:tab w:val="right" w:leader="dot" w:pos="8296"/>
            </w:tabs>
            <w:rPr>
              <w:noProof/>
            </w:rPr>
          </w:pPr>
          <w:hyperlink w:anchor="_Toc238074067" w:history="1">
            <w:r w:rsidR="000C61C3" w:rsidRPr="0038566F">
              <w:rPr>
                <w:rStyle w:val="a5"/>
                <w:rFonts w:hint="eastAsia"/>
                <w:noProof/>
              </w:rPr>
              <w:t>第三節　政策建議：三機關協同治理路徑</w:t>
            </w:r>
            <w:r w:rsidR="000C61C3">
              <w:rPr>
                <w:noProof/>
              </w:rPr>
              <w:tab/>
            </w:r>
            <w:r w:rsidR="000C61C3">
              <w:rPr>
                <w:noProof/>
              </w:rPr>
              <w:fldChar w:fldCharType="begin"/>
            </w:r>
            <w:r w:rsidR="000C61C3">
              <w:rPr>
                <w:noProof/>
              </w:rPr>
              <w:instrText xml:space="preserve"> PAGEREF _Toc238074067 \h </w:instrText>
            </w:r>
            <w:r w:rsidR="000C61C3">
              <w:rPr>
                <w:noProof/>
              </w:rPr>
            </w:r>
            <w:r w:rsidR="000C61C3">
              <w:rPr>
                <w:noProof/>
              </w:rPr>
              <w:fldChar w:fldCharType="separate"/>
            </w:r>
            <w:r w:rsidR="000C61C3">
              <w:rPr>
                <w:noProof/>
              </w:rPr>
              <w:t>18</w:t>
            </w:r>
            <w:r w:rsidR="000C61C3">
              <w:rPr>
                <w:noProof/>
              </w:rPr>
              <w:fldChar w:fldCharType="end"/>
            </w:r>
          </w:hyperlink>
        </w:p>
        <w:p w:rsidR="000C61C3" w:rsidRDefault="00DB2FDC">
          <w:pPr>
            <w:pStyle w:val="30"/>
            <w:tabs>
              <w:tab w:val="right" w:leader="dot" w:pos="8296"/>
            </w:tabs>
            <w:rPr>
              <w:noProof/>
            </w:rPr>
          </w:pPr>
          <w:hyperlink w:anchor="_Toc238074068" w:history="1">
            <w:r w:rsidR="000C61C3" w:rsidRPr="0038566F">
              <w:rPr>
                <w:rStyle w:val="a5"/>
                <w:rFonts w:hint="eastAsia"/>
                <w:noProof/>
              </w:rPr>
              <w:t>一、數位發展部：建構「</w:t>
            </w:r>
            <w:r w:rsidR="000C61C3" w:rsidRPr="0038566F">
              <w:rPr>
                <w:rStyle w:val="a5"/>
                <w:noProof/>
              </w:rPr>
              <w:t xml:space="preserve">MSCC </w:t>
            </w:r>
            <w:r w:rsidR="000C61C3" w:rsidRPr="0038566F">
              <w:rPr>
                <w:rStyle w:val="a5"/>
                <w:rFonts w:hint="eastAsia"/>
                <w:noProof/>
              </w:rPr>
              <w:t>採購前評估與防禦門檻」</w:t>
            </w:r>
            <w:r w:rsidR="000C61C3">
              <w:rPr>
                <w:noProof/>
              </w:rPr>
              <w:tab/>
            </w:r>
            <w:r w:rsidR="000C61C3">
              <w:rPr>
                <w:noProof/>
              </w:rPr>
              <w:fldChar w:fldCharType="begin"/>
            </w:r>
            <w:r w:rsidR="000C61C3">
              <w:rPr>
                <w:noProof/>
              </w:rPr>
              <w:instrText xml:space="preserve"> PAGEREF _Toc238074068 \h </w:instrText>
            </w:r>
            <w:r w:rsidR="000C61C3">
              <w:rPr>
                <w:noProof/>
              </w:rPr>
            </w:r>
            <w:r w:rsidR="000C61C3">
              <w:rPr>
                <w:noProof/>
              </w:rPr>
              <w:fldChar w:fldCharType="separate"/>
            </w:r>
            <w:r w:rsidR="000C61C3">
              <w:rPr>
                <w:noProof/>
              </w:rPr>
              <w:t>18</w:t>
            </w:r>
            <w:r w:rsidR="000C61C3">
              <w:rPr>
                <w:noProof/>
              </w:rPr>
              <w:fldChar w:fldCharType="end"/>
            </w:r>
          </w:hyperlink>
        </w:p>
        <w:p w:rsidR="000C61C3" w:rsidRDefault="00DB2FDC">
          <w:pPr>
            <w:pStyle w:val="30"/>
            <w:tabs>
              <w:tab w:val="right" w:leader="dot" w:pos="8296"/>
            </w:tabs>
            <w:rPr>
              <w:noProof/>
            </w:rPr>
          </w:pPr>
          <w:hyperlink w:anchor="_Toc238074069" w:history="1">
            <w:r w:rsidR="000C61C3" w:rsidRPr="0038566F">
              <w:rPr>
                <w:rStyle w:val="a5"/>
                <w:rFonts w:hint="eastAsia"/>
                <w:noProof/>
              </w:rPr>
              <w:t>二、審計部：建立「程序性演算法控制權審計三步法」</w:t>
            </w:r>
            <w:r w:rsidR="000C61C3">
              <w:rPr>
                <w:noProof/>
              </w:rPr>
              <w:tab/>
            </w:r>
            <w:r w:rsidR="000C61C3">
              <w:rPr>
                <w:noProof/>
              </w:rPr>
              <w:fldChar w:fldCharType="begin"/>
            </w:r>
            <w:r w:rsidR="000C61C3">
              <w:rPr>
                <w:noProof/>
              </w:rPr>
              <w:instrText xml:space="preserve"> PAGEREF _Toc238074069 \h </w:instrText>
            </w:r>
            <w:r w:rsidR="000C61C3">
              <w:rPr>
                <w:noProof/>
              </w:rPr>
            </w:r>
            <w:r w:rsidR="000C61C3">
              <w:rPr>
                <w:noProof/>
              </w:rPr>
              <w:fldChar w:fldCharType="separate"/>
            </w:r>
            <w:r w:rsidR="000C61C3">
              <w:rPr>
                <w:noProof/>
              </w:rPr>
              <w:t>19</w:t>
            </w:r>
            <w:r w:rsidR="000C61C3">
              <w:rPr>
                <w:noProof/>
              </w:rPr>
              <w:fldChar w:fldCharType="end"/>
            </w:r>
          </w:hyperlink>
        </w:p>
        <w:p w:rsidR="000C61C3" w:rsidRDefault="00DB2FDC">
          <w:pPr>
            <w:pStyle w:val="30"/>
            <w:tabs>
              <w:tab w:val="right" w:leader="dot" w:pos="8296"/>
            </w:tabs>
            <w:rPr>
              <w:noProof/>
            </w:rPr>
          </w:pPr>
          <w:hyperlink w:anchor="_Toc238074070" w:history="1">
            <w:r w:rsidR="000C61C3" w:rsidRPr="0038566F">
              <w:rPr>
                <w:rStyle w:val="a5"/>
                <w:rFonts w:hint="eastAsia"/>
                <w:noProof/>
              </w:rPr>
              <w:t>三、法務部（含行政執行署）：落實「低分離預測行政</w:t>
            </w:r>
            <w:r w:rsidR="000C61C3" w:rsidRPr="0038566F">
              <w:rPr>
                <w:rStyle w:val="a5"/>
                <w:noProof/>
              </w:rPr>
              <w:t xml:space="preserve"> SOP </w:t>
            </w:r>
            <w:r w:rsidR="000C61C3" w:rsidRPr="0038566F">
              <w:rPr>
                <w:rStyle w:val="a5"/>
                <w:rFonts w:hint="eastAsia"/>
                <w:noProof/>
              </w:rPr>
              <w:t>與第一線異議保障」</w:t>
            </w:r>
            <w:r w:rsidR="000C61C3">
              <w:rPr>
                <w:noProof/>
              </w:rPr>
              <w:tab/>
            </w:r>
            <w:r w:rsidR="000C61C3">
              <w:rPr>
                <w:noProof/>
              </w:rPr>
              <w:fldChar w:fldCharType="begin"/>
            </w:r>
            <w:r w:rsidR="000C61C3">
              <w:rPr>
                <w:noProof/>
              </w:rPr>
              <w:instrText xml:space="preserve"> PAGEREF _Toc238074070 \h </w:instrText>
            </w:r>
            <w:r w:rsidR="000C61C3">
              <w:rPr>
                <w:noProof/>
              </w:rPr>
            </w:r>
            <w:r w:rsidR="000C61C3">
              <w:rPr>
                <w:noProof/>
              </w:rPr>
              <w:fldChar w:fldCharType="separate"/>
            </w:r>
            <w:r w:rsidR="000C61C3">
              <w:rPr>
                <w:noProof/>
              </w:rPr>
              <w:t>19</w:t>
            </w:r>
            <w:r w:rsidR="000C61C3">
              <w:rPr>
                <w:noProof/>
              </w:rPr>
              <w:fldChar w:fldCharType="end"/>
            </w:r>
          </w:hyperlink>
        </w:p>
        <w:p w:rsidR="000C61C3" w:rsidRDefault="00DB2FDC">
          <w:pPr>
            <w:pStyle w:val="20"/>
            <w:tabs>
              <w:tab w:val="right" w:leader="dot" w:pos="8296"/>
            </w:tabs>
            <w:rPr>
              <w:noProof/>
            </w:rPr>
          </w:pPr>
          <w:hyperlink w:anchor="_Toc238074071" w:history="1">
            <w:r w:rsidR="000C61C3" w:rsidRPr="0038566F">
              <w:rPr>
                <w:rStyle w:val="a5"/>
                <w:rFonts w:hint="eastAsia"/>
                <w:noProof/>
              </w:rPr>
              <w:t>第四節　研究限制與未來研究展望</w:t>
            </w:r>
            <w:r w:rsidR="000C61C3">
              <w:rPr>
                <w:noProof/>
              </w:rPr>
              <w:tab/>
            </w:r>
            <w:r w:rsidR="000C61C3">
              <w:rPr>
                <w:noProof/>
              </w:rPr>
              <w:fldChar w:fldCharType="begin"/>
            </w:r>
            <w:r w:rsidR="000C61C3">
              <w:rPr>
                <w:noProof/>
              </w:rPr>
              <w:instrText xml:space="preserve"> PAGEREF _Toc238074071 \h </w:instrText>
            </w:r>
            <w:r w:rsidR="000C61C3">
              <w:rPr>
                <w:noProof/>
              </w:rPr>
            </w:r>
            <w:r w:rsidR="000C61C3">
              <w:rPr>
                <w:noProof/>
              </w:rPr>
              <w:fldChar w:fldCharType="separate"/>
            </w:r>
            <w:r w:rsidR="000C61C3">
              <w:rPr>
                <w:noProof/>
              </w:rPr>
              <w:t>20</w:t>
            </w:r>
            <w:r w:rsidR="000C61C3">
              <w:rPr>
                <w:noProof/>
              </w:rPr>
              <w:fldChar w:fldCharType="end"/>
            </w:r>
          </w:hyperlink>
        </w:p>
        <w:p w:rsidR="000C61C3" w:rsidRDefault="00DB2FDC">
          <w:pPr>
            <w:pStyle w:val="11"/>
            <w:tabs>
              <w:tab w:val="right" w:leader="dot" w:pos="8296"/>
            </w:tabs>
            <w:rPr>
              <w:noProof/>
            </w:rPr>
          </w:pPr>
          <w:hyperlink w:anchor="_Toc238074072" w:history="1">
            <w:r w:rsidR="000C61C3" w:rsidRPr="0038566F">
              <w:rPr>
                <w:rStyle w:val="a5"/>
                <w:rFonts w:hint="eastAsia"/>
                <w:noProof/>
              </w:rPr>
              <w:t>附錄一：最低實質控制能力（</w:t>
            </w:r>
            <w:r w:rsidR="000C61C3" w:rsidRPr="0038566F">
              <w:rPr>
                <w:rStyle w:val="a5"/>
                <w:noProof/>
              </w:rPr>
              <w:t>MSCC</w:t>
            </w:r>
            <w:r w:rsidR="000C61C3" w:rsidRPr="0038566F">
              <w:rPr>
                <w:rStyle w:val="a5"/>
                <w:rFonts w:hint="eastAsia"/>
                <w:noProof/>
              </w:rPr>
              <w:t>）硬指標量化評分建議</w:t>
            </w:r>
            <w:r w:rsidR="000C61C3">
              <w:rPr>
                <w:noProof/>
              </w:rPr>
              <w:tab/>
            </w:r>
            <w:r w:rsidR="000C61C3">
              <w:rPr>
                <w:noProof/>
              </w:rPr>
              <w:fldChar w:fldCharType="begin"/>
            </w:r>
            <w:r w:rsidR="000C61C3">
              <w:rPr>
                <w:noProof/>
              </w:rPr>
              <w:instrText xml:space="preserve"> PAGEREF _Toc238074072 \h </w:instrText>
            </w:r>
            <w:r w:rsidR="000C61C3">
              <w:rPr>
                <w:noProof/>
              </w:rPr>
            </w:r>
            <w:r w:rsidR="000C61C3">
              <w:rPr>
                <w:noProof/>
              </w:rPr>
              <w:fldChar w:fldCharType="separate"/>
            </w:r>
            <w:r w:rsidR="000C61C3">
              <w:rPr>
                <w:noProof/>
              </w:rPr>
              <w:t>22</w:t>
            </w:r>
            <w:r w:rsidR="000C61C3">
              <w:rPr>
                <w:noProof/>
              </w:rPr>
              <w:fldChar w:fldCharType="end"/>
            </w:r>
          </w:hyperlink>
        </w:p>
        <w:p w:rsidR="000C61C3" w:rsidRDefault="00DB2FDC">
          <w:pPr>
            <w:pStyle w:val="30"/>
            <w:tabs>
              <w:tab w:val="right" w:leader="dot" w:pos="8296"/>
            </w:tabs>
            <w:rPr>
              <w:noProof/>
            </w:rPr>
          </w:pPr>
          <w:hyperlink w:anchor="_Toc238074073" w:history="1">
            <w:r w:rsidR="000C61C3" w:rsidRPr="0038566F">
              <w:rPr>
                <w:rStyle w:val="a5"/>
                <w:rFonts w:hint="eastAsia"/>
                <w:noProof/>
              </w:rPr>
              <w:t>一、設計原則</w:t>
            </w:r>
            <w:r w:rsidR="000C61C3">
              <w:rPr>
                <w:noProof/>
              </w:rPr>
              <w:tab/>
            </w:r>
            <w:r w:rsidR="000C61C3">
              <w:rPr>
                <w:noProof/>
              </w:rPr>
              <w:fldChar w:fldCharType="begin"/>
            </w:r>
            <w:r w:rsidR="000C61C3">
              <w:rPr>
                <w:noProof/>
              </w:rPr>
              <w:instrText xml:space="preserve"> PAGEREF _Toc238074073 \h </w:instrText>
            </w:r>
            <w:r w:rsidR="000C61C3">
              <w:rPr>
                <w:noProof/>
              </w:rPr>
            </w:r>
            <w:r w:rsidR="000C61C3">
              <w:rPr>
                <w:noProof/>
              </w:rPr>
              <w:fldChar w:fldCharType="separate"/>
            </w:r>
            <w:r w:rsidR="000C61C3">
              <w:rPr>
                <w:noProof/>
              </w:rPr>
              <w:t>22</w:t>
            </w:r>
            <w:r w:rsidR="000C61C3">
              <w:rPr>
                <w:noProof/>
              </w:rPr>
              <w:fldChar w:fldCharType="end"/>
            </w:r>
          </w:hyperlink>
        </w:p>
        <w:p w:rsidR="000C61C3" w:rsidRDefault="00DB2FDC">
          <w:pPr>
            <w:pStyle w:val="30"/>
            <w:tabs>
              <w:tab w:val="right" w:leader="dot" w:pos="8296"/>
            </w:tabs>
            <w:rPr>
              <w:noProof/>
            </w:rPr>
          </w:pPr>
          <w:hyperlink w:anchor="_Toc238074074" w:history="1">
            <w:r w:rsidR="000C61C3" w:rsidRPr="0038566F">
              <w:rPr>
                <w:rStyle w:val="a5"/>
                <w:rFonts w:hint="eastAsia"/>
                <w:noProof/>
              </w:rPr>
              <w:t>二、硬指標一：契約權力與單方處置能力（滿分</w:t>
            </w:r>
            <w:r w:rsidR="000C61C3" w:rsidRPr="0038566F">
              <w:rPr>
                <w:rStyle w:val="a5"/>
                <w:noProof/>
              </w:rPr>
              <w:t xml:space="preserve"> 8 </w:t>
            </w:r>
            <w:r w:rsidR="000C61C3" w:rsidRPr="0038566F">
              <w:rPr>
                <w:rStyle w:val="a5"/>
                <w:rFonts w:hint="eastAsia"/>
                <w:noProof/>
              </w:rPr>
              <w:t>分）</w:t>
            </w:r>
            <w:r w:rsidR="000C61C3">
              <w:rPr>
                <w:noProof/>
              </w:rPr>
              <w:tab/>
            </w:r>
            <w:r w:rsidR="000C61C3">
              <w:rPr>
                <w:noProof/>
              </w:rPr>
              <w:fldChar w:fldCharType="begin"/>
            </w:r>
            <w:r w:rsidR="000C61C3">
              <w:rPr>
                <w:noProof/>
              </w:rPr>
              <w:instrText xml:space="preserve"> PAGEREF _Toc238074074 \h </w:instrText>
            </w:r>
            <w:r w:rsidR="000C61C3">
              <w:rPr>
                <w:noProof/>
              </w:rPr>
            </w:r>
            <w:r w:rsidR="000C61C3">
              <w:rPr>
                <w:noProof/>
              </w:rPr>
              <w:fldChar w:fldCharType="separate"/>
            </w:r>
            <w:r w:rsidR="000C61C3">
              <w:rPr>
                <w:noProof/>
              </w:rPr>
              <w:t>22</w:t>
            </w:r>
            <w:r w:rsidR="000C61C3">
              <w:rPr>
                <w:noProof/>
              </w:rPr>
              <w:fldChar w:fldCharType="end"/>
            </w:r>
          </w:hyperlink>
        </w:p>
        <w:p w:rsidR="000C61C3" w:rsidRDefault="00DB2FDC">
          <w:pPr>
            <w:pStyle w:val="30"/>
            <w:tabs>
              <w:tab w:val="right" w:leader="dot" w:pos="8296"/>
            </w:tabs>
            <w:rPr>
              <w:noProof/>
            </w:rPr>
          </w:pPr>
          <w:hyperlink w:anchor="_Toc238074075" w:history="1">
            <w:r w:rsidR="000C61C3" w:rsidRPr="0038566F">
              <w:rPr>
                <w:rStyle w:val="a5"/>
                <w:rFonts w:hint="eastAsia"/>
                <w:noProof/>
              </w:rPr>
              <w:t>三、硬指標二：模型控制權與再訓練能力（滿分</w:t>
            </w:r>
            <w:r w:rsidR="000C61C3" w:rsidRPr="0038566F">
              <w:rPr>
                <w:rStyle w:val="a5"/>
                <w:noProof/>
              </w:rPr>
              <w:t xml:space="preserve"> 8 </w:t>
            </w:r>
            <w:r w:rsidR="000C61C3" w:rsidRPr="0038566F">
              <w:rPr>
                <w:rStyle w:val="a5"/>
                <w:rFonts w:hint="eastAsia"/>
                <w:noProof/>
              </w:rPr>
              <w:t>分）</w:t>
            </w:r>
            <w:r w:rsidR="000C61C3">
              <w:rPr>
                <w:noProof/>
              </w:rPr>
              <w:tab/>
            </w:r>
            <w:r w:rsidR="000C61C3">
              <w:rPr>
                <w:noProof/>
              </w:rPr>
              <w:fldChar w:fldCharType="begin"/>
            </w:r>
            <w:r w:rsidR="000C61C3">
              <w:rPr>
                <w:noProof/>
              </w:rPr>
              <w:instrText xml:space="preserve"> PAGEREF _Toc238074075 \h </w:instrText>
            </w:r>
            <w:r w:rsidR="000C61C3">
              <w:rPr>
                <w:noProof/>
              </w:rPr>
            </w:r>
            <w:r w:rsidR="000C61C3">
              <w:rPr>
                <w:noProof/>
              </w:rPr>
              <w:fldChar w:fldCharType="separate"/>
            </w:r>
            <w:r w:rsidR="000C61C3">
              <w:rPr>
                <w:noProof/>
              </w:rPr>
              <w:t>22</w:t>
            </w:r>
            <w:r w:rsidR="000C61C3">
              <w:rPr>
                <w:noProof/>
              </w:rPr>
              <w:fldChar w:fldCharType="end"/>
            </w:r>
          </w:hyperlink>
        </w:p>
        <w:p w:rsidR="000C61C3" w:rsidRDefault="00DB2FDC">
          <w:pPr>
            <w:pStyle w:val="30"/>
            <w:tabs>
              <w:tab w:val="right" w:leader="dot" w:pos="8296"/>
            </w:tabs>
            <w:rPr>
              <w:noProof/>
            </w:rPr>
          </w:pPr>
          <w:hyperlink w:anchor="_Toc238074076" w:history="1">
            <w:r w:rsidR="000C61C3" w:rsidRPr="0038566F">
              <w:rPr>
                <w:rStyle w:val="a5"/>
                <w:rFonts w:hint="eastAsia"/>
                <w:noProof/>
              </w:rPr>
              <w:t>四、硬指標三：基礎設施依賴與供應商鎖定（滿分</w:t>
            </w:r>
            <w:r w:rsidR="000C61C3" w:rsidRPr="0038566F">
              <w:rPr>
                <w:rStyle w:val="a5"/>
                <w:noProof/>
              </w:rPr>
              <w:t xml:space="preserve"> 6 </w:t>
            </w:r>
            <w:r w:rsidR="000C61C3" w:rsidRPr="0038566F">
              <w:rPr>
                <w:rStyle w:val="a5"/>
                <w:rFonts w:hint="eastAsia"/>
                <w:noProof/>
              </w:rPr>
              <w:t>分）</w:t>
            </w:r>
            <w:r w:rsidR="000C61C3">
              <w:rPr>
                <w:noProof/>
              </w:rPr>
              <w:tab/>
            </w:r>
            <w:r w:rsidR="000C61C3">
              <w:rPr>
                <w:noProof/>
              </w:rPr>
              <w:fldChar w:fldCharType="begin"/>
            </w:r>
            <w:r w:rsidR="000C61C3">
              <w:rPr>
                <w:noProof/>
              </w:rPr>
              <w:instrText xml:space="preserve"> PAGEREF _Toc238074076 \h </w:instrText>
            </w:r>
            <w:r w:rsidR="000C61C3">
              <w:rPr>
                <w:noProof/>
              </w:rPr>
            </w:r>
            <w:r w:rsidR="000C61C3">
              <w:rPr>
                <w:noProof/>
              </w:rPr>
              <w:fldChar w:fldCharType="separate"/>
            </w:r>
            <w:r w:rsidR="000C61C3">
              <w:rPr>
                <w:noProof/>
              </w:rPr>
              <w:t>23</w:t>
            </w:r>
            <w:r w:rsidR="000C61C3">
              <w:rPr>
                <w:noProof/>
              </w:rPr>
              <w:fldChar w:fldCharType="end"/>
            </w:r>
          </w:hyperlink>
        </w:p>
        <w:p w:rsidR="000C61C3" w:rsidRDefault="00DB2FDC">
          <w:pPr>
            <w:pStyle w:val="30"/>
            <w:tabs>
              <w:tab w:val="right" w:leader="dot" w:pos="8296"/>
            </w:tabs>
            <w:rPr>
              <w:noProof/>
            </w:rPr>
          </w:pPr>
          <w:hyperlink w:anchor="_Toc238074077" w:history="1">
            <w:r w:rsidR="000C61C3" w:rsidRPr="0038566F">
              <w:rPr>
                <w:rStyle w:val="a5"/>
                <w:rFonts w:hint="eastAsia"/>
                <w:noProof/>
              </w:rPr>
              <w:t>五、綜合</w:t>
            </w:r>
            <w:r w:rsidR="000C61C3" w:rsidRPr="0038566F">
              <w:rPr>
                <w:rStyle w:val="a5"/>
                <w:noProof/>
              </w:rPr>
              <w:t xml:space="preserve"> MSCC </w:t>
            </w:r>
            <w:r w:rsidR="000C61C3" w:rsidRPr="0038566F">
              <w:rPr>
                <w:rStyle w:val="a5"/>
                <w:rFonts w:hint="eastAsia"/>
                <w:noProof/>
              </w:rPr>
              <w:t>診斷分數</w:t>
            </w:r>
            <w:r w:rsidR="000C61C3">
              <w:rPr>
                <w:noProof/>
              </w:rPr>
              <w:tab/>
            </w:r>
            <w:r w:rsidR="000C61C3">
              <w:rPr>
                <w:noProof/>
              </w:rPr>
              <w:fldChar w:fldCharType="begin"/>
            </w:r>
            <w:r w:rsidR="000C61C3">
              <w:rPr>
                <w:noProof/>
              </w:rPr>
              <w:instrText xml:space="preserve"> PAGEREF _Toc238074077 \h </w:instrText>
            </w:r>
            <w:r w:rsidR="000C61C3">
              <w:rPr>
                <w:noProof/>
              </w:rPr>
            </w:r>
            <w:r w:rsidR="000C61C3">
              <w:rPr>
                <w:noProof/>
              </w:rPr>
              <w:fldChar w:fldCharType="separate"/>
            </w:r>
            <w:r w:rsidR="000C61C3">
              <w:rPr>
                <w:noProof/>
              </w:rPr>
              <w:t>23</w:t>
            </w:r>
            <w:r w:rsidR="000C61C3">
              <w:rPr>
                <w:noProof/>
              </w:rPr>
              <w:fldChar w:fldCharType="end"/>
            </w:r>
          </w:hyperlink>
        </w:p>
        <w:p w:rsidR="000C61C3" w:rsidRDefault="00DB2FDC">
          <w:pPr>
            <w:pStyle w:val="30"/>
            <w:tabs>
              <w:tab w:val="right" w:leader="dot" w:pos="8296"/>
            </w:tabs>
            <w:rPr>
              <w:noProof/>
            </w:rPr>
          </w:pPr>
          <w:hyperlink w:anchor="_Toc238074078" w:history="1">
            <w:r w:rsidR="000C61C3" w:rsidRPr="0038566F">
              <w:rPr>
                <w:rStyle w:val="a5"/>
                <w:rFonts w:hint="eastAsia"/>
                <w:noProof/>
              </w:rPr>
              <w:t>六、實施建議與限制</w:t>
            </w:r>
            <w:r w:rsidR="000C61C3">
              <w:rPr>
                <w:noProof/>
              </w:rPr>
              <w:tab/>
            </w:r>
            <w:r w:rsidR="000C61C3">
              <w:rPr>
                <w:noProof/>
              </w:rPr>
              <w:fldChar w:fldCharType="begin"/>
            </w:r>
            <w:r w:rsidR="000C61C3">
              <w:rPr>
                <w:noProof/>
              </w:rPr>
              <w:instrText xml:space="preserve"> PAGEREF _Toc238074078 \h </w:instrText>
            </w:r>
            <w:r w:rsidR="000C61C3">
              <w:rPr>
                <w:noProof/>
              </w:rPr>
            </w:r>
            <w:r w:rsidR="000C61C3">
              <w:rPr>
                <w:noProof/>
              </w:rPr>
              <w:fldChar w:fldCharType="separate"/>
            </w:r>
            <w:r w:rsidR="000C61C3">
              <w:rPr>
                <w:noProof/>
              </w:rPr>
              <w:t>23</w:t>
            </w:r>
            <w:r w:rsidR="000C61C3">
              <w:rPr>
                <w:noProof/>
              </w:rPr>
              <w:fldChar w:fldCharType="end"/>
            </w:r>
          </w:hyperlink>
        </w:p>
        <w:p w:rsidR="000C61C3" w:rsidRDefault="00DB2FDC">
          <w:pPr>
            <w:pStyle w:val="11"/>
            <w:tabs>
              <w:tab w:val="right" w:leader="dot" w:pos="8296"/>
            </w:tabs>
            <w:rPr>
              <w:noProof/>
            </w:rPr>
          </w:pPr>
          <w:hyperlink w:anchor="_Toc238074079" w:history="1">
            <w:r w:rsidR="000C61C3" w:rsidRPr="0038566F">
              <w:rPr>
                <w:rStyle w:val="a5"/>
                <w:rFonts w:hint="eastAsia"/>
                <w:noProof/>
              </w:rPr>
              <w:t>參考文獻</w:t>
            </w:r>
            <w:r w:rsidR="000C61C3">
              <w:rPr>
                <w:noProof/>
              </w:rPr>
              <w:tab/>
            </w:r>
            <w:r w:rsidR="000C61C3">
              <w:rPr>
                <w:noProof/>
              </w:rPr>
              <w:fldChar w:fldCharType="begin"/>
            </w:r>
            <w:r w:rsidR="000C61C3">
              <w:rPr>
                <w:noProof/>
              </w:rPr>
              <w:instrText xml:space="preserve"> PAGEREF _Toc238074079 \h </w:instrText>
            </w:r>
            <w:r w:rsidR="000C61C3">
              <w:rPr>
                <w:noProof/>
              </w:rPr>
            </w:r>
            <w:r w:rsidR="000C61C3">
              <w:rPr>
                <w:noProof/>
              </w:rPr>
              <w:fldChar w:fldCharType="separate"/>
            </w:r>
            <w:r w:rsidR="000C61C3">
              <w:rPr>
                <w:noProof/>
              </w:rPr>
              <w:t>25</w:t>
            </w:r>
            <w:r w:rsidR="000C61C3">
              <w:rPr>
                <w:noProof/>
              </w:rPr>
              <w:fldChar w:fldCharType="end"/>
            </w:r>
          </w:hyperlink>
        </w:p>
        <w:p w:rsidR="00046118" w:rsidRDefault="007D5CF6">
          <w:r>
            <w:fldChar w:fldCharType="end"/>
          </w:r>
        </w:p>
      </w:sdtContent>
    </w:sdt>
    <w:p w:rsidR="00046118" w:rsidRDefault="007D5CF6">
      <w:pPr>
        <w:spacing w:before="200"/>
      </w:pPr>
      <w:proofErr w:type="gramStart"/>
      <w:r>
        <w:rPr>
          <w:i/>
          <w:iCs/>
          <w:sz w:val="20"/>
          <w:szCs w:val="20"/>
        </w:rPr>
        <w:lastRenderedPageBreak/>
        <w:t>（</w:t>
      </w:r>
      <w:proofErr w:type="gramEnd"/>
      <w:r>
        <w:rPr>
          <w:i/>
          <w:iCs/>
          <w:sz w:val="20"/>
          <w:szCs w:val="20"/>
        </w:rPr>
        <w:t>提醒：於</w:t>
      </w:r>
      <w:r>
        <w:rPr>
          <w:i/>
          <w:iCs/>
          <w:sz w:val="20"/>
          <w:szCs w:val="20"/>
        </w:rPr>
        <w:t xml:space="preserve"> Word </w:t>
      </w:r>
      <w:r>
        <w:rPr>
          <w:i/>
          <w:iCs/>
          <w:sz w:val="20"/>
          <w:szCs w:val="20"/>
        </w:rPr>
        <w:t>中點選上方目錄區塊，按右鍵選擇「更新功能變數」，即可自動產生正確頁碼。）</w:t>
      </w:r>
    </w:p>
    <w:p w:rsidR="00046118" w:rsidRDefault="007D5CF6">
      <w:pPr>
        <w:pStyle w:val="1"/>
        <w:pageBreakBefore/>
      </w:pPr>
      <w:bookmarkStart w:id="1" w:name="_Toc238074039"/>
      <w:r>
        <w:lastRenderedPageBreak/>
        <w:t>第一章</w:t>
      </w:r>
      <w:r>
        <w:t xml:space="preserve"> </w:t>
      </w:r>
      <w:r>
        <w:t>緒論</w:t>
      </w:r>
      <w:bookmarkEnd w:id="1"/>
    </w:p>
    <w:p w:rsidR="00046118" w:rsidRDefault="007D5CF6">
      <w:pPr>
        <w:pStyle w:val="2"/>
        <w:spacing w:before="300"/>
      </w:pPr>
      <w:bookmarkStart w:id="2" w:name="_Toc238074040"/>
      <w:r>
        <w:t>第一節　研究背景與問題意識：未連鎖的治理鏈與預測性行政風險</w:t>
      </w:r>
      <w:bookmarkEnd w:id="2"/>
    </w:p>
    <w:p w:rsidR="00046118" w:rsidRDefault="007D5CF6">
      <w:pPr>
        <w:spacing w:after="200" w:line="360" w:lineRule="auto"/>
        <w:jc w:val="both"/>
      </w:pPr>
      <w:r>
        <w:t>在數位政府與</w:t>
      </w:r>
      <w:proofErr w:type="gramStart"/>
      <w:r>
        <w:t>前瞻資通訊</w:t>
      </w:r>
      <w:proofErr w:type="gramEnd"/>
      <w:r>
        <w:t>政策推展下，預測性演算法已從單純的後端資料整理，跨足至前端的資源配置、風險分流與行政裁量輔助。從稅務抽查、社會福利資格審查，到公法上金錢給付義務之執行分流，演算法被賦予了提升行政效率與精</w:t>
      </w:r>
      <w:proofErr w:type="gramStart"/>
      <w:r>
        <w:t>準</w:t>
      </w:r>
      <w:proofErr w:type="gramEnd"/>
      <w:r>
        <w:t>度的極高期待。</w:t>
      </w:r>
    </w:p>
    <w:p w:rsidR="00046118" w:rsidRDefault="007D5CF6">
      <w:pPr>
        <w:spacing w:after="200" w:line="360" w:lineRule="auto"/>
        <w:jc w:val="both"/>
      </w:pPr>
      <w:r>
        <w:t>然而，當公權力機關引進預測性技術時，我國現行公共行政體制面臨了一個根本性的系統風險：主導「採購標準」的數位發展部、主導「第一線執法」的法務部（及各業務部會），與主導「事後監督」的審計部</w:t>
      </w:r>
      <w:proofErr w:type="gramStart"/>
      <w:r>
        <w:t>之間，</w:t>
      </w:r>
      <w:proofErr w:type="gramEnd"/>
      <w:r>
        <w:t>缺乏以演算法控制權為核心的「橫向連鎖鏈結（</w:t>
      </w:r>
      <w:r>
        <w:t>Inter-institutional Linkage</w:t>
      </w:r>
      <w:r>
        <w:t>）」。現行體制看似各司其職，實則存在三方</w:t>
      </w:r>
      <w:proofErr w:type="gramStart"/>
      <w:r>
        <w:t>橫向斷鏈的</w:t>
      </w:r>
      <w:proofErr w:type="gramEnd"/>
      <w:r>
        <w:t>深層實務落差，創造了極易導向「國家擔保責任空洞化」的治理真空。</w:t>
      </w:r>
    </w:p>
    <w:p w:rsidR="00046118" w:rsidRDefault="007D5CF6">
      <w:pPr>
        <w:spacing w:before="200" w:after="120"/>
        <w:jc w:val="center"/>
      </w:pPr>
      <w:r>
        <w:rPr>
          <w:b/>
          <w:bCs/>
        </w:rPr>
        <w:t>表</w:t>
      </w:r>
      <w:r>
        <w:rPr>
          <w:b/>
          <w:bCs/>
        </w:rPr>
        <w:t xml:space="preserve"> 1-1</w:t>
      </w:r>
      <w:r>
        <w:rPr>
          <w:b/>
          <w:bCs/>
        </w:rPr>
        <w:t>：現行</w:t>
      </w:r>
      <w:proofErr w:type="gramStart"/>
      <w:r>
        <w:rPr>
          <w:b/>
          <w:bCs/>
        </w:rPr>
        <w:t>三</w:t>
      </w:r>
      <w:proofErr w:type="gramEnd"/>
      <w:r>
        <w:rPr>
          <w:b/>
          <w:bCs/>
        </w:rPr>
        <w:t>機關資通訊與</w:t>
      </w:r>
      <w:r>
        <w:rPr>
          <w:b/>
          <w:bCs/>
        </w:rPr>
        <w:t xml:space="preserve"> AI </w:t>
      </w:r>
      <w:r>
        <w:rPr>
          <w:b/>
          <w:bCs/>
        </w:rPr>
        <w:t>治理之實務落差</w:t>
      </w:r>
      <w:proofErr w:type="gramStart"/>
      <w:r>
        <w:rPr>
          <w:b/>
          <w:bCs/>
        </w:rPr>
        <w:t>與斷鏈分</w:t>
      </w:r>
      <w:proofErr w:type="gramEnd"/>
      <w:r>
        <w:rPr>
          <w:b/>
          <w:bCs/>
        </w:rPr>
        <w:t>析</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3250"/>
        <w:gridCol w:w="3250"/>
      </w:tblGrid>
      <w:tr w:rsidR="00046118">
        <w:trPr>
          <w:tblHeader/>
        </w:trPr>
        <w:tc>
          <w:tcPr>
            <w:tcW w:w="18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機關／階段</w:t>
            </w:r>
          </w:p>
        </w:tc>
        <w:tc>
          <w:tcPr>
            <w:tcW w:w="32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現行治理工具與實務焦點</w:t>
            </w:r>
          </w:p>
        </w:tc>
        <w:tc>
          <w:tcPr>
            <w:tcW w:w="32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與預測性行政之「</w:t>
            </w:r>
            <w:proofErr w:type="gramStart"/>
            <w:r>
              <w:rPr>
                <w:b/>
                <w:bCs/>
                <w:sz w:val="22"/>
                <w:szCs w:val="22"/>
              </w:rPr>
              <w:t>連鎖斷鏈</w:t>
            </w:r>
            <w:proofErr w:type="gramEnd"/>
            <w:r>
              <w:rPr>
                <w:b/>
                <w:bCs/>
                <w:sz w:val="22"/>
                <w:szCs w:val="22"/>
              </w:rPr>
              <w:t>」實務落差</w:t>
            </w:r>
          </w:p>
        </w:tc>
      </w:tr>
      <w:tr w:rsidR="00046118">
        <w:tc>
          <w:tcPr>
            <w:tcW w:w="1800" w:type="dxa"/>
            <w:tcMar>
              <w:top w:w="100" w:type="dxa"/>
              <w:left w:w="120" w:type="dxa"/>
              <w:bottom w:w="100" w:type="dxa"/>
              <w:right w:w="120" w:type="dxa"/>
            </w:tcMar>
            <w:vAlign w:val="center"/>
          </w:tcPr>
          <w:p w:rsidR="00046118" w:rsidRDefault="007D5CF6">
            <w:pPr>
              <w:spacing w:after="60" w:line="300" w:lineRule="auto"/>
            </w:pPr>
            <w:r>
              <w:rPr>
                <w:sz w:val="22"/>
                <w:szCs w:val="22"/>
              </w:rPr>
              <w:t>採購端（數位發展部）</w:t>
            </w:r>
          </w:p>
        </w:tc>
        <w:tc>
          <w:tcPr>
            <w:tcW w:w="3250" w:type="dxa"/>
            <w:tcMar>
              <w:top w:w="100" w:type="dxa"/>
              <w:left w:w="120" w:type="dxa"/>
              <w:bottom w:w="100" w:type="dxa"/>
              <w:right w:w="120" w:type="dxa"/>
            </w:tcMar>
            <w:vAlign w:val="center"/>
          </w:tcPr>
          <w:p w:rsidR="00046118" w:rsidRDefault="007D5CF6">
            <w:pPr>
              <w:spacing w:after="60" w:line="300" w:lineRule="auto"/>
            </w:pPr>
            <w:r>
              <w:rPr>
                <w:sz w:val="22"/>
                <w:szCs w:val="22"/>
              </w:rPr>
              <w:t>《行政院及所屬機關（構）使用生成式</w:t>
            </w:r>
            <w:r>
              <w:rPr>
                <w:sz w:val="22"/>
                <w:szCs w:val="22"/>
              </w:rPr>
              <w:t>AI</w:t>
            </w:r>
            <w:r>
              <w:rPr>
                <w:sz w:val="22"/>
                <w:szCs w:val="22"/>
              </w:rPr>
              <w:t>參考指引》、政府軟體共</w:t>
            </w:r>
            <w:proofErr w:type="gramStart"/>
            <w:r>
              <w:rPr>
                <w:sz w:val="22"/>
                <w:szCs w:val="22"/>
              </w:rPr>
              <w:t>契與資安採</w:t>
            </w:r>
            <w:proofErr w:type="gramEnd"/>
            <w:r>
              <w:rPr>
                <w:sz w:val="22"/>
                <w:szCs w:val="22"/>
              </w:rPr>
              <w:t>購規範</w:t>
            </w:r>
          </w:p>
        </w:tc>
        <w:tc>
          <w:tcPr>
            <w:tcW w:w="3250" w:type="dxa"/>
            <w:tcMar>
              <w:top w:w="100" w:type="dxa"/>
              <w:left w:w="120" w:type="dxa"/>
              <w:bottom w:w="100" w:type="dxa"/>
              <w:right w:w="120" w:type="dxa"/>
            </w:tcMar>
            <w:vAlign w:val="center"/>
          </w:tcPr>
          <w:p w:rsidR="00046118" w:rsidRDefault="007D5CF6">
            <w:pPr>
              <w:spacing w:after="60" w:line="300" w:lineRule="auto"/>
            </w:pPr>
            <w:r>
              <w:rPr>
                <w:sz w:val="22"/>
                <w:szCs w:val="22"/>
              </w:rPr>
              <w:t>缺乏「實質控制權」採購規範：規範聚焦</w:t>
            </w:r>
            <w:proofErr w:type="gramStart"/>
            <w:r>
              <w:rPr>
                <w:sz w:val="22"/>
                <w:szCs w:val="22"/>
              </w:rPr>
              <w:t>於資安與</w:t>
            </w:r>
            <w:proofErr w:type="gramEnd"/>
            <w:r>
              <w:rPr>
                <w:sz w:val="22"/>
                <w:szCs w:val="22"/>
              </w:rPr>
              <w:t>個資，未強制廠商交付模型權重、演算法可</w:t>
            </w:r>
            <w:proofErr w:type="gramStart"/>
            <w:r>
              <w:rPr>
                <w:sz w:val="22"/>
                <w:szCs w:val="22"/>
              </w:rPr>
              <w:t>調校權</w:t>
            </w:r>
            <w:proofErr w:type="gramEnd"/>
            <w:r>
              <w:rPr>
                <w:sz w:val="22"/>
                <w:szCs w:val="22"/>
              </w:rPr>
              <w:t>或開源邏輯，導致機關甫完成採購即陷入廠商技術鎖定（</w:t>
            </w:r>
            <w:r>
              <w:rPr>
                <w:sz w:val="22"/>
                <w:szCs w:val="22"/>
              </w:rPr>
              <w:t>Vendor Lock-in</w:t>
            </w:r>
            <w:r>
              <w:rPr>
                <w:sz w:val="22"/>
                <w:szCs w:val="22"/>
              </w:rPr>
              <w:t>）。</w:t>
            </w:r>
          </w:p>
        </w:tc>
      </w:tr>
      <w:tr w:rsidR="00046118">
        <w:tc>
          <w:tcPr>
            <w:tcW w:w="1800" w:type="dxa"/>
            <w:tcMar>
              <w:top w:w="100" w:type="dxa"/>
              <w:left w:w="120" w:type="dxa"/>
              <w:bottom w:w="100" w:type="dxa"/>
              <w:right w:w="120" w:type="dxa"/>
            </w:tcMar>
            <w:vAlign w:val="center"/>
          </w:tcPr>
          <w:p w:rsidR="00046118" w:rsidRDefault="007D5CF6">
            <w:pPr>
              <w:spacing w:after="60" w:line="300" w:lineRule="auto"/>
            </w:pPr>
            <w:r>
              <w:rPr>
                <w:sz w:val="22"/>
                <w:szCs w:val="22"/>
              </w:rPr>
              <w:t>執行端（法務部／第一線）</w:t>
            </w:r>
          </w:p>
        </w:tc>
        <w:tc>
          <w:tcPr>
            <w:tcW w:w="3250" w:type="dxa"/>
            <w:tcMar>
              <w:top w:w="100" w:type="dxa"/>
              <w:left w:w="120" w:type="dxa"/>
              <w:bottom w:w="100" w:type="dxa"/>
              <w:right w:w="120" w:type="dxa"/>
            </w:tcMar>
            <w:vAlign w:val="center"/>
          </w:tcPr>
          <w:p w:rsidR="00046118" w:rsidRDefault="007D5CF6">
            <w:pPr>
              <w:spacing w:after="60" w:line="300" w:lineRule="auto"/>
            </w:pPr>
            <w:r>
              <w:rPr>
                <w:sz w:val="22"/>
                <w:szCs w:val="22"/>
              </w:rPr>
              <w:t>各機關內部作業要點、行政程序法裁量原則</w:t>
            </w:r>
          </w:p>
        </w:tc>
        <w:tc>
          <w:tcPr>
            <w:tcW w:w="3250" w:type="dxa"/>
            <w:tcMar>
              <w:top w:w="100" w:type="dxa"/>
              <w:left w:w="120" w:type="dxa"/>
              <w:bottom w:w="100" w:type="dxa"/>
              <w:right w:w="120" w:type="dxa"/>
            </w:tcMar>
            <w:vAlign w:val="center"/>
          </w:tcPr>
          <w:p w:rsidR="00046118" w:rsidRDefault="007D5CF6">
            <w:pPr>
              <w:spacing w:after="60" w:line="300" w:lineRule="auto"/>
            </w:pPr>
            <w:r>
              <w:rPr>
                <w:sz w:val="22"/>
                <w:szCs w:val="22"/>
              </w:rPr>
              <w:t>缺乏「技術抵抗與微調工具」：第一線官員雖被要求負擔最終行政責任，但面對黑盒模型，缺乏能微調變數或切斷系統的法制與技術工具，致使「人工查核」流於形式，誘發</w:t>
            </w:r>
            <w:proofErr w:type="gramStart"/>
            <w:r>
              <w:rPr>
                <w:sz w:val="22"/>
                <w:szCs w:val="22"/>
              </w:rPr>
              <w:t>自動化偏誤</w:t>
            </w:r>
            <w:proofErr w:type="gramEnd"/>
            <w:r>
              <w:rPr>
                <w:sz w:val="22"/>
                <w:szCs w:val="22"/>
              </w:rPr>
              <w:t>。</w:t>
            </w:r>
          </w:p>
        </w:tc>
      </w:tr>
      <w:tr w:rsidR="00046118">
        <w:tc>
          <w:tcPr>
            <w:tcW w:w="1800" w:type="dxa"/>
            <w:tcMar>
              <w:top w:w="100" w:type="dxa"/>
              <w:left w:w="120" w:type="dxa"/>
              <w:bottom w:w="100" w:type="dxa"/>
              <w:right w:w="120" w:type="dxa"/>
            </w:tcMar>
            <w:vAlign w:val="center"/>
          </w:tcPr>
          <w:p w:rsidR="00046118" w:rsidRDefault="007D5CF6">
            <w:pPr>
              <w:spacing w:after="60" w:line="300" w:lineRule="auto"/>
            </w:pPr>
            <w:r>
              <w:rPr>
                <w:sz w:val="22"/>
                <w:szCs w:val="22"/>
              </w:rPr>
              <w:t>稽核端（審計</w:t>
            </w:r>
            <w:r>
              <w:rPr>
                <w:sz w:val="22"/>
                <w:szCs w:val="22"/>
              </w:rPr>
              <w:lastRenderedPageBreak/>
              <w:t>部）</w:t>
            </w:r>
          </w:p>
        </w:tc>
        <w:tc>
          <w:tcPr>
            <w:tcW w:w="3250" w:type="dxa"/>
            <w:tcMar>
              <w:top w:w="100" w:type="dxa"/>
              <w:left w:w="120" w:type="dxa"/>
              <w:bottom w:w="100" w:type="dxa"/>
              <w:right w:w="120" w:type="dxa"/>
            </w:tcMar>
            <w:vAlign w:val="center"/>
          </w:tcPr>
          <w:p w:rsidR="00046118" w:rsidRDefault="007D5CF6">
            <w:pPr>
              <w:spacing w:after="60" w:line="300" w:lineRule="auto"/>
            </w:pPr>
            <w:r>
              <w:rPr>
                <w:sz w:val="22"/>
                <w:szCs w:val="22"/>
              </w:rPr>
              <w:lastRenderedPageBreak/>
              <w:t>《審計法》、中央政府總決算</w:t>
            </w:r>
            <w:r>
              <w:rPr>
                <w:sz w:val="22"/>
                <w:szCs w:val="22"/>
              </w:rPr>
              <w:lastRenderedPageBreak/>
              <w:t>審核報告</w:t>
            </w:r>
          </w:p>
        </w:tc>
        <w:tc>
          <w:tcPr>
            <w:tcW w:w="3250" w:type="dxa"/>
            <w:tcMar>
              <w:top w:w="100" w:type="dxa"/>
              <w:left w:w="120" w:type="dxa"/>
              <w:bottom w:w="100" w:type="dxa"/>
              <w:right w:w="120" w:type="dxa"/>
            </w:tcMar>
            <w:vAlign w:val="center"/>
          </w:tcPr>
          <w:p w:rsidR="00046118" w:rsidRDefault="007D5CF6">
            <w:pPr>
              <w:spacing w:after="60" w:line="300" w:lineRule="auto"/>
            </w:pPr>
            <w:r>
              <w:rPr>
                <w:sz w:val="22"/>
                <w:szCs w:val="22"/>
              </w:rPr>
              <w:lastRenderedPageBreak/>
              <w:t>缺乏「演算法穿透性稽核抓手」：審計實務偏重財務合</w:t>
            </w:r>
            <w:proofErr w:type="gramStart"/>
            <w:r>
              <w:rPr>
                <w:sz w:val="22"/>
                <w:szCs w:val="22"/>
              </w:rPr>
              <w:t>規</w:t>
            </w:r>
            <w:proofErr w:type="gramEnd"/>
            <w:r>
              <w:rPr>
                <w:sz w:val="22"/>
                <w:szCs w:val="22"/>
              </w:rPr>
              <w:lastRenderedPageBreak/>
              <w:t>與預算執行率，面對動態運算的機器學習模型，缺乏程序性與模型運算邏輯的稽核標準，致使監督僅能停留在靜態核章。</w:t>
            </w:r>
          </w:p>
        </w:tc>
      </w:tr>
    </w:tbl>
    <w:p w:rsidR="00046118" w:rsidRDefault="007D5CF6">
      <w:pPr>
        <w:spacing w:after="200" w:line="360" w:lineRule="auto"/>
        <w:jc w:val="both"/>
      </w:pPr>
      <w:r>
        <w:lastRenderedPageBreak/>
        <w:t>具體而言，這種三機關縱向未連鎖、橫向未銜接的治理真空，為預測性行政帶來了三階段結構性風險：</w:t>
      </w:r>
    </w:p>
    <w:p w:rsidR="00046118" w:rsidRDefault="007D5CF6">
      <w:pPr>
        <w:spacing w:after="160" w:line="360" w:lineRule="auto"/>
      </w:pPr>
      <w:r>
        <w:rPr>
          <w:b/>
          <w:bCs/>
        </w:rPr>
        <w:t>1.</w:t>
      </w:r>
      <w:r>
        <w:rPr>
          <w:b/>
          <w:bCs/>
        </w:rPr>
        <w:t xml:space="preserve">　採購與執行端落差</w:t>
      </w:r>
      <w:proofErr w:type="gramStart"/>
      <w:r>
        <w:rPr>
          <w:b/>
          <w:bCs/>
        </w:rPr>
        <w:t>（</w:t>
      </w:r>
      <w:proofErr w:type="gramEnd"/>
      <w:r>
        <w:rPr>
          <w:b/>
          <w:bCs/>
        </w:rPr>
        <w:t>數發部</w:t>
      </w:r>
      <w:r>
        <w:rPr>
          <w:b/>
          <w:bCs/>
        </w:rPr>
        <w:t xml:space="preserve"> vs. </w:t>
      </w:r>
      <w:r>
        <w:rPr>
          <w:b/>
          <w:bCs/>
        </w:rPr>
        <w:t>法務部</w:t>
      </w:r>
      <w:proofErr w:type="gramStart"/>
      <w:r>
        <w:rPr>
          <w:b/>
          <w:bCs/>
        </w:rPr>
        <w:t>）</w:t>
      </w:r>
      <w:proofErr w:type="gramEnd"/>
      <w:r>
        <w:rPr>
          <w:b/>
          <w:bCs/>
        </w:rPr>
        <w:t>：標準與技術能力不對等</w:t>
      </w:r>
    </w:p>
    <w:p w:rsidR="00046118" w:rsidRDefault="007D5CF6">
      <w:pPr>
        <w:spacing w:after="200" w:line="360" w:lineRule="auto"/>
        <w:jc w:val="both"/>
      </w:pPr>
      <w:r>
        <w:t>數發部指引雖揭示「</w:t>
      </w:r>
      <w:r>
        <w:t xml:space="preserve">AI </w:t>
      </w:r>
      <w:r>
        <w:t>產出內容必須經過人工查核後方可使用」，但在執行端（如法務部及所屬機關），由於採購階段並未取得模型調校與變數控制權，第一線公務員接收黑盒模型後，既缺乏調整參數與自主再訓練（</w:t>
      </w:r>
      <w:r>
        <w:t>Retraining</w:t>
      </w:r>
      <w:r>
        <w:t>）的技術能力，又面臨辦案時效壓力，致使公務員極易產生「</w:t>
      </w:r>
      <w:proofErr w:type="gramStart"/>
      <w:r>
        <w:t>自動化偏誤</w:t>
      </w:r>
      <w:proofErr w:type="gramEnd"/>
      <w:r>
        <w:t>（</w:t>
      </w:r>
      <w:r>
        <w:t>Automation Bias</w:t>
      </w:r>
      <w:r>
        <w:t>）」，將預測分數</w:t>
      </w:r>
      <w:proofErr w:type="gramStart"/>
      <w:r>
        <w:t>作為唯案</w:t>
      </w:r>
      <w:proofErr w:type="gramEnd"/>
      <w:r>
        <w:t>是從的裁量依據。當第一線官員喪失實質異議與切斷系統的能力，國家行政擔保責任即在執行階段發生實質斷裂。</w:t>
      </w:r>
    </w:p>
    <w:p w:rsidR="00046118" w:rsidRDefault="007D5CF6">
      <w:pPr>
        <w:spacing w:after="160" w:line="360" w:lineRule="auto"/>
      </w:pPr>
      <w:r>
        <w:rPr>
          <w:b/>
          <w:bCs/>
        </w:rPr>
        <w:t>2.</w:t>
      </w:r>
      <w:r>
        <w:rPr>
          <w:b/>
          <w:bCs/>
        </w:rPr>
        <w:t xml:space="preserve">　採購與稽核端落差</w:t>
      </w:r>
      <w:proofErr w:type="gramStart"/>
      <w:r>
        <w:rPr>
          <w:b/>
          <w:bCs/>
        </w:rPr>
        <w:t>（</w:t>
      </w:r>
      <w:proofErr w:type="gramEnd"/>
      <w:r>
        <w:rPr>
          <w:b/>
          <w:bCs/>
        </w:rPr>
        <w:t>數發部</w:t>
      </w:r>
      <w:r>
        <w:rPr>
          <w:b/>
          <w:bCs/>
        </w:rPr>
        <w:t xml:space="preserve"> vs. </w:t>
      </w:r>
      <w:r>
        <w:rPr>
          <w:b/>
          <w:bCs/>
        </w:rPr>
        <w:t>審計部</w:t>
      </w:r>
      <w:proofErr w:type="gramStart"/>
      <w:r>
        <w:rPr>
          <w:b/>
          <w:bCs/>
        </w:rPr>
        <w:t>）</w:t>
      </w:r>
      <w:proofErr w:type="gramEnd"/>
      <w:r>
        <w:rPr>
          <w:b/>
          <w:bCs/>
        </w:rPr>
        <w:t>：採購規範忽視可審計性</w:t>
      </w:r>
    </w:p>
    <w:p w:rsidR="00046118" w:rsidRDefault="007D5CF6">
      <w:pPr>
        <w:spacing w:after="200" w:line="360" w:lineRule="auto"/>
        <w:jc w:val="both"/>
      </w:pPr>
      <w:r>
        <w:t>數</w:t>
      </w:r>
      <w:proofErr w:type="gramStart"/>
      <w:r>
        <w:t>發部的資</w:t>
      </w:r>
      <w:proofErr w:type="gramEnd"/>
      <w:r>
        <w:t>通訊採購規範並未將「事後可審計性（</w:t>
      </w:r>
      <w:r>
        <w:t>Auditability</w:t>
      </w:r>
      <w:r>
        <w:t>）」納為系統預設規格；而審計部現行的審計工具庫中，亦</w:t>
      </w:r>
      <w:proofErr w:type="gramStart"/>
      <w:r>
        <w:t>缺乏免看原始碼</w:t>
      </w:r>
      <w:proofErr w:type="gramEnd"/>
      <w:r>
        <w:t>即可實施的「程序性控制權稽核標準」。這導致採購進來的系統從第一天起就無法被獨立稽核，審計機關事後監督只能淪為形式上的決算審查。</w:t>
      </w:r>
    </w:p>
    <w:p w:rsidR="00046118" w:rsidRDefault="007D5CF6">
      <w:pPr>
        <w:spacing w:after="160" w:line="360" w:lineRule="auto"/>
      </w:pPr>
      <w:r>
        <w:rPr>
          <w:b/>
          <w:bCs/>
        </w:rPr>
        <w:t>3.</w:t>
      </w:r>
      <w:r>
        <w:rPr>
          <w:b/>
          <w:bCs/>
        </w:rPr>
        <w:t xml:space="preserve">　執行與稽核端落差</w:t>
      </w:r>
      <w:proofErr w:type="gramStart"/>
      <w:r>
        <w:rPr>
          <w:b/>
          <w:bCs/>
        </w:rPr>
        <w:t>（</w:t>
      </w:r>
      <w:proofErr w:type="gramEnd"/>
      <w:r>
        <w:rPr>
          <w:b/>
          <w:bCs/>
        </w:rPr>
        <w:t>法務部</w:t>
      </w:r>
      <w:r>
        <w:rPr>
          <w:b/>
          <w:bCs/>
        </w:rPr>
        <w:t xml:space="preserve"> vs. </w:t>
      </w:r>
      <w:r>
        <w:rPr>
          <w:b/>
          <w:bCs/>
        </w:rPr>
        <w:t>審計部</w:t>
      </w:r>
      <w:proofErr w:type="gramStart"/>
      <w:r>
        <w:rPr>
          <w:b/>
          <w:bCs/>
        </w:rPr>
        <w:t>）</w:t>
      </w:r>
      <w:proofErr w:type="gramEnd"/>
      <w:r>
        <w:rPr>
          <w:b/>
          <w:bCs/>
        </w:rPr>
        <w:t>：責任歸屬與監</w:t>
      </w:r>
      <w:proofErr w:type="gramStart"/>
      <w:r>
        <w:rPr>
          <w:b/>
          <w:bCs/>
        </w:rPr>
        <w:t>理抓手失</w:t>
      </w:r>
      <w:proofErr w:type="gramEnd"/>
      <w:r>
        <w:rPr>
          <w:b/>
          <w:bCs/>
        </w:rPr>
        <w:t>聯</w:t>
      </w:r>
    </w:p>
    <w:p w:rsidR="00046118" w:rsidRDefault="007D5CF6">
      <w:pPr>
        <w:spacing w:after="200" w:line="360" w:lineRule="auto"/>
        <w:jc w:val="both"/>
      </w:pPr>
      <w:r>
        <w:t>法務部第一線執法人員承擔處分合法性與保障人民權益的最終責任，但審計部事後稽核僅能對「處分結果」或「核銷手續」進行靜態審核，無法</w:t>
      </w:r>
      <w:proofErr w:type="gramStart"/>
      <w:r>
        <w:t>釐</w:t>
      </w:r>
      <w:proofErr w:type="gramEnd"/>
      <w:r>
        <w:t>清「公務員是否因盲從</w:t>
      </w:r>
      <w:proofErr w:type="gramStart"/>
      <w:r>
        <w:t>演算法偏誤</w:t>
      </w:r>
      <w:proofErr w:type="gramEnd"/>
      <w:r>
        <w:t>而導致裁量濫用」。</w:t>
      </w:r>
    </w:p>
    <w:p w:rsidR="00046118" w:rsidRDefault="007D5CF6">
      <w:pPr>
        <w:spacing w:after="200" w:line="360" w:lineRule="auto"/>
        <w:jc w:val="both"/>
      </w:pPr>
      <w:r>
        <w:t>這種「採購的不管執行能不能接管，執行的改不動系統只能盲從，稽核的看不</w:t>
      </w:r>
      <w:r>
        <w:lastRenderedPageBreak/>
        <w:t>太懂演算法只能蓋章」</w:t>
      </w:r>
      <w:proofErr w:type="gramStart"/>
      <w:r>
        <w:t>的斷鏈現狀</w:t>
      </w:r>
      <w:proofErr w:type="gramEnd"/>
      <w:r>
        <w:t>，證明要求公務員憑一己之力抵抗</w:t>
      </w:r>
      <w:proofErr w:type="gramStart"/>
      <w:r>
        <w:t>演算法偏誤無</w:t>
      </w:r>
      <w:proofErr w:type="gramEnd"/>
      <w:r>
        <w:t>異於緣木求魚（</w:t>
      </w:r>
      <w:r>
        <w:t xml:space="preserve">Citron, 2008; </w:t>
      </w:r>
      <w:proofErr w:type="spellStart"/>
      <w:r>
        <w:t>Elish</w:t>
      </w:r>
      <w:proofErr w:type="spellEnd"/>
      <w:r>
        <w:t>, 2019</w:t>
      </w:r>
      <w:proofErr w:type="gramStart"/>
      <w:r>
        <w:t>）</w:t>
      </w:r>
      <w:proofErr w:type="gramEnd"/>
      <w:r>
        <w:t>。因此，本研究的核心問題意識旨在回應此一系統性困局：公共行政體系如何跨越「採購</w:t>
      </w:r>
      <w:proofErr w:type="gramStart"/>
      <w:r>
        <w:t>—</w:t>
      </w:r>
      <w:proofErr w:type="gramEnd"/>
      <w:r>
        <w:t>執行</w:t>
      </w:r>
      <w:r>
        <w:t>—</w:t>
      </w:r>
      <w:r>
        <w:t>稽核」的三方</w:t>
      </w:r>
      <w:proofErr w:type="gramStart"/>
      <w:r>
        <w:t>連鎖斷</w:t>
      </w:r>
      <w:proofErr w:type="gramEnd"/>
      <w:r>
        <w:t>鏈？能否以法務部行政執行署宜蘭分署之清償率模型為經驗基準，建立一套橫跨數發部、</w:t>
      </w:r>
      <w:proofErr w:type="gramStart"/>
      <w:r>
        <w:t>審計部與法務部</w:t>
      </w:r>
      <w:proofErr w:type="gramEnd"/>
      <w:r>
        <w:t>均可操作的「低結構性分離硬指標」與協同機制？</w:t>
      </w:r>
    </w:p>
    <w:p w:rsidR="00046118" w:rsidRDefault="007D5CF6">
      <w:pPr>
        <w:pStyle w:val="2"/>
        <w:spacing w:before="300"/>
      </w:pPr>
      <w:bookmarkStart w:id="3" w:name="_Toc238074041"/>
      <w:r>
        <w:t>第二節　研究目的與問題</w:t>
      </w:r>
      <w:bookmarkEnd w:id="3"/>
    </w:p>
    <w:p w:rsidR="00046118" w:rsidRDefault="007D5CF6">
      <w:pPr>
        <w:spacing w:after="200" w:line="360" w:lineRule="auto"/>
        <w:jc w:val="both"/>
      </w:pPr>
      <w:r>
        <w:t>本研究旨在透過檢驗宜蘭分署「清償率預測模型」之經驗，達到以下三項研究目的：</w:t>
      </w:r>
    </w:p>
    <w:p w:rsidR="00046118" w:rsidRDefault="007D5CF6">
      <w:pPr>
        <w:spacing w:after="200" w:line="360" w:lineRule="auto"/>
        <w:ind w:left="480" w:hanging="480"/>
        <w:jc w:val="both"/>
      </w:pPr>
      <w:r>
        <w:rPr>
          <w:b/>
          <w:bCs/>
        </w:rPr>
        <w:t xml:space="preserve">1. </w:t>
      </w:r>
      <w:r>
        <w:rPr>
          <w:b/>
          <w:bCs/>
        </w:rPr>
        <w:t>建構回應三</w:t>
      </w:r>
      <w:proofErr w:type="gramStart"/>
      <w:r>
        <w:rPr>
          <w:b/>
          <w:bCs/>
        </w:rPr>
        <w:t>方斷鏈</w:t>
      </w:r>
      <w:proofErr w:type="gramEnd"/>
      <w:r>
        <w:rPr>
          <w:b/>
          <w:bCs/>
        </w:rPr>
        <w:t>的「結構性分離硬指標」分析架構：</w:t>
      </w:r>
      <w:r>
        <w:t>從契約權力、模型控制權與基礎設施依賴度等三個維度，界定機關是否具備「最低實質控制能力」（</w:t>
      </w:r>
      <w:r>
        <w:t>MSCC</w:t>
      </w:r>
      <w:r>
        <w:t>）。</w:t>
      </w:r>
    </w:p>
    <w:p w:rsidR="00046118" w:rsidRDefault="007D5CF6">
      <w:pPr>
        <w:spacing w:after="200" w:line="360" w:lineRule="auto"/>
        <w:ind w:left="480" w:hanging="480"/>
        <w:jc w:val="both"/>
      </w:pPr>
      <w:r>
        <w:rPr>
          <w:b/>
          <w:bCs/>
        </w:rPr>
        <w:t xml:space="preserve">2. </w:t>
      </w:r>
      <w:r>
        <w:rPr>
          <w:b/>
          <w:bCs/>
        </w:rPr>
        <w:t>檢驗宜蘭分署清償率模型之「低結構性分離」屬性：</w:t>
      </w:r>
      <w:r>
        <w:t>透過公開之官方報告、審計專題、學術發表與專案資料，評估該模型在三項硬指標上的表現與防禦技術鎖定之能力。</w:t>
      </w:r>
    </w:p>
    <w:p w:rsidR="00046118" w:rsidRDefault="007D5CF6">
      <w:pPr>
        <w:spacing w:after="200" w:line="360" w:lineRule="auto"/>
        <w:ind w:left="480" w:hanging="480"/>
        <w:jc w:val="both"/>
      </w:pPr>
      <w:r>
        <w:rPr>
          <w:b/>
          <w:bCs/>
        </w:rPr>
        <w:t xml:space="preserve">3. </w:t>
      </w:r>
      <w:r>
        <w:rPr>
          <w:b/>
          <w:bCs/>
        </w:rPr>
        <w:t>建立</w:t>
      </w:r>
      <w:proofErr w:type="gramStart"/>
      <w:r>
        <w:rPr>
          <w:b/>
          <w:bCs/>
        </w:rPr>
        <w:t>三</w:t>
      </w:r>
      <w:proofErr w:type="gramEnd"/>
      <w:r>
        <w:rPr>
          <w:b/>
          <w:bCs/>
        </w:rPr>
        <w:t>機關協同治理之實踐路徑：</w:t>
      </w:r>
      <w:r>
        <w:t>基於個案檢驗結果，為數位發展部（採購）、審計部（稽核）與法務部（執法）提供具體可操作之制度化治理工具，連結斷裂的治理鏈。</w:t>
      </w:r>
    </w:p>
    <w:p w:rsidR="00046118" w:rsidRDefault="007D5CF6">
      <w:pPr>
        <w:pStyle w:val="2"/>
        <w:spacing w:before="300"/>
      </w:pPr>
      <w:bookmarkStart w:id="4" w:name="_Toc238074042"/>
      <w:r>
        <w:t>第三節　研究方法與資料來源</w:t>
      </w:r>
      <w:bookmarkEnd w:id="4"/>
    </w:p>
    <w:p w:rsidR="00046118" w:rsidRDefault="007D5CF6">
      <w:pPr>
        <w:spacing w:after="200" w:line="360" w:lineRule="auto"/>
        <w:jc w:val="both"/>
      </w:pPr>
      <w:r>
        <w:t>本研究採取</w:t>
      </w:r>
      <w:r>
        <w:t xml:space="preserve"> Desk-based </w:t>
      </w:r>
      <w:r>
        <w:t>文件分析法（</w:t>
      </w:r>
      <w:r>
        <w:t>Documentary Analysis</w:t>
      </w:r>
      <w:r>
        <w:t>）與結構化個案研究法。由於本研究關注的是「組織層面之結構性控制權與公開制度設計」，而非特定個案之演算法原始碼（</w:t>
      </w:r>
      <w:r>
        <w:t>Source Code</w:t>
      </w:r>
      <w:r>
        <w:t>），因此資料收集範圍限定於以下公開可取得之次級資料（</w:t>
      </w:r>
      <w:r>
        <w:t>Secondary Data</w:t>
      </w:r>
      <w:r>
        <w:t>）：</w:t>
      </w:r>
    </w:p>
    <w:p w:rsidR="00046118" w:rsidRDefault="007D5CF6">
      <w:pPr>
        <w:spacing w:after="200" w:line="360" w:lineRule="auto"/>
        <w:ind w:left="480" w:hanging="480"/>
        <w:jc w:val="both"/>
      </w:pPr>
      <w:r>
        <w:rPr>
          <w:b/>
          <w:bCs/>
        </w:rPr>
        <w:t xml:space="preserve">1. </w:t>
      </w:r>
      <w:r>
        <w:rPr>
          <w:b/>
          <w:bCs/>
        </w:rPr>
        <w:t>官方報告與預算書狀：</w:t>
      </w:r>
      <w:r>
        <w:t>法務部行政執行署各年度工作報告、宜蘭分署公開宣導資料與業務統計年報。</w:t>
      </w:r>
    </w:p>
    <w:p w:rsidR="00046118" w:rsidRDefault="007D5CF6">
      <w:pPr>
        <w:spacing w:after="200" w:line="360" w:lineRule="auto"/>
        <w:ind w:left="480" w:hanging="480"/>
        <w:jc w:val="both"/>
      </w:pPr>
      <w:r>
        <w:rPr>
          <w:b/>
          <w:bCs/>
        </w:rPr>
        <w:t xml:space="preserve">2. </w:t>
      </w:r>
      <w:r>
        <w:rPr>
          <w:b/>
          <w:bCs/>
        </w:rPr>
        <w:t>審計機關專題報告：</w:t>
      </w:r>
      <w:r>
        <w:t>審計部針對法務部行政</w:t>
      </w:r>
      <w:proofErr w:type="gramStart"/>
      <w:r>
        <w:t>執行署資通訊</w:t>
      </w:r>
      <w:proofErr w:type="gramEnd"/>
      <w:r>
        <w:t>系統建置、大數據</w:t>
      </w:r>
      <w:r>
        <w:lastRenderedPageBreak/>
        <w:t>分析與案件分流之審計意見與專題調查報告。</w:t>
      </w:r>
    </w:p>
    <w:p w:rsidR="00046118" w:rsidRDefault="007D5CF6">
      <w:pPr>
        <w:spacing w:after="200" w:line="360" w:lineRule="auto"/>
        <w:ind w:left="480" w:hanging="480"/>
        <w:jc w:val="both"/>
      </w:pPr>
      <w:r>
        <w:rPr>
          <w:b/>
          <w:bCs/>
        </w:rPr>
        <w:t xml:space="preserve">3. </w:t>
      </w:r>
      <w:r>
        <w:rPr>
          <w:b/>
          <w:bCs/>
        </w:rPr>
        <w:t>學術與實務研討會發表：</w:t>
      </w:r>
      <w:r>
        <w:t>宜蘭分署內部統計人員與執行官於公共行政與法學研討會上公開發表之論文與經驗分享資料。</w:t>
      </w:r>
    </w:p>
    <w:p w:rsidR="00046118" w:rsidRDefault="007D5CF6">
      <w:pPr>
        <w:spacing w:after="200" w:line="360" w:lineRule="auto"/>
        <w:ind w:left="480" w:hanging="480"/>
        <w:jc w:val="both"/>
      </w:pPr>
      <w:r>
        <w:rPr>
          <w:b/>
          <w:bCs/>
        </w:rPr>
        <w:t xml:space="preserve">4. </w:t>
      </w:r>
      <w:r>
        <w:rPr>
          <w:b/>
          <w:bCs/>
        </w:rPr>
        <w:t>相關法規與採購規範：</w:t>
      </w:r>
      <w:r>
        <w:t>政府採購法、行政程序法、數位發展部頒布之政府資訊採購範本與生成式</w:t>
      </w:r>
      <w:r>
        <w:t xml:space="preserve"> AI </w:t>
      </w:r>
      <w:r>
        <w:t>使用指引。</w:t>
      </w:r>
    </w:p>
    <w:p w:rsidR="00046118" w:rsidRDefault="007D5CF6">
      <w:pPr>
        <w:spacing w:after="200" w:line="360" w:lineRule="auto"/>
        <w:jc w:val="both"/>
      </w:pPr>
      <w:r>
        <w:t>研究團隊針對上述資料進行「內容分析（</w:t>
      </w:r>
      <w:r>
        <w:t>Content Analysis</w:t>
      </w:r>
      <w:r>
        <w:t>）」與「交叉對質（</w:t>
      </w:r>
      <w:r>
        <w:t>Triangulation</w:t>
      </w:r>
      <w:r>
        <w:t>）」，嚴格限制結論之宣稱範圍僅限於「公開資料可證實之硬指標維度」。</w:t>
      </w:r>
    </w:p>
    <w:p w:rsidR="00046118" w:rsidRDefault="007D5CF6">
      <w:pPr>
        <w:pStyle w:val="2"/>
        <w:spacing w:before="300"/>
      </w:pPr>
      <w:bookmarkStart w:id="5" w:name="_Toc238074043"/>
      <w:r>
        <w:t>第四節　研究限制</w:t>
      </w:r>
      <w:proofErr w:type="gramStart"/>
      <w:r>
        <w:t>與效度</w:t>
      </w:r>
      <w:proofErr w:type="gramEnd"/>
      <w:r>
        <w:t>宣稱</w:t>
      </w:r>
      <w:bookmarkEnd w:id="5"/>
    </w:p>
    <w:p w:rsidR="00046118" w:rsidRDefault="007D5CF6">
      <w:pPr>
        <w:spacing w:after="200" w:line="360" w:lineRule="auto"/>
        <w:jc w:val="both"/>
      </w:pPr>
      <w:r>
        <w:t>為維持學術嚴謹度</w:t>
      </w:r>
      <w:proofErr w:type="gramStart"/>
      <w:r>
        <w:t>與效度</w:t>
      </w:r>
      <w:proofErr w:type="gramEnd"/>
      <w:r>
        <w:t>（</w:t>
      </w:r>
      <w:r>
        <w:t>Validity Boundary</w:t>
      </w:r>
      <w:r>
        <w:t>），本文特別聲明以下研究限制。實證結論嚴格限定於：在公開可驗證的契約規範與基礎設施架構層面，宜蘭分署個案未出現控制權明顯下</w:t>
      </w:r>
      <w:proofErr w:type="gramStart"/>
      <w:r>
        <w:t>沉</w:t>
      </w:r>
      <w:proofErr w:type="gramEnd"/>
      <w:r>
        <w:t>至外部廠商的結構性分離跡象，並可作為朝「最低實質控制能力（</w:t>
      </w:r>
      <w:r>
        <w:t>MSCC</w:t>
      </w:r>
      <w:r>
        <w:t>）」移動的低分離對照基準：</w:t>
      </w:r>
    </w:p>
    <w:p w:rsidR="00046118" w:rsidRDefault="007D5CF6">
      <w:pPr>
        <w:spacing w:after="200" w:line="360" w:lineRule="auto"/>
        <w:ind w:left="480" w:hanging="480"/>
        <w:jc w:val="both"/>
      </w:pPr>
      <w:r>
        <w:rPr>
          <w:b/>
          <w:bCs/>
        </w:rPr>
        <w:t xml:space="preserve">1. </w:t>
      </w:r>
      <w:r>
        <w:rPr>
          <w:b/>
          <w:bCs/>
        </w:rPr>
        <w:t>非原始碼層級之技術稽核：</w:t>
      </w:r>
      <w:r>
        <w:t>本研究未取得該清償率模型之原始程式碼、權重參數矩陣或完整訓練資料集，故不針對模型的數學精</w:t>
      </w:r>
      <w:proofErr w:type="gramStart"/>
      <w:r>
        <w:t>準</w:t>
      </w:r>
      <w:proofErr w:type="gramEnd"/>
      <w:r>
        <w:t>度（</w:t>
      </w:r>
      <w:r>
        <w:t>Accuracy</w:t>
      </w:r>
      <w:r>
        <w:t>）、召回率（</w:t>
      </w:r>
      <w:r>
        <w:t>Recall</w:t>
      </w:r>
      <w:r>
        <w:t>）或演算法公平性（</w:t>
      </w:r>
      <w:r>
        <w:t>Algorithmic Fairness</w:t>
      </w:r>
      <w:r>
        <w:t>）進行質性或量化測試。</w:t>
      </w:r>
    </w:p>
    <w:p w:rsidR="00046118" w:rsidRDefault="007D5CF6">
      <w:pPr>
        <w:spacing w:after="200" w:line="360" w:lineRule="auto"/>
        <w:ind w:left="480" w:hanging="480"/>
        <w:jc w:val="both"/>
      </w:pPr>
      <w:r>
        <w:rPr>
          <w:b/>
          <w:bCs/>
        </w:rPr>
        <w:t xml:space="preserve">2. </w:t>
      </w:r>
      <w:r>
        <w:rPr>
          <w:b/>
          <w:bCs/>
        </w:rPr>
        <w:t>硬指標</w:t>
      </w:r>
      <w:r>
        <w:rPr>
          <w:b/>
          <w:bCs/>
        </w:rPr>
        <w:t xml:space="preserve"> vs. </w:t>
      </w:r>
      <w:r>
        <w:rPr>
          <w:b/>
          <w:bCs/>
        </w:rPr>
        <w:t>軟能力之宣稱界線：</w:t>
      </w:r>
      <w:proofErr w:type="gramStart"/>
      <w:r>
        <w:t>效度邊界</w:t>
      </w:r>
      <w:proofErr w:type="gramEnd"/>
      <w:r>
        <w:t>明確：軟指標（第一線官員實際質疑能力、自動化偏誤、異常獨立診斷能力）非公開文件所能完整涵蓋；公開文件亦未提供模型原始碼、詳細技術架構或完整契約文本，因此本文所稱「傾向低分離」僅指「公開資料未顯示外部鎖定跡象」，而非積極證明機關已完整實現技術主權。</w:t>
      </w:r>
    </w:p>
    <w:p w:rsidR="00046118" w:rsidRDefault="007D5CF6">
      <w:pPr>
        <w:spacing w:after="200" w:line="360" w:lineRule="auto"/>
        <w:ind w:left="480" w:hanging="480"/>
        <w:jc w:val="both"/>
      </w:pPr>
      <w:r>
        <w:rPr>
          <w:b/>
          <w:bCs/>
        </w:rPr>
        <w:t xml:space="preserve">3. </w:t>
      </w:r>
      <w:r>
        <w:rPr>
          <w:b/>
          <w:bCs/>
        </w:rPr>
        <w:t>個案</w:t>
      </w:r>
      <w:proofErr w:type="gramStart"/>
      <w:r>
        <w:rPr>
          <w:b/>
          <w:bCs/>
        </w:rPr>
        <w:t>外推性之</w:t>
      </w:r>
      <w:proofErr w:type="gramEnd"/>
      <w:r>
        <w:rPr>
          <w:b/>
          <w:bCs/>
        </w:rPr>
        <w:t>限制：</w:t>
      </w:r>
      <w:r>
        <w:t>宜蘭分署個案屬於機關內部自籌（或高度陪伴開發）之相對中小型內部能力</w:t>
      </w:r>
      <w:proofErr w:type="gramStart"/>
      <w:r>
        <w:t>建構型專案</w:t>
      </w:r>
      <w:proofErr w:type="gramEnd"/>
      <w:r>
        <w:t>，其經驗得作為「低分離基準線」，惟能否完全套用至跨部會大型巨量資料</w:t>
      </w:r>
      <w:r>
        <w:t xml:space="preserve"> AI </w:t>
      </w:r>
      <w:r>
        <w:t>系統，仍須視系統規模與組織資源增減，</w:t>
      </w:r>
      <w:proofErr w:type="gramStart"/>
      <w:r>
        <w:t>外推時</w:t>
      </w:r>
      <w:proofErr w:type="gramEnd"/>
      <w:r>
        <w:t>應審慎。</w:t>
      </w:r>
    </w:p>
    <w:p w:rsidR="00046118" w:rsidRDefault="007D5CF6">
      <w:pPr>
        <w:pStyle w:val="1"/>
        <w:pageBreakBefore/>
      </w:pPr>
      <w:bookmarkStart w:id="6" w:name="_Toc238074044"/>
      <w:r>
        <w:lastRenderedPageBreak/>
        <w:t>第二章</w:t>
      </w:r>
      <w:r>
        <w:t xml:space="preserve"> </w:t>
      </w:r>
      <w:r>
        <w:t>文獻探討與理論架構</w:t>
      </w:r>
      <w:bookmarkEnd w:id="6"/>
    </w:p>
    <w:p w:rsidR="00046118" w:rsidRDefault="007D5CF6">
      <w:pPr>
        <w:pStyle w:val="2"/>
        <w:spacing w:before="300"/>
      </w:pPr>
      <w:bookmarkStart w:id="7" w:name="_Toc238074045"/>
      <w:r>
        <w:t>第一節　預測性行政中的控制權下</w:t>
      </w:r>
      <w:proofErr w:type="gramStart"/>
      <w:r>
        <w:t>沉</w:t>
      </w:r>
      <w:proofErr w:type="gramEnd"/>
      <w:r>
        <w:t>與結構性分離</w:t>
      </w:r>
      <w:bookmarkEnd w:id="7"/>
    </w:p>
    <w:p w:rsidR="00046118" w:rsidRDefault="007D5CF6">
      <w:pPr>
        <w:spacing w:after="200" w:line="360" w:lineRule="auto"/>
        <w:jc w:val="both"/>
      </w:pPr>
      <w:r>
        <w:t>在數位政府與</w:t>
      </w:r>
      <w:proofErr w:type="gramStart"/>
      <w:r>
        <w:t>前瞻資通訊</w:t>
      </w:r>
      <w:proofErr w:type="gramEnd"/>
      <w:r>
        <w:t>政策推展下，預測性行政（</w:t>
      </w:r>
      <w:r>
        <w:t>Predictive Administration</w:t>
      </w:r>
      <w:r>
        <w:t>）被視為提升官僚效能與精準資源配置的重要工具。然而，</w:t>
      </w:r>
      <w:r>
        <w:t xml:space="preserve">Pasquale (2015) </w:t>
      </w:r>
      <w:r>
        <w:t>與</w:t>
      </w:r>
      <w:r>
        <w:t xml:space="preserve"> Braithwaite (2008) </w:t>
      </w:r>
      <w:r>
        <w:t>等學者指出，當國家將越來越多的決策輔助工作移交給演算法時，極易觸發「控制權下</w:t>
      </w:r>
      <w:proofErr w:type="gramStart"/>
      <w:r>
        <w:t>沉</w:t>
      </w:r>
      <w:proofErr w:type="gramEnd"/>
      <w:r>
        <w:t>」（</w:t>
      </w:r>
      <w:r>
        <w:t>Displacement of Control</w:t>
      </w:r>
      <w:r>
        <w:t>）現象。</w:t>
      </w:r>
    </w:p>
    <w:p w:rsidR="00046118" w:rsidRDefault="007D5CF6">
      <w:pPr>
        <w:spacing w:after="200" w:line="360" w:lineRule="auto"/>
        <w:jc w:val="both"/>
      </w:pPr>
      <w:r>
        <w:t>控制權下</w:t>
      </w:r>
      <w:proofErr w:type="gramStart"/>
      <w:r>
        <w:t>沉</w:t>
      </w:r>
      <w:proofErr w:type="gramEnd"/>
      <w:r>
        <w:t>不僅是指「第一線官員聽從</w:t>
      </w:r>
      <w:r>
        <w:t xml:space="preserve"> AI </w:t>
      </w:r>
      <w:r>
        <w:t>指示」，更深刻的層面在於「組織結構與治理主權的解構」。</w:t>
      </w:r>
      <w:r>
        <w:t xml:space="preserve">Veale &amp; Brass (2019) </w:t>
      </w:r>
      <w:r>
        <w:t>提出，公機關在採購商業</w:t>
      </w:r>
      <w:r>
        <w:t xml:space="preserve"> AI </w:t>
      </w:r>
      <w:r>
        <w:t>或自動化決策系統時，常面臨「結構性分離」（</w:t>
      </w:r>
      <w:r>
        <w:t>Structural Separation</w:t>
      </w:r>
      <w:r>
        <w:t>）的危機</w:t>
      </w:r>
      <w:proofErr w:type="gramStart"/>
      <w:r>
        <w:t>—</w:t>
      </w:r>
      <w:proofErr w:type="gramEnd"/>
      <w:r>
        <w:t>—</w:t>
      </w:r>
      <w:r>
        <w:t>即公機關僅掌握了「法律名義上的處分權」，但私法人（技術廠商）卻實質掌握了「運算邏輯、資料解讀、模型微調與系統</w:t>
      </w:r>
      <w:proofErr w:type="gramStart"/>
      <w:r>
        <w:t>維運</w:t>
      </w:r>
      <w:proofErr w:type="gramEnd"/>
      <w:r>
        <w:t>權」。這種分離破壞了傳統行政法學中「機關權限不可讓渡原則」（</w:t>
      </w:r>
      <w:r>
        <w:t>Principle of Inalienability of Administrative Competence</w:t>
      </w:r>
      <w:r>
        <w:t>）。</w:t>
      </w:r>
    </w:p>
    <w:p w:rsidR="00046118" w:rsidRDefault="007D5CF6">
      <w:pPr>
        <w:pStyle w:val="2"/>
        <w:spacing w:before="300"/>
      </w:pPr>
      <w:bookmarkStart w:id="8" w:name="_Toc238074046"/>
      <w:r>
        <w:t>第二節　國內既有研究範式檢視與研究缺口（</w:t>
      </w:r>
      <w:r>
        <w:t>Research Gaps</w:t>
      </w:r>
      <w:r>
        <w:t>）</w:t>
      </w:r>
      <w:bookmarkEnd w:id="8"/>
    </w:p>
    <w:p w:rsidR="00046118" w:rsidRDefault="007D5CF6">
      <w:pPr>
        <w:spacing w:after="200" w:line="360" w:lineRule="auto"/>
        <w:jc w:val="both"/>
      </w:pPr>
      <w:r>
        <w:t>檢視國內既有關於政府導入</w:t>
      </w:r>
      <w:r>
        <w:t xml:space="preserve"> AI </w:t>
      </w:r>
      <w:r>
        <w:t>與演算法之學術與政策文獻，主要由三大研究脈絡所構成，惟各脈絡在處理「國家實質控制能力」時，均存在不可忽視的理論與實務盲點：</w:t>
      </w:r>
    </w:p>
    <w:p w:rsidR="00046118" w:rsidRDefault="007D5CF6">
      <w:pPr>
        <w:pStyle w:val="3"/>
      </w:pPr>
      <w:bookmarkStart w:id="9" w:name="_Toc238074047"/>
      <w:r>
        <w:t>一、國內三大研究脈絡之梳理</w:t>
      </w:r>
      <w:bookmarkEnd w:id="9"/>
    </w:p>
    <w:p w:rsidR="00046118" w:rsidRDefault="007D5CF6">
      <w:pPr>
        <w:spacing w:after="200" w:line="360" w:lineRule="auto"/>
        <w:ind w:left="480" w:hanging="480"/>
        <w:jc w:val="both"/>
      </w:pPr>
      <w:r>
        <w:rPr>
          <w:b/>
          <w:bCs/>
        </w:rPr>
        <w:t xml:space="preserve">1. </w:t>
      </w:r>
      <w:r>
        <w:rPr>
          <w:b/>
          <w:bCs/>
        </w:rPr>
        <w:t>行政法與科技法學界：</w:t>
      </w:r>
      <w:r>
        <w:t>焦點多放在「正當法律程序（</w:t>
      </w:r>
      <w:r>
        <w:t>Technological Due Process</w:t>
      </w:r>
      <w:r>
        <w:t>）」、「演算法黑盒與可解釋性」及「</w:t>
      </w:r>
      <w:proofErr w:type="gramStart"/>
      <w:r>
        <w:t>自動化偏誤</w:t>
      </w:r>
      <w:proofErr w:type="gramEnd"/>
      <w:r>
        <w:t>（</w:t>
      </w:r>
      <w:r>
        <w:t>Automation Bias</w:t>
      </w:r>
      <w:r>
        <w:t>）」之防範（如辛年豐，</w:t>
      </w:r>
      <w:r>
        <w:t>2020</w:t>
      </w:r>
      <w:r>
        <w:t>；曾為岑，</w:t>
      </w:r>
      <w:r>
        <w:t>2022</w:t>
      </w:r>
      <w:proofErr w:type="gramStart"/>
      <w:r>
        <w:t>）</w:t>
      </w:r>
      <w:proofErr w:type="gramEnd"/>
      <w:r>
        <w:t>。學者多主張行政機關應維持裁量自主，並倡議第一線公務員應具備對</w:t>
      </w:r>
      <w:r>
        <w:t xml:space="preserve"> AI </w:t>
      </w:r>
      <w:r>
        <w:t>產出進行實質覆核與異議之「軟能力」。</w:t>
      </w:r>
    </w:p>
    <w:p w:rsidR="00046118" w:rsidRDefault="007D5CF6">
      <w:pPr>
        <w:spacing w:after="200" w:line="360" w:lineRule="auto"/>
        <w:ind w:left="480" w:hanging="480"/>
        <w:jc w:val="both"/>
      </w:pPr>
      <w:r>
        <w:rPr>
          <w:b/>
          <w:bCs/>
        </w:rPr>
        <w:t xml:space="preserve">2. </w:t>
      </w:r>
      <w:r>
        <w:rPr>
          <w:b/>
          <w:bCs/>
        </w:rPr>
        <w:t>資策會科技法律研究所（</w:t>
      </w:r>
      <w:r>
        <w:rPr>
          <w:b/>
          <w:bCs/>
        </w:rPr>
        <w:t>STLI</w:t>
      </w:r>
      <w:r>
        <w:rPr>
          <w:b/>
          <w:bCs/>
        </w:rPr>
        <w:t>）與政府政策智庫：</w:t>
      </w:r>
      <w:r>
        <w:t>多聚焦於國際法規趨勢在地化（如歐盟</w:t>
      </w:r>
      <w:r>
        <w:t xml:space="preserve"> AI </w:t>
      </w:r>
      <w:r>
        <w:t>法案</w:t>
      </w:r>
      <w:r>
        <w:t xml:space="preserve"> EU AI Act </w:t>
      </w:r>
      <w:r>
        <w:t>之高風險</w:t>
      </w:r>
      <w:r>
        <w:t xml:space="preserve"> AI </w:t>
      </w:r>
      <w:r>
        <w:t>分級制度）、倫理指引建立、個人資料保護（</w:t>
      </w:r>
      <w:r>
        <w:t>GDPR</w:t>
      </w:r>
      <w:r>
        <w:t>／</w:t>
      </w:r>
      <w:proofErr w:type="gramStart"/>
      <w:r>
        <w:t>個</w:t>
      </w:r>
      <w:proofErr w:type="gramEnd"/>
      <w:r>
        <w:t>資法）與資訊安全規範。其政策建議多偏向宣示性的「可信賴</w:t>
      </w:r>
      <w:r>
        <w:t xml:space="preserve"> AI </w:t>
      </w:r>
      <w:r>
        <w:t>指引」或「演算法影響評估（</w:t>
      </w:r>
      <w:r>
        <w:t>AIA</w:t>
      </w:r>
      <w:r>
        <w:t>）」。</w:t>
      </w:r>
    </w:p>
    <w:p w:rsidR="00046118" w:rsidRDefault="007D5CF6">
      <w:pPr>
        <w:spacing w:after="200" w:line="360" w:lineRule="auto"/>
        <w:ind w:left="480" w:hanging="480"/>
        <w:jc w:val="both"/>
      </w:pPr>
      <w:r>
        <w:rPr>
          <w:b/>
          <w:bCs/>
        </w:rPr>
        <w:lastRenderedPageBreak/>
        <w:t xml:space="preserve">3. </w:t>
      </w:r>
      <w:r>
        <w:rPr>
          <w:b/>
          <w:bCs/>
        </w:rPr>
        <w:t>公共行政與數位治理學界：</w:t>
      </w:r>
      <w:r>
        <w:t>著重於「資訊外包治理（</w:t>
      </w:r>
      <w:r>
        <w:t>IT Outsourcing</w:t>
      </w:r>
      <w:r>
        <w:t>）」與「組織文化／接受度（</w:t>
      </w:r>
      <w:r>
        <w:t xml:space="preserve">TAM </w:t>
      </w:r>
      <w:r>
        <w:t>模型）」</w:t>
      </w:r>
      <w:proofErr w:type="gramStart"/>
      <w:r>
        <w:t>（</w:t>
      </w:r>
      <w:proofErr w:type="gramEnd"/>
      <w:r>
        <w:t>如蕭乃沂、黃心怡，</w:t>
      </w:r>
      <w:r>
        <w:t>2012</w:t>
      </w:r>
      <w:r>
        <w:t>；陳敦源等，</w:t>
      </w:r>
      <w:r>
        <w:t>2016</w:t>
      </w:r>
      <w:proofErr w:type="gramStart"/>
      <w:r>
        <w:t>）</w:t>
      </w:r>
      <w:proofErr w:type="gramEnd"/>
      <w:r>
        <w:t>，討論公務機關在資訊外包過程中的信任與控制機制。</w:t>
      </w:r>
    </w:p>
    <w:p w:rsidR="00046118" w:rsidRDefault="007D5CF6">
      <w:pPr>
        <w:pStyle w:val="3"/>
      </w:pPr>
      <w:bookmarkStart w:id="10" w:name="_Toc238074048"/>
      <w:r>
        <w:t>二、既有文獻之三大研究缺口</w:t>
      </w:r>
      <w:bookmarkEnd w:id="10"/>
    </w:p>
    <w:p w:rsidR="00046118" w:rsidRDefault="007D5CF6">
      <w:pPr>
        <w:spacing w:after="200" w:line="360" w:lineRule="auto"/>
        <w:jc w:val="both"/>
      </w:pPr>
      <w:r>
        <w:t>上述既有文獻雖奠定了政府</w:t>
      </w:r>
      <w:r>
        <w:t xml:space="preserve"> AI </w:t>
      </w:r>
      <w:r>
        <w:t>治理之討論基礎，但面對預測性行政的深層挑戰，顯現出以下三大範式缺口：</w:t>
      </w:r>
    </w:p>
    <w:p w:rsidR="00046118" w:rsidRDefault="007D5CF6">
      <w:pPr>
        <w:spacing w:after="200" w:line="360" w:lineRule="auto"/>
        <w:jc w:val="both"/>
      </w:pPr>
      <w:r>
        <w:rPr>
          <w:b/>
          <w:bCs/>
        </w:rPr>
        <w:t>缺口</w:t>
      </w:r>
      <w:proofErr w:type="gramStart"/>
      <w:r>
        <w:rPr>
          <w:b/>
          <w:bCs/>
        </w:rPr>
        <w:t>一</w:t>
      </w:r>
      <w:proofErr w:type="gramEnd"/>
      <w:r>
        <w:rPr>
          <w:b/>
          <w:bCs/>
        </w:rPr>
        <w:t>：重抽象倫理宣示與單點法理，輕「契約與基礎設施硬指標」。</w:t>
      </w:r>
      <w:r>
        <w:t>法學界與政策智庫常要求政府</w:t>
      </w:r>
      <w:r>
        <w:t xml:space="preserve"> AI </w:t>
      </w:r>
      <w:r>
        <w:t>應「保持透明、可解釋、不可濫用」，但鮮少深入《政府採購法》實務與資通訊基礎設施層面，給出「採購契約該如何</w:t>
      </w:r>
      <w:proofErr w:type="gramStart"/>
      <w:r>
        <w:t>訂定始能</w:t>
      </w:r>
      <w:proofErr w:type="gramEnd"/>
      <w:r>
        <w:t>防止技術鎖定」的具體門檻。當機關未掌握核心權重與資料主權時，抽象的倫理指引極易淪為宣傳口號。</w:t>
      </w:r>
    </w:p>
    <w:p w:rsidR="00046118" w:rsidRDefault="007D5CF6">
      <w:pPr>
        <w:spacing w:after="200" w:line="360" w:lineRule="auto"/>
        <w:jc w:val="both"/>
      </w:pPr>
      <w:r>
        <w:rPr>
          <w:b/>
          <w:bCs/>
        </w:rPr>
        <w:t>缺口二：過度寄望公務員個人「軟能力」，忽略「硬架構」之先決性。</w:t>
      </w:r>
      <w:r>
        <w:t>既有文獻批評公務員盲從</w:t>
      </w:r>
      <w:r>
        <w:t xml:space="preserve"> AI</w:t>
      </w:r>
      <w:r>
        <w:t>（自動化偏誤），並寄望透過教育訓練提升官員的「技術質疑與異議能力」（</w:t>
      </w:r>
      <w:proofErr w:type="spellStart"/>
      <w:r>
        <w:t>Elish</w:t>
      </w:r>
      <w:proofErr w:type="spellEnd"/>
      <w:r>
        <w:t>, 2019</w:t>
      </w:r>
      <w:r>
        <w:t>）。然而，若機關在採購端早已將模型與基礎設施完全外包（高結構性分離），公務員縱使對預測結果存疑，亦無技術與法律籌碼去調整模型。要求無技術主權的公務員抵抗</w:t>
      </w:r>
      <w:r>
        <w:t xml:space="preserve"> AI</w:t>
      </w:r>
      <w:r>
        <w:t>，無異於緣木求魚。</w:t>
      </w:r>
    </w:p>
    <w:p w:rsidR="00046118" w:rsidRDefault="007D5CF6">
      <w:pPr>
        <w:spacing w:after="200" w:line="360" w:lineRule="auto"/>
        <w:jc w:val="both"/>
      </w:pPr>
      <w:r>
        <w:rPr>
          <w:b/>
          <w:bCs/>
        </w:rPr>
        <w:t>缺口</w:t>
      </w:r>
      <w:proofErr w:type="gramStart"/>
      <w:r>
        <w:rPr>
          <w:b/>
          <w:bCs/>
        </w:rPr>
        <w:t>三</w:t>
      </w:r>
      <w:proofErr w:type="gramEnd"/>
      <w:r>
        <w:rPr>
          <w:b/>
          <w:bCs/>
        </w:rPr>
        <w:t>：忽視「採購（數發）</w:t>
      </w:r>
      <w:proofErr w:type="gramStart"/>
      <w:r>
        <w:rPr>
          <w:b/>
          <w:bCs/>
        </w:rPr>
        <w:t>—</w:t>
      </w:r>
      <w:proofErr w:type="gramEnd"/>
      <w:r>
        <w:rPr>
          <w:b/>
          <w:bCs/>
        </w:rPr>
        <w:t>執行（法務）</w:t>
      </w:r>
      <w:r>
        <w:rPr>
          <w:b/>
          <w:bCs/>
        </w:rPr>
        <w:t>—</w:t>
      </w:r>
      <w:r>
        <w:rPr>
          <w:b/>
          <w:bCs/>
        </w:rPr>
        <w:t>稽核（審計）」的三</w:t>
      </w:r>
      <w:proofErr w:type="gramStart"/>
      <w:r>
        <w:rPr>
          <w:b/>
          <w:bCs/>
        </w:rPr>
        <w:t>方跨部</w:t>
      </w:r>
      <w:proofErr w:type="gramEnd"/>
      <w:r>
        <w:rPr>
          <w:b/>
          <w:bCs/>
        </w:rPr>
        <w:t>會治理</w:t>
      </w:r>
      <w:proofErr w:type="gramStart"/>
      <w:r>
        <w:rPr>
          <w:b/>
          <w:bCs/>
        </w:rPr>
        <w:t>鏈斷</w:t>
      </w:r>
      <w:proofErr w:type="gramEnd"/>
      <w:r>
        <w:rPr>
          <w:b/>
          <w:bCs/>
        </w:rPr>
        <w:t>鏈。</w:t>
      </w:r>
      <w:r>
        <w:t>既有研究多採取「單一機關」或「單點法理」之靜態分析視角，未曾將數位發展部（採購標準）、第一線執法機關（如法務部行政執行署）與審計部（事後監督）拉在同一條動態治理鏈上進行診斷，致使「採購不管執行、執行改不動系統、稽核看不懂卻只能蓋章」的制度</w:t>
      </w:r>
      <w:proofErr w:type="gramStart"/>
      <w:r>
        <w:t>性斷鏈</w:t>
      </w:r>
      <w:proofErr w:type="gramEnd"/>
      <w:r>
        <w:t>長期被忽視。</w:t>
      </w:r>
    </w:p>
    <w:p w:rsidR="00046118" w:rsidRDefault="007D5CF6">
      <w:pPr>
        <w:pStyle w:val="2"/>
        <w:spacing w:before="300"/>
      </w:pPr>
      <w:bookmarkStart w:id="11" w:name="_Toc238074049"/>
      <w:r>
        <w:t>第三節　國家行政擔保責任與最低實質控制能力（</w:t>
      </w:r>
      <w:r>
        <w:t>MSCC</w:t>
      </w:r>
      <w:r>
        <w:t>）</w:t>
      </w:r>
      <w:bookmarkEnd w:id="11"/>
    </w:p>
    <w:p w:rsidR="00046118" w:rsidRDefault="007D5CF6">
      <w:pPr>
        <w:spacing w:after="200" w:line="360" w:lineRule="auto"/>
        <w:jc w:val="both"/>
      </w:pPr>
      <w:r>
        <w:t>為回應上述研究缺口，公法與公共行政學界必須重構國家在預測性行政中的角色。公法學者詹鎮榮（</w:t>
      </w:r>
      <w:r>
        <w:t>2014</w:t>
      </w:r>
      <w:r>
        <w:t>）指出，即使國家將特定服務或技術</w:t>
      </w:r>
      <w:proofErr w:type="gramStart"/>
      <w:r>
        <w:t>交由私部門</w:t>
      </w:r>
      <w:proofErr w:type="gramEnd"/>
      <w:r>
        <w:t>提供，國家仍負有「確保該服務或技術之行使符合法治國原則」的行政擔保責任（</w:t>
      </w:r>
      <w:r>
        <w:t xml:space="preserve">Guarantee Responsibility / </w:t>
      </w:r>
      <w:proofErr w:type="spellStart"/>
      <w:r>
        <w:t>Gewährleistungsverantwortung</w:t>
      </w:r>
      <w:proofErr w:type="spellEnd"/>
      <w:r>
        <w:t>）。</w:t>
      </w:r>
    </w:p>
    <w:p w:rsidR="00046118" w:rsidRDefault="007D5CF6">
      <w:pPr>
        <w:spacing w:after="200" w:line="360" w:lineRule="auto"/>
        <w:jc w:val="both"/>
      </w:pPr>
      <w:r>
        <w:t>為了落實擔保責任，本研究提出「最低實質控制能力」（</w:t>
      </w:r>
      <w:r>
        <w:t xml:space="preserve">Minimum Substantive </w:t>
      </w:r>
      <w:r>
        <w:lastRenderedPageBreak/>
        <w:t>Control Capacity, MSCC</w:t>
      </w:r>
      <w:r>
        <w:t>）之概念。</w:t>
      </w:r>
      <w:r>
        <w:t xml:space="preserve">MSCC </w:t>
      </w:r>
      <w:r>
        <w:t>指的是：公行政機關在導入預測系統時，為防止控制權被外部技術供應商剝奪，所必須維繫之最低限度法律、技術與基礎設施主權。</w:t>
      </w:r>
    </w:p>
    <w:p w:rsidR="00046118" w:rsidRDefault="007D5CF6">
      <w:pPr>
        <w:spacing w:after="200" w:line="360" w:lineRule="auto"/>
        <w:jc w:val="both"/>
      </w:pPr>
      <w:r>
        <w:t xml:space="preserve">MSCC </w:t>
      </w:r>
      <w:r>
        <w:t>的核心洞察在於：「硬指標（結構性控制權）」乃是「軟能力（公務員異議與裁量能力）」得以發揮的先決承載空間。機關必須先在結構上阻止控制權下</w:t>
      </w:r>
      <w:proofErr w:type="gramStart"/>
      <w:r>
        <w:t>沉</w:t>
      </w:r>
      <w:proofErr w:type="gramEnd"/>
      <w:r>
        <w:t>，第一線公務員之裁量自主才具備實踐之可能。</w:t>
      </w:r>
    </w:p>
    <w:p w:rsidR="00046118" w:rsidRDefault="007D5CF6">
      <w:pPr>
        <w:pStyle w:val="2"/>
        <w:spacing w:before="300"/>
      </w:pPr>
      <w:bookmarkStart w:id="12" w:name="_Toc238074050"/>
      <w:r>
        <w:t>第四節　結構性分離的三項硬指標與概念架構</w:t>
      </w:r>
      <w:bookmarkEnd w:id="12"/>
    </w:p>
    <w:p w:rsidR="00046118" w:rsidRDefault="007D5CF6">
      <w:pPr>
        <w:spacing w:after="200" w:line="360" w:lineRule="auto"/>
        <w:jc w:val="both"/>
      </w:pPr>
      <w:r>
        <w:t>綜合既有文獻</w:t>
      </w:r>
      <w:proofErr w:type="gramStart"/>
      <w:r>
        <w:t>（</w:t>
      </w:r>
      <w:proofErr w:type="spellStart"/>
      <w:proofErr w:type="gramEnd"/>
      <w:r>
        <w:t>Bovens</w:t>
      </w:r>
      <w:proofErr w:type="spellEnd"/>
      <w:r>
        <w:t xml:space="preserve">, 2007; </w:t>
      </w:r>
      <w:proofErr w:type="spellStart"/>
      <w:r>
        <w:t>Koppell</w:t>
      </w:r>
      <w:proofErr w:type="spellEnd"/>
      <w:r>
        <w:t>, 2005; Cobbe et al., 2021; Veale et al., 2023</w:t>
      </w:r>
      <w:r>
        <w:t>），本研究建構了用以衡量</w:t>
      </w:r>
      <w:r>
        <w:t xml:space="preserve"> MSCC </w:t>
      </w:r>
      <w:r>
        <w:t>與檢驗三方治理鏈之「三項結構性分離硬指標」：</w:t>
      </w:r>
    </w:p>
    <w:p w:rsidR="00046118" w:rsidRDefault="007D5CF6">
      <w:pPr>
        <w:spacing w:after="200" w:line="360" w:lineRule="auto"/>
        <w:ind w:left="480" w:hanging="480"/>
        <w:jc w:val="both"/>
      </w:pPr>
      <w:r>
        <w:rPr>
          <w:b/>
          <w:bCs/>
        </w:rPr>
        <w:t xml:space="preserve">1. </w:t>
      </w:r>
      <w:r>
        <w:rPr>
          <w:b/>
          <w:bCs/>
        </w:rPr>
        <w:t>硬指標</w:t>
      </w:r>
      <w:proofErr w:type="gramStart"/>
      <w:r>
        <w:rPr>
          <w:b/>
          <w:bCs/>
        </w:rPr>
        <w:t>一</w:t>
      </w:r>
      <w:proofErr w:type="gramEnd"/>
      <w:r>
        <w:rPr>
          <w:b/>
          <w:bCs/>
        </w:rPr>
        <w:t>：契約權力與單方處置能力（</w:t>
      </w:r>
      <w:r>
        <w:rPr>
          <w:b/>
          <w:bCs/>
        </w:rPr>
        <w:t>Contractual Power &amp; Unilateral Disposition</w:t>
      </w:r>
      <w:r>
        <w:rPr>
          <w:b/>
          <w:bCs/>
        </w:rPr>
        <w:t>）：</w:t>
      </w:r>
      <w:r>
        <w:t>機關是否在採購契約中保有單方終止、調整變數、或切斷系統運作之權利（</w:t>
      </w:r>
      <w:r>
        <w:t>Exit Clause</w:t>
      </w:r>
      <w:r>
        <w:t>）？是否面臨過高之違約金或專有軟體鎖（</w:t>
      </w:r>
      <w:r>
        <w:t>Proprietary Lock-in</w:t>
      </w:r>
      <w:r>
        <w:t>）？</w:t>
      </w:r>
    </w:p>
    <w:p w:rsidR="00046118" w:rsidRDefault="007D5CF6">
      <w:pPr>
        <w:spacing w:after="200" w:line="360" w:lineRule="auto"/>
        <w:ind w:left="480" w:hanging="480"/>
        <w:jc w:val="both"/>
      </w:pPr>
      <w:r>
        <w:rPr>
          <w:b/>
          <w:bCs/>
        </w:rPr>
        <w:t xml:space="preserve">2. </w:t>
      </w:r>
      <w:r>
        <w:rPr>
          <w:b/>
          <w:bCs/>
        </w:rPr>
        <w:t>硬指標二：模型控制權與再訓練能力（</w:t>
      </w:r>
      <w:r>
        <w:rPr>
          <w:b/>
          <w:bCs/>
        </w:rPr>
        <w:t>Model Sovereignty &amp; Retraining Capacity</w:t>
      </w:r>
      <w:r>
        <w:rPr>
          <w:b/>
          <w:bCs/>
        </w:rPr>
        <w:t>）：</w:t>
      </w:r>
      <w:r>
        <w:t>訓練資料集之欄位定義與邏輯是否留在機關內部？機關是否掌握模型變數與法律要件相符之資料架構（</w:t>
      </w:r>
      <w:r>
        <w:t>Data Schema</w:t>
      </w:r>
      <w:r>
        <w:t>）？機關是否具備不依賴原廠商即可進行資料更新或模型再訓練（</w:t>
      </w:r>
      <w:r>
        <w:t>Retraining</w:t>
      </w:r>
      <w:r>
        <w:t>）之權利與開源腳本？</w:t>
      </w:r>
    </w:p>
    <w:p w:rsidR="00046118" w:rsidRDefault="007D5CF6">
      <w:pPr>
        <w:spacing w:after="200" w:line="360" w:lineRule="auto"/>
        <w:ind w:left="480" w:hanging="480"/>
        <w:jc w:val="both"/>
      </w:pPr>
      <w:r>
        <w:rPr>
          <w:b/>
          <w:bCs/>
        </w:rPr>
        <w:t xml:space="preserve">3. </w:t>
      </w:r>
      <w:r>
        <w:rPr>
          <w:b/>
          <w:bCs/>
        </w:rPr>
        <w:t>硬指標</w:t>
      </w:r>
      <w:proofErr w:type="gramStart"/>
      <w:r>
        <w:rPr>
          <w:b/>
          <w:bCs/>
        </w:rPr>
        <w:t>三</w:t>
      </w:r>
      <w:proofErr w:type="gramEnd"/>
      <w:r>
        <w:rPr>
          <w:b/>
          <w:bCs/>
        </w:rPr>
        <w:t>：基礎設施依賴度與部署位置（</w:t>
      </w:r>
      <w:r>
        <w:rPr>
          <w:b/>
          <w:bCs/>
        </w:rPr>
        <w:t>Infrastructure Dependency &amp; Deployment</w:t>
      </w:r>
      <w:r>
        <w:rPr>
          <w:b/>
          <w:bCs/>
        </w:rPr>
        <w:t>）：</w:t>
      </w:r>
      <w:r>
        <w:t>系統係部署於機關內部伺服器（</w:t>
      </w:r>
      <w:r>
        <w:t>On-Premise</w:t>
      </w:r>
      <w:r>
        <w:t>）／政府雲，抑或高度依賴</w:t>
      </w:r>
      <w:r>
        <w:t xml:space="preserve"> private vendors </w:t>
      </w:r>
      <w:r>
        <w:t>之專有雲端與封閉</w:t>
      </w:r>
      <w:r>
        <w:t xml:space="preserve"> API</w:t>
      </w:r>
      <w:r>
        <w:t>？機關是否具備離線獨立運作（</w:t>
      </w:r>
      <w:r>
        <w:t>Offline Operation</w:t>
      </w:r>
      <w:r>
        <w:t>）之能力？</w:t>
      </w:r>
    </w:p>
    <w:p w:rsidR="00046118" w:rsidRDefault="007D5CF6">
      <w:pPr>
        <w:spacing w:after="200" w:line="360" w:lineRule="auto"/>
        <w:jc w:val="both"/>
      </w:pPr>
      <w:r>
        <w:t>本研究之整體概念架構（</w:t>
      </w:r>
      <w:r>
        <w:t>Conceptual Framework</w:t>
      </w:r>
      <w:r>
        <w:t>）：為了將第一章之「三</w:t>
      </w:r>
      <w:proofErr w:type="gramStart"/>
      <w:r>
        <w:t>機關斷鏈問題</w:t>
      </w:r>
      <w:proofErr w:type="gramEnd"/>
      <w:r>
        <w:t>」、第二章之「</w:t>
      </w:r>
      <w:r>
        <w:t xml:space="preserve">MSCC </w:t>
      </w:r>
      <w:r>
        <w:t>硬指標理論」、第三章之「宜蘭個案經驗」與第五章之「三機關政策工具矩陣」進一步對齊，圖</w:t>
      </w:r>
      <w:r>
        <w:t xml:space="preserve"> 2-1 </w:t>
      </w:r>
      <w:r>
        <w:t>呈現了本研究的整體概念架構：</w:t>
      </w:r>
    </w:p>
    <w:p w:rsidR="00046118" w:rsidRDefault="007D5CF6">
      <w:pPr>
        <w:spacing w:before="200" w:after="120"/>
        <w:jc w:val="center"/>
      </w:pPr>
      <w:r>
        <w:rPr>
          <w:noProof/>
        </w:rPr>
        <w:lastRenderedPageBreak/>
        <w:drawing>
          <wp:inline distT="0" distB="0" distL="0" distR="0">
            <wp:extent cx="4572000" cy="56864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4572000" cy="5686425"/>
                    </a:xfrm>
                    <a:prstGeom prst="rect">
                      <a:avLst/>
                    </a:prstGeom>
                  </pic:spPr>
                </pic:pic>
              </a:graphicData>
            </a:graphic>
          </wp:inline>
        </w:drawing>
      </w:r>
    </w:p>
    <w:p w:rsidR="00046118" w:rsidRDefault="007D5CF6">
      <w:pPr>
        <w:spacing w:after="300"/>
        <w:jc w:val="center"/>
      </w:pPr>
      <w:r>
        <w:rPr>
          <w:b/>
          <w:bCs/>
          <w:sz w:val="22"/>
          <w:szCs w:val="22"/>
        </w:rPr>
        <w:t>圖</w:t>
      </w:r>
      <w:r>
        <w:rPr>
          <w:b/>
          <w:bCs/>
          <w:sz w:val="22"/>
          <w:szCs w:val="22"/>
        </w:rPr>
        <w:t xml:space="preserve"> 2-1</w:t>
      </w:r>
      <w:r>
        <w:rPr>
          <w:b/>
          <w:bCs/>
          <w:sz w:val="22"/>
          <w:szCs w:val="22"/>
        </w:rPr>
        <w:t>：預測性行政下的國家實質控制能力（</w:t>
      </w:r>
      <w:r>
        <w:rPr>
          <w:b/>
          <w:bCs/>
          <w:sz w:val="22"/>
          <w:szCs w:val="22"/>
        </w:rPr>
        <w:t>MSCC</w:t>
      </w:r>
      <w:r>
        <w:rPr>
          <w:b/>
          <w:bCs/>
          <w:sz w:val="22"/>
          <w:szCs w:val="22"/>
        </w:rPr>
        <w:t>）概念架構圖</w:t>
      </w:r>
    </w:p>
    <w:p w:rsidR="00046118" w:rsidRDefault="007D5CF6">
      <w:pPr>
        <w:spacing w:before="200" w:after="120"/>
        <w:jc w:val="center"/>
      </w:pPr>
      <w:r>
        <w:rPr>
          <w:b/>
          <w:bCs/>
        </w:rPr>
        <w:t>表</w:t>
      </w:r>
      <w:r>
        <w:rPr>
          <w:b/>
          <w:bCs/>
        </w:rPr>
        <w:t xml:space="preserve"> 2-1</w:t>
      </w:r>
      <w:r>
        <w:rPr>
          <w:b/>
          <w:bCs/>
        </w:rPr>
        <w:t>：既有文獻範式與本研究</w:t>
      </w:r>
      <w:r>
        <w:rPr>
          <w:b/>
          <w:bCs/>
        </w:rPr>
        <w:t xml:space="preserve"> MSCC </w:t>
      </w:r>
      <w:r>
        <w:rPr>
          <w:b/>
          <w:bCs/>
        </w:rPr>
        <w:t>分析架構之對比表</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150"/>
        <w:gridCol w:w="3150"/>
      </w:tblGrid>
      <w:tr w:rsidR="00046118">
        <w:trPr>
          <w:tblHeader/>
        </w:trPr>
        <w:tc>
          <w:tcPr>
            <w:tcW w:w="20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分析維度</w:t>
            </w:r>
          </w:p>
        </w:tc>
        <w:tc>
          <w:tcPr>
            <w:tcW w:w="31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傳統法學與資策會科法所範式</w:t>
            </w:r>
          </w:p>
        </w:tc>
        <w:tc>
          <w:tcPr>
            <w:tcW w:w="31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本研究</w:t>
            </w:r>
            <w:r>
              <w:rPr>
                <w:b/>
                <w:bCs/>
                <w:sz w:val="22"/>
                <w:szCs w:val="22"/>
              </w:rPr>
              <w:t xml:space="preserve"> MSCC </w:t>
            </w:r>
            <w:r>
              <w:rPr>
                <w:b/>
                <w:bCs/>
                <w:sz w:val="22"/>
                <w:szCs w:val="22"/>
              </w:rPr>
              <w:t>範式</w:t>
            </w:r>
          </w:p>
        </w:tc>
      </w:tr>
      <w:tr w:rsidR="00046118">
        <w:tc>
          <w:tcPr>
            <w:tcW w:w="2000" w:type="dxa"/>
            <w:tcMar>
              <w:top w:w="100" w:type="dxa"/>
              <w:left w:w="120" w:type="dxa"/>
              <w:bottom w:w="100" w:type="dxa"/>
              <w:right w:w="120" w:type="dxa"/>
            </w:tcMar>
            <w:vAlign w:val="center"/>
          </w:tcPr>
          <w:p w:rsidR="00046118" w:rsidRDefault="007D5CF6">
            <w:pPr>
              <w:spacing w:after="60" w:line="300" w:lineRule="auto"/>
            </w:pPr>
            <w:r>
              <w:rPr>
                <w:sz w:val="22"/>
                <w:szCs w:val="22"/>
              </w:rPr>
              <w:t>治理焦點</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抽象倫理宣示、正當程序、</w:t>
            </w:r>
            <w:proofErr w:type="gramStart"/>
            <w:r>
              <w:rPr>
                <w:sz w:val="22"/>
                <w:szCs w:val="22"/>
              </w:rPr>
              <w:t>個</w:t>
            </w:r>
            <w:proofErr w:type="gramEnd"/>
            <w:r>
              <w:rPr>
                <w:sz w:val="22"/>
                <w:szCs w:val="22"/>
              </w:rPr>
              <w:t>資資安</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採購契約條款、模型權屬、基礎設施部署</w:t>
            </w:r>
          </w:p>
        </w:tc>
      </w:tr>
      <w:tr w:rsidR="00046118">
        <w:tc>
          <w:tcPr>
            <w:tcW w:w="2000" w:type="dxa"/>
            <w:tcMar>
              <w:top w:w="100" w:type="dxa"/>
              <w:left w:w="120" w:type="dxa"/>
              <w:bottom w:w="100" w:type="dxa"/>
              <w:right w:w="120" w:type="dxa"/>
            </w:tcMar>
            <w:vAlign w:val="center"/>
          </w:tcPr>
          <w:p w:rsidR="00046118" w:rsidRDefault="007D5CF6">
            <w:pPr>
              <w:spacing w:after="60" w:line="300" w:lineRule="auto"/>
            </w:pPr>
            <w:r>
              <w:rPr>
                <w:sz w:val="22"/>
                <w:szCs w:val="22"/>
              </w:rPr>
              <w:t>公務員角色</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期待發揮「軟能力」（抵抗自動化偏誤）</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主張「硬指標」</w:t>
            </w:r>
            <w:proofErr w:type="gramStart"/>
            <w:r>
              <w:rPr>
                <w:sz w:val="22"/>
                <w:szCs w:val="22"/>
              </w:rPr>
              <w:t>乃軟能力</w:t>
            </w:r>
            <w:proofErr w:type="gramEnd"/>
            <w:r>
              <w:rPr>
                <w:sz w:val="22"/>
                <w:szCs w:val="22"/>
              </w:rPr>
              <w:t>發揮之先決條件</w:t>
            </w:r>
          </w:p>
        </w:tc>
      </w:tr>
      <w:tr w:rsidR="00046118">
        <w:tc>
          <w:tcPr>
            <w:tcW w:w="2000" w:type="dxa"/>
            <w:tcMar>
              <w:top w:w="100" w:type="dxa"/>
              <w:left w:w="120" w:type="dxa"/>
              <w:bottom w:w="100" w:type="dxa"/>
              <w:right w:w="120" w:type="dxa"/>
            </w:tcMar>
            <w:vAlign w:val="center"/>
          </w:tcPr>
          <w:p w:rsidR="00046118" w:rsidRDefault="007D5CF6">
            <w:pPr>
              <w:spacing w:after="60" w:line="300" w:lineRule="auto"/>
            </w:pPr>
            <w:r>
              <w:rPr>
                <w:sz w:val="22"/>
                <w:szCs w:val="22"/>
              </w:rPr>
              <w:t>制度視角</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單一機關／單點法理分析</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「數發部</w:t>
            </w:r>
            <w:proofErr w:type="gramStart"/>
            <w:r>
              <w:rPr>
                <w:sz w:val="22"/>
                <w:szCs w:val="22"/>
              </w:rPr>
              <w:t>—</w:t>
            </w:r>
            <w:proofErr w:type="gramEnd"/>
            <w:r>
              <w:rPr>
                <w:sz w:val="22"/>
                <w:szCs w:val="22"/>
              </w:rPr>
              <w:t>法務部</w:t>
            </w:r>
            <w:r>
              <w:rPr>
                <w:sz w:val="22"/>
                <w:szCs w:val="22"/>
              </w:rPr>
              <w:t>—</w:t>
            </w:r>
            <w:r>
              <w:rPr>
                <w:sz w:val="22"/>
                <w:szCs w:val="22"/>
              </w:rPr>
              <w:t>審計部」跨部會連鎖治理鏈</w:t>
            </w:r>
          </w:p>
        </w:tc>
      </w:tr>
      <w:tr w:rsidR="00046118">
        <w:tc>
          <w:tcPr>
            <w:tcW w:w="2000" w:type="dxa"/>
            <w:tcMar>
              <w:top w:w="100" w:type="dxa"/>
              <w:left w:w="120" w:type="dxa"/>
              <w:bottom w:w="100" w:type="dxa"/>
              <w:right w:w="120" w:type="dxa"/>
            </w:tcMar>
            <w:vAlign w:val="center"/>
          </w:tcPr>
          <w:p w:rsidR="00046118" w:rsidRDefault="007D5CF6">
            <w:pPr>
              <w:spacing w:after="60" w:line="300" w:lineRule="auto"/>
            </w:pPr>
            <w:r>
              <w:rPr>
                <w:sz w:val="22"/>
                <w:szCs w:val="22"/>
              </w:rPr>
              <w:lastRenderedPageBreak/>
              <w:t>核心目標</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演算法合</w:t>
            </w:r>
            <w:proofErr w:type="gramStart"/>
            <w:r>
              <w:rPr>
                <w:sz w:val="22"/>
                <w:szCs w:val="22"/>
              </w:rPr>
              <w:t>規</w:t>
            </w:r>
            <w:proofErr w:type="gramEnd"/>
            <w:r>
              <w:rPr>
                <w:sz w:val="22"/>
                <w:szCs w:val="22"/>
              </w:rPr>
              <w:t>性與可解釋性</w:t>
            </w:r>
          </w:p>
        </w:tc>
        <w:tc>
          <w:tcPr>
            <w:tcW w:w="3150" w:type="dxa"/>
            <w:tcMar>
              <w:top w:w="100" w:type="dxa"/>
              <w:left w:w="120" w:type="dxa"/>
              <w:bottom w:w="100" w:type="dxa"/>
              <w:right w:w="120" w:type="dxa"/>
            </w:tcMar>
            <w:vAlign w:val="center"/>
          </w:tcPr>
          <w:p w:rsidR="00046118" w:rsidRDefault="007D5CF6">
            <w:pPr>
              <w:spacing w:after="60" w:line="300" w:lineRule="auto"/>
            </w:pPr>
            <w:r>
              <w:rPr>
                <w:sz w:val="22"/>
                <w:szCs w:val="22"/>
              </w:rPr>
              <w:t>維持國家「最低實質控制能力（</w:t>
            </w:r>
            <w:r>
              <w:rPr>
                <w:sz w:val="22"/>
                <w:szCs w:val="22"/>
              </w:rPr>
              <w:t>MSCC</w:t>
            </w:r>
            <w:r>
              <w:rPr>
                <w:sz w:val="22"/>
                <w:szCs w:val="22"/>
              </w:rPr>
              <w:t>）」與擔保責任</w:t>
            </w:r>
          </w:p>
        </w:tc>
      </w:tr>
    </w:tbl>
    <w:p w:rsidR="00046118" w:rsidRDefault="007D5CF6">
      <w:pPr>
        <w:pStyle w:val="3"/>
      </w:pPr>
      <w:bookmarkStart w:id="13" w:name="_Toc238074051"/>
      <w:r>
        <w:t>圖</w:t>
      </w:r>
      <w:r>
        <w:t xml:space="preserve"> 2-1 </w:t>
      </w:r>
      <w:r>
        <w:t>文字結構對照（無障礙輔助說明）</w:t>
      </w:r>
      <w:bookmarkEnd w:id="13"/>
    </w:p>
    <w:p w:rsidR="00046118" w:rsidRDefault="007D5CF6">
      <w:pPr>
        <w:spacing w:after="200" w:line="360" w:lineRule="auto"/>
        <w:jc w:val="both"/>
      </w:pPr>
      <w:r>
        <w:t>一、問題根源：</w:t>
      </w:r>
      <w:proofErr w:type="gramStart"/>
      <w:r>
        <w:t>三</w:t>
      </w:r>
      <w:proofErr w:type="gramEnd"/>
      <w:r>
        <w:t>機關治理</w:t>
      </w:r>
      <w:proofErr w:type="gramStart"/>
      <w:r>
        <w:t>鏈斷鏈</w:t>
      </w:r>
      <w:r>
        <w:t>—</w:t>
      </w:r>
      <w:proofErr w:type="gramEnd"/>
      <w:r>
        <w:t>—</w:t>
      </w:r>
      <w:r>
        <w:t>採購端（數位發展部）缺乏「實質控制權」採購規範，導致廠商鎖定；執行端（法務部／第一線）缺乏「技術抵抗工具」，誘發</w:t>
      </w:r>
      <w:proofErr w:type="gramStart"/>
      <w:r>
        <w:t>自動化偏誤</w:t>
      </w:r>
      <w:proofErr w:type="gramEnd"/>
      <w:r>
        <w:t>；稽核端（審計部）缺乏「演算法穿透性稽核抓手」，僅能形式核章。</w:t>
      </w:r>
    </w:p>
    <w:p w:rsidR="00046118" w:rsidRDefault="007D5CF6">
      <w:pPr>
        <w:spacing w:after="200" w:line="360" w:lineRule="auto"/>
        <w:jc w:val="both"/>
      </w:pPr>
      <w:r>
        <w:t>二、核心理論：</w:t>
      </w:r>
      <w:r>
        <w:t xml:space="preserve">MSCC </w:t>
      </w:r>
      <w:r>
        <w:t>與硬指標</w:t>
      </w:r>
      <w:proofErr w:type="gramStart"/>
      <w:r>
        <w:t>—</w:t>
      </w:r>
      <w:proofErr w:type="gramEnd"/>
      <w:r>
        <w:t>—</w:t>
      </w:r>
      <w:r>
        <w:t>最低實質控制能力（</w:t>
      </w:r>
      <w:r>
        <w:t>MSCC</w:t>
      </w:r>
      <w:r>
        <w:t>）係國家落實行政擔保責任所必須維繫之最低限度法律、技術與基礎設施主權；核心理論命題為「硬指標（結構性控制權）」乃是「軟能力（公務員裁量與異議）」得以發揮之先決條件。</w:t>
      </w:r>
    </w:p>
    <w:p w:rsidR="00046118" w:rsidRDefault="007D5CF6">
      <w:pPr>
        <w:spacing w:after="200" w:line="360" w:lineRule="auto"/>
        <w:jc w:val="both"/>
      </w:pPr>
      <w:r>
        <w:t>三、宜蘭分署案例檢驗（低結構性分離基準線）</w:t>
      </w:r>
      <w:proofErr w:type="gramStart"/>
      <w:r>
        <w:t>—</w:t>
      </w:r>
      <w:proofErr w:type="gramEnd"/>
      <w:r>
        <w:t xml:space="preserve">—(1) </w:t>
      </w:r>
      <w:r>
        <w:t>契約權力：未見商業</w:t>
      </w:r>
      <w:proofErr w:type="gramStart"/>
      <w:r>
        <w:t>軟體鎖或解約</w:t>
      </w:r>
      <w:proofErr w:type="gramEnd"/>
      <w:r>
        <w:t>賠償記載，保有單方切斷處置權；</w:t>
      </w:r>
      <w:r>
        <w:t xml:space="preserve">(2) </w:t>
      </w:r>
      <w:r>
        <w:t>模型控制權：機關人員參與變數定義，掌握資料架構；</w:t>
      </w:r>
      <w:r>
        <w:t xml:space="preserve">(3) </w:t>
      </w:r>
      <w:r>
        <w:t>基礎設施依賴度：傾向在地化部署，未見外部專有</w:t>
      </w:r>
      <w:r>
        <w:t xml:space="preserve"> API </w:t>
      </w:r>
      <w:r>
        <w:t>依賴，具離線獨立運作潛力。</w:t>
      </w:r>
    </w:p>
    <w:p w:rsidR="00046118" w:rsidRDefault="007D5CF6">
      <w:pPr>
        <w:spacing w:after="200" w:line="360" w:lineRule="auto"/>
        <w:jc w:val="both"/>
      </w:pPr>
      <w:r>
        <w:t>四、制度建構：</w:t>
      </w:r>
      <w:proofErr w:type="gramStart"/>
      <w:r>
        <w:t>三</w:t>
      </w:r>
      <w:proofErr w:type="gramEnd"/>
      <w:r>
        <w:t>機關協同治理工具矩陣</w:t>
      </w:r>
      <w:r>
        <w:t>——</w:t>
      </w:r>
      <w:r>
        <w:t>數位發展部（採購端）：</w:t>
      </w:r>
      <w:r>
        <w:t xml:space="preserve">MSCC </w:t>
      </w:r>
      <w:r>
        <w:t>硬指標防禦門檻</w:t>
      </w:r>
      <w:r>
        <w:t xml:space="preserve"> Checklist</w:t>
      </w:r>
      <w:r>
        <w:t>；審計部（稽核端）：程序性演算法控制權審計</w:t>
      </w:r>
      <w:proofErr w:type="gramStart"/>
      <w:r>
        <w:t>三</w:t>
      </w:r>
      <w:proofErr w:type="gramEnd"/>
      <w:r>
        <w:t>步法；法務部（執行端）：低分離預測行政</w:t>
      </w:r>
      <w:r>
        <w:t xml:space="preserve"> SOP </w:t>
      </w:r>
      <w:r>
        <w:t>與第一線覆核／退出保障機制。</w:t>
      </w:r>
    </w:p>
    <w:p w:rsidR="00046118" w:rsidRDefault="007D5CF6">
      <w:pPr>
        <w:spacing w:after="200" w:line="360" w:lineRule="auto"/>
        <w:jc w:val="both"/>
      </w:pPr>
      <w:r>
        <w:t>整體而言，圖</w:t>
      </w:r>
      <w:r>
        <w:t xml:space="preserve"> 2-1 </w:t>
      </w:r>
      <w:r>
        <w:t>完整梳理了本研究從「三</w:t>
      </w:r>
      <w:proofErr w:type="gramStart"/>
      <w:r>
        <w:t>機關斷鏈問題</w:t>
      </w:r>
      <w:proofErr w:type="gramEnd"/>
      <w:r>
        <w:t>」出發，結合「</w:t>
      </w:r>
      <w:r>
        <w:t xml:space="preserve">MSCC </w:t>
      </w:r>
      <w:r>
        <w:t>硬指標理論」，並經由「宜蘭個案驗證」後，最終匯流至「三機關協同治理矩陣」的整體思維脈絡；此一脈絡亦構成本文第三章至第五章之論述主軸，讀者可於後續章節中，逐一對照圖中四個區塊與正文對應段落。</w:t>
      </w:r>
    </w:p>
    <w:p w:rsidR="00046118" w:rsidRDefault="007D5CF6">
      <w:pPr>
        <w:pStyle w:val="1"/>
        <w:pageBreakBefore/>
      </w:pPr>
      <w:bookmarkStart w:id="14" w:name="_Toc238074052"/>
      <w:r>
        <w:lastRenderedPageBreak/>
        <w:t>第三章</w:t>
      </w:r>
      <w:r>
        <w:t xml:space="preserve"> </w:t>
      </w:r>
      <w:r>
        <w:t>宜蘭分署清償率模型之案例檢驗</w:t>
      </w:r>
      <w:bookmarkEnd w:id="14"/>
    </w:p>
    <w:p w:rsidR="00046118" w:rsidRDefault="007D5CF6">
      <w:pPr>
        <w:pStyle w:val="2"/>
        <w:spacing w:before="300"/>
      </w:pPr>
      <w:bookmarkStart w:id="15" w:name="_Toc238074053"/>
      <w:r>
        <w:t>第一節　案例背景：公法上金錢給付執行與預測模型導入</w:t>
      </w:r>
      <w:bookmarkEnd w:id="15"/>
    </w:p>
    <w:p w:rsidR="00046118" w:rsidRDefault="007D5CF6">
      <w:pPr>
        <w:spacing w:after="200" w:line="360" w:lineRule="auto"/>
        <w:jc w:val="both"/>
      </w:pPr>
      <w:r>
        <w:t>法務部行政執行署宜蘭分署負責宜蘭、花蓮地區公法上金錢給付義務之強制執行業務。面對</w:t>
      </w:r>
      <w:proofErr w:type="gramStart"/>
      <w:r>
        <w:t>海量之滯納</w:t>
      </w:r>
      <w:proofErr w:type="gramEnd"/>
      <w:r>
        <w:t>案件與有限之人力，宜蘭分署於</w:t>
      </w:r>
      <w:r>
        <w:t xml:space="preserve"> 2024 </w:t>
      </w:r>
      <w:r>
        <w:t>年獲選數位發展部「政府機關資料應用培力輔導計畫」陪伴協作輔導機關，透過分析義務人過去之繳款紀錄、財產狀況、扣押結果與行業類別，運用機關近兩年已結案件資料（清理後約</w:t>
      </w:r>
      <w:r>
        <w:t xml:space="preserve"> 16,940 </w:t>
      </w:r>
      <w:r>
        <w:t>筆），建置「清償率預測模型」與視覺化儀表板。</w:t>
      </w:r>
    </w:p>
    <w:p w:rsidR="00046118" w:rsidRDefault="007D5CF6">
      <w:pPr>
        <w:spacing w:after="200" w:line="360" w:lineRule="auto"/>
        <w:jc w:val="both"/>
      </w:pPr>
      <w:r>
        <w:t>該模型之主要功能，在於將新移送之案件進行「風險與清償可能性分流」，產出預測分數，用於優先處理高清償率案件，或啟動低清償率案件之關懷機制，協助執行官與書記官安排案卷調閱與執行措施之優先順序（</w:t>
      </w:r>
      <w:r>
        <w:t>Priority Setting</w:t>
      </w:r>
      <w:r>
        <w:t>）。本案屬機關內部能力</w:t>
      </w:r>
      <w:proofErr w:type="gramStart"/>
      <w:r>
        <w:t>建構型專案</w:t>
      </w:r>
      <w:proofErr w:type="gramEnd"/>
      <w:r>
        <w:t>，機關統計人員全程參與，數發部輔導團隊主要提供方法論指導，而非</w:t>
      </w:r>
      <w:proofErr w:type="gramStart"/>
      <w:r>
        <w:t>承攬式全</w:t>
      </w:r>
      <w:proofErr w:type="gramEnd"/>
      <w:r>
        <w:t>案外包。</w:t>
      </w:r>
    </w:p>
    <w:p w:rsidR="00046118" w:rsidRDefault="007D5CF6">
      <w:pPr>
        <w:pStyle w:val="2"/>
        <w:spacing w:before="300"/>
      </w:pPr>
      <w:bookmarkStart w:id="16" w:name="_Toc238074054"/>
      <w:r>
        <w:t>第二節　三項硬指標之經驗檢驗</w:t>
      </w:r>
      <w:bookmarkEnd w:id="16"/>
    </w:p>
    <w:p w:rsidR="00046118" w:rsidRDefault="007D5CF6">
      <w:pPr>
        <w:spacing w:after="200" w:line="360" w:lineRule="auto"/>
        <w:jc w:val="both"/>
      </w:pPr>
      <w:r>
        <w:t>本節基於公開資料與審計報告，對宜蘭分署清償率模型進行三項硬指標之檢核。由於本研究僅能取得公開文件，以下判定均採取保守立場，僅描述「公開資料未顯示外部鎖定跡象」，而非積極證明機關已完整取得技術主權。</w:t>
      </w:r>
    </w:p>
    <w:p w:rsidR="00046118" w:rsidRDefault="007D5CF6">
      <w:pPr>
        <w:pStyle w:val="3"/>
      </w:pPr>
      <w:bookmarkStart w:id="17" w:name="_Toc238074055"/>
      <w:r>
        <w:t>一、契約權力與單方處置能力之檢核</w:t>
      </w:r>
      <w:bookmarkEnd w:id="17"/>
    </w:p>
    <w:p w:rsidR="00046118" w:rsidRDefault="007D5CF6">
      <w:pPr>
        <w:spacing w:after="200" w:line="360" w:lineRule="auto"/>
        <w:jc w:val="both"/>
      </w:pPr>
      <w:r>
        <w:t>公開資料顯示，宜蘭分署之模型發展屬數位發展部培力輔導專案，並非傳統「一次性高額買斷式</w:t>
      </w:r>
      <w:r>
        <w:t xml:space="preserve"> Turnkey </w:t>
      </w:r>
      <w:r>
        <w:t>專案」，公開文件亦未見專有軟體鎖（</w:t>
      </w:r>
      <w:r>
        <w:t>Software Locks</w:t>
      </w:r>
      <w:r>
        <w:t>）或限制資料匯出、高額解約懲罰之閉鎖性條款記載；相關審計報告並鼓勵機關自行優化與推廣應用。</w:t>
      </w:r>
    </w:p>
    <w:p w:rsidR="00046118" w:rsidRDefault="007D5CF6">
      <w:pPr>
        <w:spacing w:after="200" w:line="360" w:lineRule="auto"/>
        <w:jc w:val="both"/>
      </w:pPr>
      <w:r>
        <w:rPr>
          <w:b/>
          <w:bCs/>
        </w:rPr>
        <w:t>檢驗結果：</w:t>
      </w:r>
      <w:r>
        <w:t>公開資料顯示機關保有相對完整之單方處置權限，未見專有軟體鎖定或高額解約懲罰之記載，可判定為「傾向低分離（未顯示外部契約鎖定）」。惟因契約全文非本研究所能取得，故此</w:t>
      </w:r>
      <w:proofErr w:type="gramStart"/>
      <w:r>
        <w:t>一</w:t>
      </w:r>
      <w:proofErr w:type="gramEnd"/>
      <w:r>
        <w:t>判定不排除公開文件未揭露之限制條款，尚不足以積極證明毫無任何鎖定條款存在。</w:t>
      </w:r>
    </w:p>
    <w:p w:rsidR="00046118" w:rsidRDefault="007D5CF6">
      <w:pPr>
        <w:pStyle w:val="3"/>
      </w:pPr>
      <w:bookmarkStart w:id="18" w:name="_Toc238074056"/>
      <w:r>
        <w:t>二、模型控制權與再訓練能力之檢核</w:t>
      </w:r>
      <w:bookmarkEnd w:id="18"/>
    </w:p>
    <w:p w:rsidR="00046118" w:rsidRDefault="007D5CF6">
      <w:pPr>
        <w:spacing w:after="200" w:line="360" w:lineRule="auto"/>
        <w:jc w:val="both"/>
      </w:pPr>
      <w:r>
        <w:lastRenderedPageBreak/>
        <w:t>該模型之訓練資料完全取自行政執行署內部之歷史結案資料庫，資料清理與變數</w:t>
      </w:r>
      <w:proofErr w:type="gramStart"/>
      <w:r>
        <w:t>轉譯由機關</w:t>
      </w:r>
      <w:proofErr w:type="gramEnd"/>
      <w:r>
        <w:t>內部統計人員全程參與變數定義與模型建置，數發部輔導團隊角色為方法論指導。機關內部人員之實質參與，亦使該模型在程序上具備接受外部審計與稽核之潛在透明度。</w:t>
      </w:r>
    </w:p>
    <w:p w:rsidR="00046118" w:rsidRDefault="007D5CF6">
      <w:pPr>
        <w:spacing w:after="200" w:line="360" w:lineRule="auto"/>
        <w:jc w:val="both"/>
      </w:pPr>
      <w:r>
        <w:rPr>
          <w:b/>
          <w:bCs/>
        </w:rPr>
        <w:t>檢驗結果：</w:t>
      </w:r>
      <w:r>
        <w:t>公開資料顯示機關統計人員實質參與資料架構（</w:t>
      </w:r>
      <w:r>
        <w:t>Data Schema</w:t>
      </w:r>
      <w:r>
        <w:t>）與變數定義，具備一定程度之自主更新與潛在再訓練基礎，可判定為「傾向低分離（顯示機關具實質參與空間）」。</w:t>
      </w:r>
      <w:proofErr w:type="gramStart"/>
      <w:r>
        <w:t>惟</w:t>
      </w:r>
      <w:proofErr w:type="gramEnd"/>
      <w:r>
        <w:t>公開資料未揭露完整之模型再訓練技術規格與長期維運安排，故此一判定亦僅止於「未顯示外部鎖定」之保守認定。</w:t>
      </w:r>
    </w:p>
    <w:p w:rsidR="00046118" w:rsidRDefault="007D5CF6">
      <w:pPr>
        <w:pStyle w:val="3"/>
      </w:pPr>
      <w:bookmarkStart w:id="19" w:name="_Toc238074057"/>
      <w:r>
        <w:t>三、基礎設施依賴度與部署位置之檢核</w:t>
      </w:r>
      <w:bookmarkEnd w:id="19"/>
    </w:p>
    <w:p w:rsidR="00046118" w:rsidRDefault="007D5CF6">
      <w:pPr>
        <w:spacing w:after="200" w:line="360" w:lineRule="auto"/>
        <w:jc w:val="both"/>
      </w:pPr>
      <w:r>
        <w:t>該系統之運算與資料儲存，公開文件並未提及依賴外部商業公有雲（</w:t>
      </w:r>
      <w:r>
        <w:t>Public Cloud</w:t>
      </w:r>
      <w:r>
        <w:t>）或專有商業</w:t>
      </w:r>
      <w:r>
        <w:t xml:space="preserve"> API</w:t>
      </w:r>
      <w:r>
        <w:t>；輔導專案結束後，機關並獲鼓勵自行優化與延續應用。</w:t>
      </w:r>
    </w:p>
    <w:p w:rsidR="00046118" w:rsidRDefault="007D5CF6">
      <w:pPr>
        <w:spacing w:after="200" w:line="360" w:lineRule="auto"/>
        <w:jc w:val="both"/>
      </w:pPr>
      <w:r>
        <w:rPr>
          <w:b/>
          <w:bCs/>
        </w:rPr>
        <w:t>檢驗結果：</w:t>
      </w:r>
      <w:r>
        <w:t>公開文件未提及外部商業雲端或專有</w:t>
      </w:r>
      <w:r>
        <w:t xml:space="preserve"> API </w:t>
      </w:r>
      <w:r>
        <w:t>依賴，顯示系統傾向在地化部署，可判定為「傾向低分離（未顯示明顯基礎設施鎖定）」。惟因本研究未取得完整之基礎設施架構文件與機房部署證明，此一判定亦非積極證明系統已完全自主獨立運作。</w:t>
      </w:r>
    </w:p>
    <w:p w:rsidR="00046118" w:rsidRDefault="007D5CF6">
      <w:pPr>
        <w:spacing w:before="200" w:after="120"/>
        <w:jc w:val="center"/>
      </w:pPr>
      <w:r>
        <w:rPr>
          <w:b/>
          <w:bCs/>
        </w:rPr>
        <w:t>表</w:t>
      </w:r>
      <w:r>
        <w:rPr>
          <w:b/>
          <w:bCs/>
        </w:rPr>
        <w:t xml:space="preserve"> 3-1</w:t>
      </w:r>
      <w:r>
        <w:rPr>
          <w:b/>
          <w:bCs/>
        </w:rPr>
        <w:t>：宜蘭分署案結構性分離硬指標檢核表（保守版）</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350"/>
        <w:gridCol w:w="3400"/>
        <w:gridCol w:w="2550"/>
      </w:tblGrid>
      <w:tr w:rsidR="00046118">
        <w:trPr>
          <w:tblHeader/>
        </w:trPr>
        <w:tc>
          <w:tcPr>
            <w:tcW w:w="23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結構性分離硬指標</w:t>
            </w:r>
          </w:p>
        </w:tc>
        <w:tc>
          <w:tcPr>
            <w:tcW w:w="34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宜蘭分署案公開資料表現</w:t>
            </w:r>
          </w:p>
        </w:tc>
        <w:tc>
          <w:tcPr>
            <w:tcW w:w="25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結構性分離程度評估</w:t>
            </w:r>
          </w:p>
        </w:tc>
      </w:tr>
      <w:tr w:rsidR="00046118">
        <w:tc>
          <w:tcPr>
            <w:tcW w:w="235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1. </w:t>
            </w:r>
            <w:r>
              <w:rPr>
                <w:sz w:val="22"/>
                <w:szCs w:val="22"/>
              </w:rPr>
              <w:t>契約權力與單方處置能力</w:t>
            </w:r>
          </w:p>
        </w:tc>
        <w:tc>
          <w:tcPr>
            <w:tcW w:w="3400" w:type="dxa"/>
            <w:tcMar>
              <w:top w:w="100" w:type="dxa"/>
              <w:left w:w="120" w:type="dxa"/>
              <w:bottom w:w="100" w:type="dxa"/>
              <w:right w:w="120" w:type="dxa"/>
            </w:tcMar>
            <w:vAlign w:val="center"/>
          </w:tcPr>
          <w:p w:rsidR="00046118" w:rsidRDefault="007D5CF6">
            <w:pPr>
              <w:spacing w:after="60" w:line="300" w:lineRule="auto"/>
            </w:pPr>
            <w:proofErr w:type="gramStart"/>
            <w:r>
              <w:rPr>
                <w:sz w:val="22"/>
                <w:szCs w:val="22"/>
              </w:rPr>
              <w:t>屬數發</w:t>
            </w:r>
            <w:proofErr w:type="gramEnd"/>
            <w:r>
              <w:rPr>
                <w:sz w:val="22"/>
                <w:szCs w:val="22"/>
              </w:rPr>
              <w:t>部培力輔導專案，非商業全盤外包；未見專有</w:t>
            </w:r>
            <w:proofErr w:type="gramStart"/>
            <w:r>
              <w:rPr>
                <w:sz w:val="22"/>
                <w:szCs w:val="22"/>
              </w:rPr>
              <w:t>軟體鎖或高額</w:t>
            </w:r>
            <w:proofErr w:type="gramEnd"/>
            <w:r>
              <w:rPr>
                <w:sz w:val="22"/>
                <w:szCs w:val="22"/>
              </w:rPr>
              <w:t>解約懲罰記載；審計報告鼓勵自行優化推廣。</w:t>
            </w:r>
          </w:p>
        </w:tc>
        <w:tc>
          <w:tcPr>
            <w:tcW w:w="2550" w:type="dxa"/>
            <w:tcMar>
              <w:top w:w="100" w:type="dxa"/>
              <w:left w:w="120" w:type="dxa"/>
              <w:bottom w:w="100" w:type="dxa"/>
              <w:right w:w="120" w:type="dxa"/>
            </w:tcMar>
            <w:vAlign w:val="center"/>
          </w:tcPr>
          <w:p w:rsidR="00046118" w:rsidRDefault="007D5CF6">
            <w:pPr>
              <w:spacing w:after="60" w:line="300" w:lineRule="auto"/>
            </w:pPr>
            <w:r>
              <w:rPr>
                <w:sz w:val="22"/>
                <w:szCs w:val="22"/>
              </w:rPr>
              <w:t>傾向低分離（未顯示外部契約鎖定）</w:t>
            </w:r>
          </w:p>
        </w:tc>
      </w:tr>
      <w:tr w:rsidR="00046118">
        <w:tc>
          <w:tcPr>
            <w:tcW w:w="235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2. </w:t>
            </w:r>
            <w:r>
              <w:rPr>
                <w:sz w:val="22"/>
                <w:szCs w:val="22"/>
              </w:rPr>
              <w:t>模型控制權與再訓練能力</w:t>
            </w:r>
          </w:p>
        </w:tc>
        <w:tc>
          <w:tcPr>
            <w:tcW w:w="3400" w:type="dxa"/>
            <w:tcMar>
              <w:top w:w="100" w:type="dxa"/>
              <w:left w:w="120" w:type="dxa"/>
              <w:bottom w:w="100" w:type="dxa"/>
              <w:right w:w="120" w:type="dxa"/>
            </w:tcMar>
            <w:vAlign w:val="center"/>
          </w:tcPr>
          <w:p w:rsidR="00046118" w:rsidRDefault="007D5CF6">
            <w:pPr>
              <w:spacing w:after="60" w:line="300" w:lineRule="auto"/>
            </w:pPr>
            <w:r>
              <w:rPr>
                <w:sz w:val="22"/>
                <w:szCs w:val="22"/>
              </w:rPr>
              <w:t>使用機關內部歷史結案資料；統計人員全程參與變數定義與建置；輔導團隊角色為方法論指導。</w:t>
            </w:r>
          </w:p>
        </w:tc>
        <w:tc>
          <w:tcPr>
            <w:tcW w:w="2550" w:type="dxa"/>
            <w:tcMar>
              <w:top w:w="100" w:type="dxa"/>
              <w:left w:w="120" w:type="dxa"/>
              <w:bottom w:w="100" w:type="dxa"/>
              <w:right w:w="120" w:type="dxa"/>
            </w:tcMar>
            <w:vAlign w:val="center"/>
          </w:tcPr>
          <w:p w:rsidR="00046118" w:rsidRDefault="007D5CF6">
            <w:pPr>
              <w:spacing w:after="60" w:line="300" w:lineRule="auto"/>
            </w:pPr>
            <w:r>
              <w:rPr>
                <w:sz w:val="22"/>
                <w:szCs w:val="22"/>
              </w:rPr>
              <w:t>傾向低分離（顯示機關具實質參與空間）</w:t>
            </w:r>
          </w:p>
        </w:tc>
      </w:tr>
      <w:tr w:rsidR="00046118">
        <w:tc>
          <w:tcPr>
            <w:tcW w:w="235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3. </w:t>
            </w:r>
            <w:r>
              <w:rPr>
                <w:sz w:val="22"/>
                <w:szCs w:val="22"/>
              </w:rPr>
              <w:t>基礎設施依賴與部署位置</w:t>
            </w:r>
          </w:p>
        </w:tc>
        <w:tc>
          <w:tcPr>
            <w:tcW w:w="3400" w:type="dxa"/>
            <w:tcMar>
              <w:top w:w="100" w:type="dxa"/>
              <w:left w:w="120" w:type="dxa"/>
              <w:bottom w:w="100" w:type="dxa"/>
              <w:right w:w="120" w:type="dxa"/>
            </w:tcMar>
            <w:vAlign w:val="center"/>
          </w:tcPr>
          <w:p w:rsidR="00046118" w:rsidRDefault="007D5CF6">
            <w:pPr>
              <w:spacing w:after="60" w:line="300" w:lineRule="auto"/>
            </w:pPr>
            <w:r>
              <w:rPr>
                <w:sz w:val="22"/>
                <w:szCs w:val="22"/>
              </w:rPr>
              <w:t>公開文件未提及外部商業雲端或專有</w:t>
            </w:r>
            <w:r>
              <w:rPr>
                <w:sz w:val="22"/>
                <w:szCs w:val="22"/>
              </w:rPr>
              <w:t xml:space="preserve"> API </w:t>
            </w:r>
            <w:r>
              <w:rPr>
                <w:sz w:val="22"/>
                <w:szCs w:val="22"/>
              </w:rPr>
              <w:t>依賴；輔導結束後鼓勵自行優化。</w:t>
            </w:r>
          </w:p>
        </w:tc>
        <w:tc>
          <w:tcPr>
            <w:tcW w:w="2550" w:type="dxa"/>
            <w:tcMar>
              <w:top w:w="100" w:type="dxa"/>
              <w:left w:w="120" w:type="dxa"/>
              <w:bottom w:w="100" w:type="dxa"/>
              <w:right w:w="120" w:type="dxa"/>
            </w:tcMar>
            <w:vAlign w:val="center"/>
          </w:tcPr>
          <w:p w:rsidR="00046118" w:rsidRDefault="007D5CF6">
            <w:pPr>
              <w:spacing w:after="60" w:line="300" w:lineRule="auto"/>
            </w:pPr>
            <w:r>
              <w:rPr>
                <w:sz w:val="22"/>
                <w:szCs w:val="22"/>
              </w:rPr>
              <w:t>傾向低分離（未顯示明顯基礎設施鎖定）</w:t>
            </w:r>
          </w:p>
        </w:tc>
      </w:tr>
    </w:tbl>
    <w:p w:rsidR="00046118" w:rsidRDefault="007D5CF6">
      <w:pPr>
        <w:pStyle w:val="2"/>
        <w:spacing w:before="300"/>
      </w:pPr>
      <w:bookmarkStart w:id="20" w:name="_Toc238074058"/>
      <w:r>
        <w:lastRenderedPageBreak/>
        <w:t>第三節　小結：宜蘭模式的「低分離基準線」</w:t>
      </w:r>
      <w:bookmarkEnd w:id="20"/>
    </w:p>
    <w:p w:rsidR="00046118" w:rsidRDefault="007D5CF6">
      <w:pPr>
        <w:spacing w:after="200" w:line="360" w:lineRule="auto"/>
        <w:jc w:val="both"/>
      </w:pPr>
      <w:r>
        <w:t>由上述三項硬指標之檢核可知，宜蘭分署個案在公開可驗證的硬指標層面呈現「低結構性分離」特徵，可作為「低分離基準線」的探索性參照：機關透過內部統計人員參與變數定義、資料清理，以及傾向在地化之部署方式，在契約權力、模型控制權與基礎設施依賴度三項硬指標上，</w:t>
      </w:r>
      <w:proofErr w:type="gramStart"/>
      <w:r>
        <w:t>均未顯示</w:t>
      </w:r>
      <w:proofErr w:type="gramEnd"/>
      <w:r>
        <w:t>明顯之外部技術鎖定跡象。</w:t>
      </w:r>
    </w:p>
    <w:p w:rsidR="00046118" w:rsidRDefault="007D5CF6">
      <w:pPr>
        <w:spacing w:after="200" w:line="360" w:lineRule="auto"/>
        <w:jc w:val="both"/>
      </w:pPr>
      <w:r>
        <w:t>惟須再次強調，本文所稱「傾向低分離」係指「公開資料未顯示外部鎖定」，而非積極證明宜蘭分署已完整實現技術主權；本研究亦嚴格依循公開資料進行判定，未涉及原始碼、完整契約文本或內部系統架構之查核，相關結論之外推應保持審慎。</w:t>
      </w:r>
    </w:p>
    <w:p w:rsidR="00046118" w:rsidRDefault="007D5CF6">
      <w:pPr>
        <w:pStyle w:val="1"/>
        <w:pageBreakBefore/>
      </w:pPr>
      <w:bookmarkStart w:id="21" w:name="_Toc238074059"/>
      <w:r>
        <w:lastRenderedPageBreak/>
        <w:t>第四章</w:t>
      </w:r>
      <w:r>
        <w:t xml:space="preserve"> </w:t>
      </w:r>
      <w:r>
        <w:t>討論：</w:t>
      </w:r>
      <w:proofErr w:type="gramStart"/>
      <w:r>
        <w:t>從硬指標</w:t>
      </w:r>
      <w:proofErr w:type="gramEnd"/>
      <w:r>
        <w:t>到國家實質控制能力</w:t>
      </w:r>
      <w:bookmarkEnd w:id="21"/>
    </w:p>
    <w:p w:rsidR="00046118" w:rsidRDefault="007D5CF6">
      <w:pPr>
        <w:pStyle w:val="2"/>
        <w:spacing w:before="300"/>
      </w:pPr>
      <w:bookmarkStart w:id="22" w:name="_Toc238074060"/>
      <w:r>
        <w:t>第一節　硬指標作為軟能力之前置承載空間</w:t>
      </w:r>
      <w:bookmarkEnd w:id="22"/>
    </w:p>
    <w:p w:rsidR="00046118" w:rsidRDefault="007D5CF6">
      <w:pPr>
        <w:spacing w:after="200" w:line="360" w:lineRule="auto"/>
        <w:jc w:val="both"/>
      </w:pPr>
      <w:r>
        <w:t>過去文獻</w:t>
      </w:r>
      <w:proofErr w:type="gramStart"/>
      <w:r>
        <w:t>（</w:t>
      </w:r>
      <w:proofErr w:type="gramEnd"/>
      <w:r>
        <w:t>如</w:t>
      </w:r>
      <w:r>
        <w:t xml:space="preserve"> </w:t>
      </w:r>
      <w:proofErr w:type="spellStart"/>
      <w:r>
        <w:t>Elish</w:t>
      </w:r>
      <w:proofErr w:type="spellEnd"/>
      <w:r>
        <w:t>, 2019; Pasquale, 2015</w:t>
      </w:r>
      <w:proofErr w:type="gramStart"/>
      <w:r>
        <w:t>）</w:t>
      </w:r>
      <w:proofErr w:type="gramEnd"/>
      <w:r>
        <w:t>強調第一線官員必須具備批判性思考與「</w:t>
      </w:r>
      <w:proofErr w:type="gramStart"/>
      <w:r>
        <w:t>自動化偏</w:t>
      </w:r>
      <w:proofErr w:type="gramEnd"/>
      <w:r>
        <w:t>誤」之抗性（即「軟能力」）。然而，本研究經驗顯示，若無「低結構性分離之硬指標」作為支撐，軟能力恐將淪為空中樓閣。</w:t>
      </w:r>
    </w:p>
    <w:p w:rsidR="00046118" w:rsidRDefault="007D5CF6">
      <w:pPr>
        <w:spacing w:after="200" w:line="360" w:lineRule="auto"/>
        <w:jc w:val="both"/>
      </w:pPr>
      <w:r>
        <w:t>宜蘭分署個案之所以能讓第一線執行官傾向將預測分數「僅視為參考」，關鍵之</w:t>
      </w:r>
      <w:proofErr w:type="gramStart"/>
      <w:r>
        <w:t>一</w:t>
      </w:r>
      <w:proofErr w:type="gramEnd"/>
      <w:r>
        <w:t>在於機關在系統建置過程中，取得了一定程度建立技術接管能力之組織條件：系統部署傾向在地化、契約未見解約懲罰、資料邏輯由內部人員參與掌握，使公機關在硬指標層面，較不容易發生控制權下</w:t>
      </w:r>
      <w:proofErr w:type="gramStart"/>
      <w:r>
        <w:t>沉</w:t>
      </w:r>
      <w:proofErr w:type="gramEnd"/>
      <w:r>
        <w:t>、基礎設施與模型產權外流之情形。相對而言，若機關引進的是外部廠商的「黑盒套裝軟體」，官員縱使懷疑預測結果，亦可能缺乏資源與法律權限去調整模型，軟能力終將可能被結構性技術鎖定所掩埋。</w:t>
      </w:r>
    </w:p>
    <w:p w:rsidR="00046118" w:rsidRDefault="007D5CF6">
      <w:pPr>
        <w:pStyle w:val="2"/>
        <w:spacing w:before="300"/>
      </w:pPr>
      <w:bookmarkStart w:id="23" w:name="_Toc238074061"/>
      <w:r>
        <w:t xml:space="preserve">第二節　</w:t>
      </w:r>
      <w:r>
        <w:t xml:space="preserve">MSCC </w:t>
      </w:r>
      <w:r>
        <w:t>硬指標</w:t>
      </w:r>
      <w:proofErr w:type="gramStart"/>
      <w:r>
        <w:t>三</w:t>
      </w:r>
      <w:proofErr w:type="gramEnd"/>
      <w:r>
        <w:t>要素之再精煉</w:t>
      </w:r>
      <w:bookmarkEnd w:id="23"/>
    </w:p>
    <w:p w:rsidR="00046118" w:rsidRDefault="007D5CF6">
      <w:pPr>
        <w:spacing w:after="200" w:line="360" w:lineRule="auto"/>
        <w:jc w:val="both"/>
      </w:pPr>
      <w:r>
        <w:t>綜合宜蘭個案之經驗，本文將</w:t>
      </w:r>
      <w:r>
        <w:t xml:space="preserve"> MSCC </w:t>
      </w:r>
      <w:r>
        <w:t>在硬指標層面之三要素重新精煉如下：</w:t>
      </w:r>
    </w:p>
    <w:p w:rsidR="00046118" w:rsidRDefault="007D5CF6">
      <w:pPr>
        <w:spacing w:after="200" w:line="360" w:lineRule="auto"/>
        <w:ind w:left="480" w:hanging="480"/>
        <w:jc w:val="both"/>
      </w:pPr>
      <w:r>
        <w:rPr>
          <w:b/>
          <w:bCs/>
        </w:rPr>
        <w:t xml:space="preserve">1. </w:t>
      </w:r>
      <w:r>
        <w:rPr>
          <w:b/>
          <w:bCs/>
        </w:rPr>
        <w:t>資料主權與邏輯結構掌握要件（</w:t>
      </w:r>
      <w:r>
        <w:rPr>
          <w:b/>
          <w:bCs/>
        </w:rPr>
        <w:t>Data Sovereignty &amp; Structural Mastery</w:t>
      </w:r>
      <w:r>
        <w:rPr>
          <w:b/>
          <w:bCs/>
        </w:rPr>
        <w:t>）：</w:t>
      </w:r>
      <w:r>
        <w:t>機關必須實質掌握訓練資料集之欄位定義、去識別化流程，並掌握模型變數與法律要件相符之資料架構（</w:t>
      </w:r>
      <w:r>
        <w:t>Data Schema</w:t>
      </w:r>
      <w:r>
        <w:t>）。須特別強調，模型控制權不應僅止於建置當下之變數掌握，更應包含機關因應「資料漂移（</w:t>
      </w:r>
      <w:r>
        <w:t>Data Drift</w:t>
      </w:r>
      <w:r>
        <w:t>）」或「概念漂移（</w:t>
      </w:r>
      <w:r>
        <w:t>Concept Drift</w:t>
      </w:r>
      <w:r>
        <w:t>）」</w:t>
      </w:r>
      <w:proofErr w:type="gramStart"/>
      <w:r>
        <w:t>—</w:t>
      </w:r>
      <w:proofErr w:type="gramEnd"/>
      <w:r>
        <w:t>—</w:t>
      </w:r>
      <w:r>
        <w:t>例如總體經濟環境變化導致歷史清償率模型準確度下降</w:t>
      </w:r>
      <w:r>
        <w:t>——</w:t>
      </w:r>
      <w:r>
        <w:t>而具備定期再訓練與調校（</w:t>
      </w:r>
      <w:r>
        <w:t>Periodic Retraining</w:t>
      </w:r>
      <w:r>
        <w:t>）之自主權利，方能維持模型控制權於系統生命週期中之持續有效性。</w:t>
      </w:r>
    </w:p>
    <w:p w:rsidR="00046118" w:rsidRDefault="007D5CF6">
      <w:pPr>
        <w:spacing w:after="200" w:line="360" w:lineRule="auto"/>
        <w:ind w:left="480" w:hanging="480"/>
        <w:jc w:val="both"/>
      </w:pPr>
      <w:r>
        <w:rPr>
          <w:b/>
          <w:bCs/>
        </w:rPr>
        <w:t xml:space="preserve">2. </w:t>
      </w:r>
      <w:r>
        <w:rPr>
          <w:b/>
          <w:bCs/>
        </w:rPr>
        <w:t>契約退出與轉移要件（</w:t>
      </w:r>
      <w:r>
        <w:rPr>
          <w:b/>
          <w:bCs/>
        </w:rPr>
        <w:t>Contractual Exit &amp; Transition Readiness</w:t>
      </w:r>
      <w:r>
        <w:rPr>
          <w:b/>
          <w:bCs/>
        </w:rPr>
        <w:t>）：</w:t>
      </w:r>
      <w:r>
        <w:t>採購契約中必須載明無痛切斷條款，嚴禁載入專有技術鎖定（</w:t>
      </w:r>
      <w:r>
        <w:t>Proprietary Lock-in</w:t>
      </w:r>
      <w:r>
        <w:t>）與過高解約賠償。</w:t>
      </w:r>
    </w:p>
    <w:p w:rsidR="00046118" w:rsidRDefault="007D5CF6">
      <w:pPr>
        <w:spacing w:after="200" w:line="360" w:lineRule="auto"/>
        <w:ind w:left="480" w:hanging="480"/>
        <w:jc w:val="both"/>
      </w:pPr>
      <w:r>
        <w:rPr>
          <w:b/>
          <w:bCs/>
        </w:rPr>
        <w:t xml:space="preserve">3. </w:t>
      </w:r>
      <w:r>
        <w:rPr>
          <w:b/>
          <w:bCs/>
        </w:rPr>
        <w:t>基礎設施自足要件（</w:t>
      </w:r>
      <w:r>
        <w:rPr>
          <w:b/>
          <w:bCs/>
        </w:rPr>
        <w:t>Infrastructure Self-Sufficiency</w:t>
      </w:r>
      <w:r>
        <w:rPr>
          <w:b/>
          <w:bCs/>
        </w:rPr>
        <w:t>）：</w:t>
      </w:r>
      <w:r>
        <w:t>核心運算與資料儲存</w:t>
      </w:r>
      <w:r>
        <w:lastRenderedPageBreak/>
        <w:t>應以在地化（</w:t>
      </w:r>
      <w:r>
        <w:t>On-Premise</w:t>
      </w:r>
      <w:r>
        <w:t>）或政府專有雲為原則，確保系統具備離線獨立運作之韌性。</w:t>
      </w:r>
    </w:p>
    <w:p w:rsidR="00046118" w:rsidRDefault="007D5CF6">
      <w:pPr>
        <w:pStyle w:val="2"/>
        <w:spacing w:before="300"/>
      </w:pPr>
      <w:bookmarkStart w:id="24" w:name="_Toc238074062"/>
      <w:r>
        <w:t>第三節　與國家擔保責任及</w:t>
      </w:r>
      <w:r>
        <w:t xml:space="preserve"> MSCC </w:t>
      </w:r>
      <w:r>
        <w:t>理論的深層對話</w:t>
      </w:r>
      <w:bookmarkEnd w:id="24"/>
    </w:p>
    <w:p w:rsidR="00046118" w:rsidRDefault="007D5CF6">
      <w:pPr>
        <w:spacing w:after="200" w:line="360" w:lineRule="auto"/>
        <w:jc w:val="both"/>
      </w:pPr>
      <w:r>
        <w:t xml:space="preserve">MSCC </w:t>
      </w:r>
      <w:r>
        <w:t>是將國家擔保責任操作化的嘗試，回答「</w:t>
      </w:r>
      <w:r>
        <w:t xml:space="preserve">AI </w:t>
      </w:r>
      <w:r>
        <w:t>系統進入公權力行使的最低控制門檻」此一問題；退出權則進一步回答「當最低控制門檻無法滿足時，機關應如何拒絕或停止依賴」。宜蘭個案展示了一條較有可能朝</w:t>
      </w:r>
      <w:r>
        <w:t xml:space="preserve"> MSCC </w:t>
      </w:r>
      <w:r>
        <w:t>移動的路徑，惟其屬中小型內部能力建構專案，仍待更多個案交叉驗證此一命題之普遍性。</w:t>
      </w:r>
    </w:p>
    <w:p w:rsidR="00046118" w:rsidRDefault="007D5CF6">
      <w:pPr>
        <w:pStyle w:val="2"/>
        <w:spacing w:before="300"/>
      </w:pPr>
      <w:bookmarkStart w:id="25" w:name="_Toc238074063"/>
      <w:r>
        <w:t>第四節　政策意涵：哪些採購與技術選擇最易誘發控制權下</w:t>
      </w:r>
      <w:proofErr w:type="gramStart"/>
      <w:r>
        <w:t>沉</w:t>
      </w:r>
      <w:proofErr w:type="gramEnd"/>
      <w:r>
        <w:t>？</w:t>
      </w:r>
      <w:bookmarkEnd w:id="25"/>
    </w:p>
    <w:p w:rsidR="00046118" w:rsidRDefault="007D5CF6">
      <w:pPr>
        <w:spacing w:after="200" w:line="360" w:lineRule="auto"/>
        <w:jc w:val="both"/>
      </w:pPr>
      <w:r>
        <w:t>對照宜蘭分署之低分離經驗，本研究歸納出最容易使硬指標翻轉為「高結構性分離」之關鍵採購與技術選擇，供機關於採購規劃階段預先辨識風險：</w:t>
      </w:r>
    </w:p>
    <w:p w:rsidR="00046118" w:rsidRDefault="007D5CF6">
      <w:pPr>
        <w:spacing w:after="200" w:line="360" w:lineRule="auto"/>
        <w:ind w:left="480" w:hanging="480"/>
        <w:jc w:val="both"/>
      </w:pPr>
      <w:r>
        <w:rPr>
          <w:b/>
          <w:bCs/>
        </w:rPr>
        <w:t xml:space="preserve">1. </w:t>
      </w:r>
      <w:r>
        <w:rPr>
          <w:b/>
          <w:bCs/>
        </w:rPr>
        <w:t>一次買斷＋專有軟體鎖：</w:t>
      </w:r>
      <w:r>
        <w:t>契約未載明無痛切斷條款，且解約需負擔高額懲罰性違約金。</w:t>
      </w:r>
    </w:p>
    <w:p w:rsidR="00046118" w:rsidRDefault="007D5CF6">
      <w:pPr>
        <w:spacing w:after="200" w:line="360" w:lineRule="auto"/>
        <w:ind w:left="480" w:hanging="480"/>
        <w:jc w:val="both"/>
      </w:pPr>
      <w:r>
        <w:rPr>
          <w:b/>
          <w:bCs/>
        </w:rPr>
        <w:t xml:space="preserve">2. </w:t>
      </w:r>
      <w:r>
        <w:rPr>
          <w:b/>
          <w:bCs/>
        </w:rPr>
        <w:t>資料與模型權屬完全由廠商掌控：</w:t>
      </w:r>
      <w:r>
        <w:t>訓練資料集之欄位定義、去識別化邏輯與模型權</w:t>
      </w:r>
      <w:proofErr w:type="gramStart"/>
      <w:r>
        <w:t>重均由廠商</w:t>
      </w:r>
      <w:proofErr w:type="gramEnd"/>
      <w:r>
        <w:t>保留，機關無法取得。</w:t>
      </w:r>
    </w:p>
    <w:p w:rsidR="00046118" w:rsidRDefault="007D5CF6">
      <w:pPr>
        <w:spacing w:after="200" w:line="360" w:lineRule="auto"/>
        <w:ind w:left="480" w:hanging="480"/>
        <w:jc w:val="both"/>
      </w:pPr>
      <w:r>
        <w:rPr>
          <w:b/>
          <w:bCs/>
        </w:rPr>
        <w:t xml:space="preserve">3. </w:t>
      </w:r>
      <w:r>
        <w:rPr>
          <w:b/>
          <w:bCs/>
        </w:rPr>
        <w:t>高度依賴外部商業雲端或專有</w:t>
      </w:r>
      <w:r>
        <w:rPr>
          <w:b/>
          <w:bCs/>
        </w:rPr>
        <w:t xml:space="preserve"> API</w:t>
      </w:r>
      <w:r>
        <w:rPr>
          <w:b/>
          <w:bCs/>
        </w:rPr>
        <w:t>：</w:t>
      </w:r>
      <w:r>
        <w:t>核心運算與資料儲存完全交由商業公有雲，機關不具備離線或轉移至其他供應商之能力。</w:t>
      </w:r>
    </w:p>
    <w:p w:rsidR="00046118" w:rsidRDefault="007D5CF6">
      <w:pPr>
        <w:spacing w:after="200" w:line="360" w:lineRule="auto"/>
        <w:ind w:left="480" w:hanging="480"/>
        <w:jc w:val="both"/>
      </w:pPr>
      <w:r>
        <w:rPr>
          <w:b/>
          <w:bCs/>
        </w:rPr>
        <w:t xml:space="preserve">4. </w:t>
      </w:r>
      <w:r>
        <w:rPr>
          <w:b/>
          <w:bCs/>
        </w:rPr>
        <w:t>完全外包開發而未要求機關人員實質參與：</w:t>
      </w:r>
      <w:r>
        <w:t>機關人員僅扮演驗收角色，未參與變數定義與資料清理，導致機關喪失對模型邏輯之理解與掌握。</w:t>
      </w:r>
    </w:p>
    <w:p w:rsidR="00046118" w:rsidRDefault="007D5CF6">
      <w:pPr>
        <w:pStyle w:val="1"/>
        <w:pageBreakBefore/>
      </w:pPr>
      <w:bookmarkStart w:id="26" w:name="_Toc238074064"/>
      <w:r>
        <w:lastRenderedPageBreak/>
        <w:t>第五章</w:t>
      </w:r>
      <w:r>
        <w:t xml:space="preserve"> </w:t>
      </w:r>
      <w:r>
        <w:t>結論與建議</w:t>
      </w:r>
      <w:bookmarkEnd w:id="26"/>
    </w:p>
    <w:p w:rsidR="00046118" w:rsidRDefault="007D5CF6">
      <w:pPr>
        <w:pStyle w:val="2"/>
        <w:spacing w:before="300"/>
      </w:pPr>
      <w:bookmarkStart w:id="27" w:name="_Toc238074065"/>
      <w:r>
        <w:t>第一節　主要研究發現</w:t>
      </w:r>
      <w:bookmarkEnd w:id="27"/>
    </w:p>
    <w:p w:rsidR="00046118" w:rsidRDefault="007D5CF6">
      <w:pPr>
        <w:spacing w:after="200" w:line="360" w:lineRule="auto"/>
        <w:ind w:left="480" w:hanging="480"/>
        <w:jc w:val="both"/>
      </w:pPr>
      <w:r>
        <w:rPr>
          <w:b/>
          <w:bCs/>
        </w:rPr>
        <w:t xml:space="preserve">1. </w:t>
      </w:r>
      <w:r>
        <w:t>宜蘭分署個案在公開可驗證的硬指標上，於契約權力、模型控制權與基礎設施依賴等三項維度均呈現「低結構性分離」特徵，可作為低分離基準線之探索性參照。</w:t>
      </w:r>
    </w:p>
    <w:p w:rsidR="00046118" w:rsidRDefault="007D5CF6">
      <w:pPr>
        <w:spacing w:after="200" w:line="360" w:lineRule="auto"/>
        <w:ind w:left="480" w:hanging="480"/>
        <w:jc w:val="both"/>
      </w:pPr>
      <w:r>
        <w:rPr>
          <w:b/>
          <w:bCs/>
        </w:rPr>
        <w:t xml:space="preserve">2. </w:t>
      </w:r>
      <w:r>
        <w:t>硬指標（結構性控制權）乃是軟能力（公務員異議與裁量能力）得以發揮的先決承載空間；唯有在結構上阻止控制權下</w:t>
      </w:r>
      <w:proofErr w:type="gramStart"/>
      <w:r>
        <w:t>沉</w:t>
      </w:r>
      <w:proofErr w:type="gramEnd"/>
      <w:r>
        <w:t>，第一線公務員之裁量自主與異議能力才具備實質保障之可能。</w:t>
      </w:r>
    </w:p>
    <w:p w:rsidR="00046118" w:rsidRDefault="007D5CF6">
      <w:pPr>
        <w:spacing w:after="200" w:line="360" w:lineRule="auto"/>
        <w:ind w:left="480" w:hanging="480"/>
        <w:jc w:val="both"/>
      </w:pPr>
      <w:r>
        <w:rPr>
          <w:b/>
          <w:bCs/>
        </w:rPr>
        <w:t xml:space="preserve">3. </w:t>
      </w:r>
      <w:r>
        <w:t>我國現行「數位發展部</w:t>
      </w:r>
      <w:proofErr w:type="gramStart"/>
      <w:r>
        <w:t>—</w:t>
      </w:r>
      <w:proofErr w:type="gramEnd"/>
      <w:r>
        <w:t>法務部</w:t>
      </w:r>
      <w:r>
        <w:t>—</w:t>
      </w:r>
      <w:r>
        <w:t>審計部」三方治理鏈存在明顯之</w:t>
      </w:r>
      <w:proofErr w:type="gramStart"/>
      <w:r>
        <w:t>橫向斷</w:t>
      </w:r>
      <w:proofErr w:type="gramEnd"/>
      <w:r>
        <w:t>鏈，致使國家行政擔保責任存在空洞化之風險。</w:t>
      </w:r>
    </w:p>
    <w:p w:rsidR="00046118" w:rsidRDefault="007D5CF6">
      <w:pPr>
        <w:spacing w:after="200" w:line="360" w:lineRule="auto"/>
        <w:ind w:left="480" w:hanging="480"/>
        <w:jc w:val="both"/>
      </w:pPr>
      <w:r>
        <w:rPr>
          <w:b/>
          <w:bCs/>
        </w:rPr>
        <w:t xml:space="preserve">4. </w:t>
      </w:r>
      <w:r>
        <w:t>MSCC</w:t>
      </w:r>
      <w:r>
        <w:t>（最低實質控制能力）與退出權是落實數位時代國家行政擔保責任之關鍵操作化概念，可作為採購前評估、事後稽核與跨個案比較之共同語言。</w:t>
      </w:r>
    </w:p>
    <w:p w:rsidR="00046118" w:rsidRDefault="007D5CF6">
      <w:pPr>
        <w:pStyle w:val="2"/>
        <w:spacing w:before="300"/>
      </w:pPr>
      <w:bookmarkStart w:id="28" w:name="_Toc238074066"/>
      <w:r>
        <w:t>第二節　理論與實務貢獻</w:t>
      </w:r>
      <w:bookmarkEnd w:id="28"/>
    </w:p>
    <w:p w:rsidR="00046118" w:rsidRDefault="007D5CF6">
      <w:pPr>
        <w:spacing w:after="200" w:line="360" w:lineRule="auto"/>
        <w:jc w:val="both"/>
      </w:pPr>
      <w:r>
        <w:t>理論上，本文提供了「低分離基準線」對照個案，並提出「硬</w:t>
      </w:r>
      <w:proofErr w:type="gramStart"/>
      <w:r>
        <w:t>指標乃軟能力</w:t>
      </w:r>
      <w:proofErr w:type="gramEnd"/>
      <w:r>
        <w:t>先決承載空間」之命題，補充既有文獻過度側重公務員軟能力、忽視硬架構先決性之不足。實務上，本文將抽象之行政擔保責任轉化為數位發展部、審計</w:t>
      </w:r>
      <w:proofErr w:type="gramStart"/>
      <w:r>
        <w:t>部與法務部三</w:t>
      </w:r>
      <w:proofErr w:type="gramEnd"/>
      <w:r>
        <w:t>機關可共同使用之硬指標語言與可操作工具，並於附錄一進一步提供量化評分建議，供未來實證研究與機關自我檢核參考。</w:t>
      </w:r>
    </w:p>
    <w:p w:rsidR="00046118" w:rsidRDefault="007D5CF6">
      <w:pPr>
        <w:pStyle w:val="2"/>
        <w:spacing w:before="300"/>
      </w:pPr>
      <w:bookmarkStart w:id="29" w:name="_Toc238074067"/>
      <w:r>
        <w:t>第三節　政策建議：</w:t>
      </w:r>
      <w:proofErr w:type="gramStart"/>
      <w:r>
        <w:t>三</w:t>
      </w:r>
      <w:proofErr w:type="gramEnd"/>
      <w:r>
        <w:t>機關協同治理路徑</w:t>
      </w:r>
      <w:bookmarkEnd w:id="29"/>
    </w:p>
    <w:p w:rsidR="00046118" w:rsidRDefault="007D5CF6">
      <w:pPr>
        <w:spacing w:after="200" w:line="360" w:lineRule="auto"/>
        <w:jc w:val="both"/>
      </w:pPr>
      <w:r>
        <w:t>為將宜蘭分署之個案經驗制度化，並精</w:t>
      </w:r>
      <w:proofErr w:type="gramStart"/>
      <w:r>
        <w:t>準</w:t>
      </w:r>
      <w:proofErr w:type="gramEnd"/>
      <w:r>
        <w:t>解決第一章提出之「數發部</w:t>
      </w:r>
      <w:r>
        <w:t>—</w:t>
      </w:r>
      <w:r>
        <w:t>法務部</w:t>
      </w:r>
      <w:r>
        <w:t>—</w:t>
      </w:r>
      <w:r>
        <w:t>審計部三方落差」，本文針對三機關提出以下可操作之實務機制與工具矩陣：</w:t>
      </w:r>
    </w:p>
    <w:p w:rsidR="00046118" w:rsidRDefault="007D5CF6">
      <w:pPr>
        <w:pStyle w:val="3"/>
      </w:pPr>
      <w:bookmarkStart w:id="30" w:name="_Toc238074068"/>
      <w:r>
        <w:t>一、數位發展部：建構「</w:t>
      </w:r>
      <w:r>
        <w:t xml:space="preserve">MSCC </w:t>
      </w:r>
      <w:r>
        <w:t>採購前評估與防禦門檻」</w:t>
      </w:r>
      <w:bookmarkEnd w:id="30"/>
    </w:p>
    <w:p w:rsidR="00046118" w:rsidRDefault="007D5CF6">
      <w:pPr>
        <w:spacing w:after="200" w:line="360" w:lineRule="auto"/>
        <w:jc w:val="both"/>
      </w:pPr>
      <w:r>
        <w:t>作為政府資通訊採購與</w:t>
      </w:r>
      <w:r>
        <w:t xml:space="preserve"> AI </w:t>
      </w:r>
      <w:r>
        <w:t>規範主管機關，數</w:t>
      </w:r>
      <w:proofErr w:type="gramStart"/>
      <w:r>
        <w:t>發部應將</w:t>
      </w:r>
      <w:proofErr w:type="gramEnd"/>
      <w:r>
        <w:t>「防止技術鎖定（</w:t>
      </w:r>
      <w:r>
        <w:t>Anti-Vendor Lock-in</w:t>
      </w:r>
      <w:r>
        <w:t>）」納入政府資通訊採購指引，建立公部門</w:t>
      </w:r>
      <w:r>
        <w:t xml:space="preserve"> AI </w:t>
      </w:r>
      <w:r>
        <w:t>採購前「硬指標防禦門檻</w:t>
      </w:r>
      <w:r>
        <w:t xml:space="preserve"> Checklist</w:t>
      </w:r>
      <w:r>
        <w:t>」：</w:t>
      </w:r>
    </w:p>
    <w:p w:rsidR="00046118" w:rsidRDefault="007D5CF6">
      <w:pPr>
        <w:spacing w:after="200" w:line="360" w:lineRule="auto"/>
        <w:ind w:left="480" w:hanging="480"/>
        <w:jc w:val="both"/>
      </w:pPr>
      <w:r>
        <w:rPr>
          <w:b/>
          <w:bCs/>
        </w:rPr>
        <w:lastRenderedPageBreak/>
        <w:t xml:space="preserve">1. </w:t>
      </w:r>
      <w:r>
        <w:rPr>
          <w:b/>
          <w:bCs/>
        </w:rPr>
        <w:t>契約權力簽核：</w:t>
      </w:r>
      <w:r>
        <w:t>採購合約必須載明無痛切斷條款（</w:t>
      </w:r>
      <w:r>
        <w:t>Exit Clause</w:t>
      </w:r>
      <w:r>
        <w:t>）與合理的轉移條款，嚴禁載入專有</w:t>
      </w:r>
      <w:proofErr w:type="gramStart"/>
      <w:r>
        <w:t>軟體鎖或高額</w:t>
      </w:r>
      <w:proofErr w:type="gramEnd"/>
      <w:r>
        <w:t>解約懲罰。</w:t>
      </w:r>
    </w:p>
    <w:p w:rsidR="00046118" w:rsidRDefault="007D5CF6">
      <w:pPr>
        <w:spacing w:after="200" w:line="360" w:lineRule="auto"/>
        <w:ind w:left="480" w:hanging="480"/>
        <w:jc w:val="both"/>
      </w:pPr>
      <w:r>
        <w:rPr>
          <w:b/>
          <w:bCs/>
        </w:rPr>
        <w:t xml:space="preserve">2. </w:t>
      </w:r>
      <w:r>
        <w:rPr>
          <w:b/>
          <w:bCs/>
        </w:rPr>
        <w:t>模型主權簽核：</w:t>
      </w:r>
      <w:r>
        <w:t>核心變數邏輯與訓練資料集必須留在機關</w:t>
      </w:r>
      <w:proofErr w:type="gramStart"/>
      <w:r>
        <w:t>內部，</w:t>
      </w:r>
      <w:proofErr w:type="gramEnd"/>
      <w:r>
        <w:t>且機關須取得授權與開源分析腳本，確保具備自主再訓練（</w:t>
      </w:r>
      <w:r>
        <w:t>Retraining</w:t>
      </w:r>
      <w:r>
        <w:t>）之權利。</w:t>
      </w:r>
    </w:p>
    <w:p w:rsidR="00046118" w:rsidRDefault="007D5CF6">
      <w:pPr>
        <w:spacing w:after="200" w:line="360" w:lineRule="auto"/>
        <w:ind w:left="480" w:hanging="480"/>
        <w:jc w:val="both"/>
      </w:pPr>
      <w:r>
        <w:rPr>
          <w:b/>
          <w:bCs/>
        </w:rPr>
        <w:t xml:space="preserve">3. </w:t>
      </w:r>
      <w:r>
        <w:rPr>
          <w:b/>
          <w:bCs/>
        </w:rPr>
        <w:t>基礎設施簽核：</w:t>
      </w:r>
      <w:r>
        <w:t>優先採用</w:t>
      </w:r>
      <w:r>
        <w:t xml:space="preserve"> On-Premise</w:t>
      </w:r>
      <w:r>
        <w:t>（在地化部署）或政府雲，確保系統運作</w:t>
      </w:r>
      <w:proofErr w:type="gramStart"/>
      <w:r>
        <w:t>不</w:t>
      </w:r>
      <w:proofErr w:type="gramEnd"/>
      <w:r>
        <w:t>高度依賴廠商之專有外部</w:t>
      </w:r>
      <w:r>
        <w:t xml:space="preserve"> API</w:t>
      </w:r>
      <w:r>
        <w:t>。</w:t>
      </w:r>
    </w:p>
    <w:p w:rsidR="00046118" w:rsidRDefault="007D5CF6">
      <w:pPr>
        <w:pStyle w:val="3"/>
      </w:pPr>
      <w:bookmarkStart w:id="31" w:name="_Toc238074069"/>
      <w:r>
        <w:t>二、審計部：建立「程序性演算法控制權審計</w:t>
      </w:r>
      <w:proofErr w:type="gramStart"/>
      <w:r>
        <w:t>三</w:t>
      </w:r>
      <w:proofErr w:type="gramEnd"/>
      <w:r>
        <w:t>步法」</w:t>
      </w:r>
      <w:bookmarkEnd w:id="31"/>
    </w:p>
    <w:p w:rsidR="00046118" w:rsidRDefault="007D5CF6">
      <w:pPr>
        <w:spacing w:after="200" w:line="360" w:lineRule="auto"/>
        <w:jc w:val="both"/>
      </w:pPr>
      <w:r>
        <w:t>針對演算法之動態與黑盒特性，</w:t>
      </w:r>
      <w:proofErr w:type="gramStart"/>
      <w:r>
        <w:t>審計部應建立</w:t>
      </w:r>
      <w:proofErr w:type="gramEnd"/>
      <w:r>
        <w:t>無需穿透複雜原始碼即可執行之「程序性稽核（</w:t>
      </w:r>
      <w:r>
        <w:t>Procedural Algorithmic Audit</w:t>
      </w:r>
      <w:r>
        <w:t>）」流程，防範國家行政擔保責任空洞化：</w:t>
      </w:r>
    </w:p>
    <w:p w:rsidR="00046118" w:rsidRDefault="007D5CF6">
      <w:pPr>
        <w:spacing w:after="200" w:line="360" w:lineRule="auto"/>
        <w:ind w:left="480" w:hanging="480"/>
        <w:jc w:val="both"/>
      </w:pPr>
      <w:r>
        <w:rPr>
          <w:b/>
          <w:bCs/>
        </w:rPr>
        <w:t xml:space="preserve">1. </w:t>
      </w:r>
      <w:r>
        <w:rPr>
          <w:b/>
          <w:bCs/>
        </w:rPr>
        <w:t>第一步（查契約）：</w:t>
      </w:r>
      <w:r>
        <w:t>調閱採購合約，稽核智慧財產權歸屬與維運條件，確認機關有無單方終止與調整權。</w:t>
      </w:r>
    </w:p>
    <w:p w:rsidR="00046118" w:rsidRDefault="007D5CF6">
      <w:pPr>
        <w:spacing w:after="200" w:line="360" w:lineRule="auto"/>
        <w:ind w:left="480" w:hanging="480"/>
        <w:jc w:val="both"/>
      </w:pPr>
      <w:r>
        <w:rPr>
          <w:b/>
          <w:bCs/>
        </w:rPr>
        <w:t xml:space="preserve">2. </w:t>
      </w:r>
      <w:r>
        <w:rPr>
          <w:b/>
          <w:bCs/>
        </w:rPr>
        <w:t>第二步（查資料與代碼）：</w:t>
      </w:r>
      <w:r>
        <w:t>抽查機關是否掌握原始訓練資料集清單與開源分析腳本，確認業務人員能否解釋變數與法律要件之關聯。</w:t>
      </w:r>
    </w:p>
    <w:p w:rsidR="00046118" w:rsidRDefault="007D5CF6">
      <w:pPr>
        <w:spacing w:after="200" w:line="360" w:lineRule="auto"/>
        <w:ind w:left="480" w:hanging="480"/>
        <w:jc w:val="both"/>
      </w:pPr>
      <w:r>
        <w:rPr>
          <w:b/>
          <w:bCs/>
        </w:rPr>
        <w:t xml:space="preserve">3. </w:t>
      </w:r>
      <w:r>
        <w:rPr>
          <w:b/>
          <w:bCs/>
        </w:rPr>
        <w:t>第三步（查環境）：</w:t>
      </w:r>
      <w:r>
        <w:t>檢查系統實體部署位置與備份機制，確認機關是否有離線獨立運作之能力。</w:t>
      </w:r>
    </w:p>
    <w:p w:rsidR="00046118" w:rsidRDefault="007D5CF6">
      <w:pPr>
        <w:pStyle w:val="3"/>
      </w:pPr>
      <w:bookmarkStart w:id="32" w:name="_Toc238074070"/>
      <w:r>
        <w:t>三、法務部（含行政執行署）：落實「低分離預測行政</w:t>
      </w:r>
      <w:r>
        <w:t xml:space="preserve"> SOP </w:t>
      </w:r>
      <w:r>
        <w:t>與第一線異議保障」</w:t>
      </w:r>
      <w:bookmarkEnd w:id="32"/>
    </w:p>
    <w:p w:rsidR="00046118" w:rsidRDefault="007D5CF6">
      <w:pPr>
        <w:spacing w:after="200" w:line="360" w:lineRule="auto"/>
        <w:jc w:val="both"/>
      </w:pPr>
      <w:r>
        <w:t>法務部作為第一線執法機關，應確保</w:t>
      </w:r>
      <w:r>
        <w:t xml:space="preserve"> AI </w:t>
      </w:r>
      <w:r>
        <w:t>僅發揮「輔助分流」功能，守住公務員裁量自主性與正當法律程序：</w:t>
      </w:r>
    </w:p>
    <w:p w:rsidR="00046118" w:rsidRDefault="007D5CF6">
      <w:pPr>
        <w:spacing w:after="200" w:line="360" w:lineRule="auto"/>
        <w:ind w:left="480" w:hanging="480"/>
        <w:jc w:val="both"/>
      </w:pPr>
      <w:r>
        <w:rPr>
          <w:b/>
          <w:bCs/>
        </w:rPr>
        <w:t xml:space="preserve">1. </w:t>
      </w:r>
      <w:r>
        <w:rPr>
          <w:b/>
          <w:bCs/>
        </w:rPr>
        <w:t>明確預測定位：</w:t>
      </w:r>
      <w:r>
        <w:t>訂定內部作業規範，明定預測分數僅用於「案卷調閱優先順序」之輔助參考，嚴禁作為限制出境、拘提或</w:t>
      </w:r>
      <w:proofErr w:type="gramStart"/>
      <w:r>
        <w:t>管收等侵益性</w:t>
      </w:r>
      <w:proofErr w:type="gramEnd"/>
      <w:r>
        <w:t>處分之唯一依據。</w:t>
      </w:r>
    </w:p>
    <w:p w:rsidR="00046118" w:rsidRDefault="007D5CF6">
      <w:pPr>
        <w:spacing w:after="200" w:line="360" w:lineRule="auto"/>
        <w:ind w:left="480" w:hanging="480"/>
        <w:jc w:val="both"/>
      </w:pPr>
      <w:r>
        <w:rPr>
          <w:b/>
          <w:bCs/>
        </w:rPr>
        <w:t xml:space="preserve">2. </w:t>
      </w:r>
      <w:r>
        <w:rPr>
          <w:b/>
          <w:bCs/>
        </w:rPr>
        <w:t>異議與修正機制：</w:t>
      </w:r>
      <w:r>
        <w:t>建構第一線執行官之「</w:t>
      </w:r>
      <w:proofErr w:type="gramStart"/>
      <w:r>
        <w:t>一</w:t>
      </w:r>
      <w:proofErr w:type="gramEnd"/>
      <w:r>
        <w:t>鍵覆核與異議登記」機制，當執行官發現預測異常時得人工修正，並記錄原因反饋給內部統計人員進行模型微調。</w:t>
      </w:r>
    </w:p>
    <w:p w:rsidR="00046118" w:rsidRDefault="007D5CF6">
      <w:pPr>
        <w:spacing w:after="200" w:line="360" w:lineRule="auto"/>
        <w:ind w:left="480" w:hanging="480"/>
        <w:jc w:val="both"/>
      </w:pPr>
      <w:r>
        <w:rPr>
          <w:b/>
          <w:bCs/>
        </w:rPr>
        <w:lastRenderedPageBreak/>
        <w:t xml:space="preserve">3. </w:t>
      </w:r>
      <w:r>
        <w:rPr>
          <w:b/>
          <w:bCs/>
        </w:rPr>
        <w:t>定期退出測試（</w:t>
      </w:r>
      <w:r>
        <w:rPr>
          <w:b/>
          <w:bCs/>
        </w:rPr>
        <w:t>Exit Test</w:t>
      </w:r>
      <w:r>
        <w:rPr>
          <w:b/>
          <w:bCs/>
        </w:rPr>
        <w:t>）：</w:t>
      </w:r>
      <w:r>
        <w:t>每年實施「無演算法對照測試」，確保切斷</w:t>
      </w:r>
      <w:r>
        <w:t xml:space="preserve"> AI </w:t>
      </w:r>
      <w:r>
        <w:t>輔助時，機關仍具備完整的人工辦案與案件分流能力。</w:t>
      </w:r>
    </w:p>
    <w:p w:rsidR="00046118" w:rsidRDefault="007D5CF6">
      <w:pPr>
        <w:spacing w:before="200" w:after="120"/>
        <w:jc w:val="center"/>
      </w:pPr>
      <w:r>
        <w:rPr>
          <w:b/>
          <w:bCs/>
        </w:rPr>
        <w:t>表</w:t>
      </w:r>
      <w:r>
        <w:rPr>
          <w:b/>
          <w:bCs/>
        </w:rPr>
        <w:t xml:space="preserve"> 5-1</w:t>
      </w:r>
      <w:r>
        <w:rPr>
          <w:b/>
          <w:bCs/>
        </w:rPr>
        <w:t>：</w:t>
      </w:r>
      <w:proofErr w:type="gramStart"/>
      <w:r>
        <w:rPr>
          <w:b/>
          <w:bCs/>
        </w:rPr>
        <w:t>三</w:t>
      </w:r>
      <w:proofErr w:type="gramEnd"/>
      <w:r>
        <w:rPr>
          <w:b/>
          <w:bCs/>
        </w:rPr>
        <w:t>機關協同治理工具與對應解決之實務落差矩陣</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00"/>
        <w:gridCol w:w="1200"/>
        <w:gridCol w:w="2450"/>
        <w:gridCol w:w="2150"/>
        <w:gridCol w:w="1400"/>
      </w:tblGrid>
      <w:tr w:rsidR="00046118">
        <w:trPr>
          <w:tblHeader/>
        </w:trPr>
        <w:tc>
          <w:tcPr>
            <w:tcW w:w="11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機關</w:t>
            </w:r>
          </w:p>
        </w:tc>
        <w:tc>
          <w:tcPr>
            <w:tcW w:w="12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核心角色</w:t>
            </w:r>
          </w:p>
        </w:tc>
        <w:tc>
          <w:tcPr>
            <w:tcW w:w="24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本研究提供之實質工具／流程</w:t>
            </w:r>
          </w:p>
        </w:tc>
        <w:tc>
          <w:tcPr>
            <w:tcW w:w="215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對應解決之實務落差</w:t>
            </w:r>
          </w:p>
        </w:tc>
        <w:tc>
          <w:tcPr>
            <w:tcW w:w="14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對應硬指標</w:t>
            </w:r>
          </w:p>
        </w:tc>
      </w:tr>
      <w:tr w:rsidR="00046118">
        <w:tc>
          <w:tcPr>
            <w:tcW w:w="1100" w:type="dxa"/>
            <w:tcMar>
              <w:top w:w="100" w:type="dxa"/>
              <w:left w:w="120" w:type="dxa"/>
              <w:bottom w:w="100" w:type="dxa"/>
              <w:right w:w="120" w:type="dxa"/>
            </w:tcMar>
            <w:vAlign w:val="center"/>
          </w:tcPr>
          <w:p w:rsidR="00046118" w:rsidRDefault="007D5CF6">
            <w:pPr>
              <w:spacing w:after="60" w:line="300" w:lineRule="auto"/>
            </w:pPr>
            <w:r>
              <w:rPr>
                <w:sz w:val="22"/>
                <w:szCs w:val="22"/>
              </w:rPr>
              <w:t>數位發展部</w:t>
            </w:r>
          </w:p>
        </w:tc>
        <w:tc>
          <w:tcPr>
            <w:tcW w:w="1200" w:type="dxa"/>
            <w:tcMar>
              <w:top w:w="100" w:type="dxa"/>
              <w:left w:w="120" w:type="dxa"/>
              <w:bottom w:w="100" w:type="dxa"/>
              <w:right w:w="120" w:type="dxa"/>
            </w:tcMar>
            <w:vAlign w:val="center"/>
          </w:tcPr>
          <w:p w:rsidR="00046118" w:rsidRDefault="007D5CF6">
            <w:pPr>
              <w:spacing w:after="60" w:line="300" w:lineRule="auto"/>
            </w:pPr>
            <w:r>
              <w:rPr>
                <w:sz w:val="22"/>
                <w:szCs w:val="22"/>
              </w:rPr>
              <w:t>採購規範者</w:t>
            </w:r>
          </w:p>
        </w:tc>
        <w:tc>
          <w:tcPr>
            <w:tcW w:w="245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MSCC </w:t>
            </w:r>
            <w:r>
              <w:rPr>
                <w:sz w:val="22"/>
                <w:szCs w:val="22"/>
              </w:rPr>
              <w:t>採購前防禦門檻</w:t>
            </w:r>
            <w:r>
              <w:rPr>
                <w:sz w:val="22"/>
                <w:szCs w:val="22"/>
              </w:rPr>
              <w:t xml:space="preserve"> Checklist</w:t>
            </w:r>
            <w:r>
              <w:rPr>
                <w:sz w:val="22"/>
                <w:szCs w:val="22"/>
              </w:rPr>
              <w:t>（無痛切斷條款、核心變數與腳本取得、優先在地化／政府雲）</w:t>
            </w:r>
          </w:p>
        </w:tc>
        <w:tc>
          <w:tcPr>
            <w:tcW w:w="2150" w:type="dxa"/>
            <w:tcMar>
              <w:top w:w="100" w:type="dxa"/>
              <w:left w:w="120" w:type="dxa"/>
              <w:bottom w:w="100" w:type="dxa"/>
              <w:right w:w="120" w:type="dxa"/>
            </w:tcMar>
            <w:vAlign w:val="center"/>
          </w:tcPr>
          <w:p w:rsidR="00046118" w:rsidRDefault="007D5CF6">
            <w:pPr>
              <w:spacing w:after="60" w:line="300" w:lineRule="auto"/>
            </w:pPr>
            <w:r>
              <w:rPr>
                <w:sz w:val="22"/>
                <w:szCs w:val="22"/>
              </w:rPr>
              <w:t>解決採購端缺乏「實質控制權」規範問題，防止引進黑盒廠商與技術鎖定。</w:t>
            </w:r>
          </w:p>
        </w:tc>
        <w:tc>
          <w:tcPr>
            <w:tcW w:w="1400" w:type="dxa"/>
            <w:tcMar>
              <w:top w:w="100" w:type="dxa"/>
              <w:left w:w="120" w:type="dxa"/>
              <w:bottom w:w="100" w:type="dxa"/>
              <w:right w:w="120" w:type="dxa"/>
            </w:tcMar>
            <w:vAlign w:val="center"/>
          </w:tcPr>
          <w:p w:rsidR="00046118" w:rsidRDefault="007D5CF6">
            <w:pPr>
              <w:spacing w:after="60" w:line="300" w:lineRule="auto"/>
            </w:pPr>
            <w:r>
              <w:rPr>
                <w:sz w:val="22"/>
                <w:szCs w:val="22"/>
              </w:rPr>
              <w:t>契約權力、模型控制權、基礎設施</w:t>
            </w:r>
          </w:p>
        </w:tc>
      </w:tr>
      <w:tr w:rsidR="00046118">
        <w:tc>
          <w:tcPr>
            <w:tcW w:w="1100" w:type="dxa"/>
            <w:tcMar>
              <w:top w:w="100" w:type="dxa"/>
              <w:left w:w="120" w:type="dxa"/>
              <w:bottom w:w="100" w:type="dxa"/>
              <w:right w:w="120" w:type="dxa"/>
            </w:tcMar>
            <w:vAlign w:val="center"/>
          </w:tcPr>
          <w:p w:rsidR="00046118" w:rsidRDefault="007D5CF6">
            <w:pPr>
              <w:spacing w:after="60" w:line="300" w:lineRule="auto"/>
            </w:pPr>
            <w:r>
              <w:rPr>
                <w:sz w:val="22"/>
                <w:szCs w:val="22"/>
              </w:rPr>
              <w:t>審計部</w:t>
            </w:r>
          </w:p>
        </w:tc>
        <w:tc>
          <w:tcPr>
            <w:tcW w:w="1200" w:type="dxa"/>
            <w:tcMar>
              <w:top w:w="100" w:type="dxa"/>
              <w:left w:w="120" w:type="dxa"/>
              <w:bottom w:w="100" w:type="dxa"/>
              <w:right w:w="120" w:type="dxa"/>
            </w:tcMar>
            <w:vAlign w:val="center"/>
          </w:tcPr>
          <w:p w:rsidR="00046118" w:rsidRDefault="007D5CF6">
            <w:pPr>
              <w:spacing w:after="60" w:line="300" w:lineRule="auto"/>
            </w:pPr>
            <w:r>
              <w:rPr>
                <w:sz w:val="22"/>
                <w:szCs w:val="22"/>
              </w:rPr>
              <w:t>監察稽核者</w:t>
            </w:r>
          </w:p>
        </w:tc>
        <w:tc>
          <w:tcPr>
            <w:tcW w:w="2450" w:type="dxa"/>
            <w:tcMar>
              <w:top w:w="100" w:type="dxa"/>
              <w:left w:w="120" w:type="dxa"/>
              <w:bottom w:w="100" w:type="dxa"/>
              <w:right w:w="120" w:type="dxa"/>
            </w:tcMar>
            <w:vAlign w:val="center"/>
          </w:tcPr>
          <w:p w:rsidR="00046118" w:rsidRDefault="007D5CF6">
            <w:pPr>
              <w:spacing w:after="60" w:line="300" w:lineRule="auto"/>
            </w:pPr>
            <w:r>
              <w:rPr>
                <w:sz w:val="22"/>
                <w:szCs w:val="22"/>
              </w:rPr>
              <w:t>程序性演算法控制權審計</w:t>
            </w:r>
            <w:proofErr w:type="gramStart"/>
            <w:r>
              <w:rPr>
                <w:sz w:val="22"/>
                <w:szCs w:val="22"/>
              </w:rPr>
              <w:t>三</w:t>
            </w:r>
            <w:proofErr w:type="gramEnd"/>
            <w:r>
              <w:rPr>
                <w:sz w:val="22"/>
                <w:szCs w:val="22"/>
              </w:rPr>
              <w:t>步法（查契約</w:t>
            </w:r>
            <w:r>
              <w:rPr>
                <w:sz w:val="22"/>
                <w:szCs w:val="22"/>
              </w:rPr>
              <w:t>→</w:t>
            </w:r>
            <w:r>
              <w:rPr>
                <w:sz w:val="22"/>
                <w:szCs w:val="22"/>
              </w:rPr>
              <w:t>查資料與代碼掌握</w:t>
            </w:r>
            <w:r>
              <w:rPr>
                <w:sz w:val="22"/>
                <w:szCs w:val="22"/>
              </w:rPr>
              <w:t>→</w:t>
            </w:r>
            <w:r>
              <w:rPr>
                <w:sz w:val="22"/>
                <w:szCs w:val="22"/>
              </w:rPr>
              <w:t>查部署環境）</w:t>
            </w:r>
          </w:p>
        </w:tc>
        <w:tc>
          <w:tcPr>
            <w:tcW w:w="2150" w:type="dxa"/>
            <w:tcMar>
              <w:top w:w="100" w:type="dxa"/>
              <w:left w:w="120" w:type="dxa"/>
              <w:bottom w:w="100" w:type="dxa"/>
              <w:right w:w="120" w:type="dxa"/>
            </w:tcMar>
            <w:vAlign w:val="center"/>
          </w:tcPr>
          <w:p w:rsidR="00046118" w:rsidRDefault="007D5CF6">
            <w:pPr>
              <w:spacing w:after="60" w:line="300" w:lineRule="auto"/>
            </w:pPr>
            <w:r>
              <w:rPr>
                <w:sz w:val="22"/>
                <w:szCs w:val="22"/>
              </w:rPr>
              <w:t>解決稽核端缺乏演算法穿透性抓手問題，</w:t>
            </w:r>
            <w:proofErr w:type="gramStart"/>
            <w:r>
              <w:rPr>
                <w:sz w:val="22"/>
                <w:szCs w:val="22"/>
              </w:rPr>
              <w:t>提供免看原始碼</w:t>
            </w:r>
            <w:proofErr w:type="gramEnd"/>
            <w:r>
              <w:rPr>
                <w:sz w:val="22"/>
                <w:szCs w:val="22"/>
              </w:rPr>
              <w:t>之程序性稽核標準。</w:t>
            </w:r>
          </w:p>
        </w:tc>
        <w:tc>
          <w:tcPr>
            <w:tcW w:w="1400" w:type="dxa"/>
            <w:tcMar>
              <w:top w:w="100" w:type="dxa"/>
              <w:left w:w="120" w:type="dxa"/>
              <w:bottom w:w="100" w:type="dxa"/>
              <w:right w:w="120" w:type="dxa"/>
            </w:tcMar>
            <w:vAlign w:val="center"/>
          </w:tcPr>
          <w:p w:rsidR="00046118" w:rsidRDefault="007D5CF6">
            <w:pPr>
              <w:spacing w:after="60" w:line="300" w:lineRule="auto"/>
            </w:pPr>
            <w:r>
              <w:rPr>
                <w:sz w:val="22"/>
                <w:szCs w:val="22"/>
              </w:rPr>
              <w:t>契約權力、模型控制權、基礎設施</w:t>
            </w:r>
          </w:p>
        </w:tc>
      </w:tr>
      <w:tr w:rsidR="00046118">
        <w:tc>
          <w:tcPr>
            <w:tcW w:w="1100" w:type="dxa"/>
            <w:tcMar>
              <w:top w:w="100" w:type="dxa"/>
              <w:left w:w="120" w:type="dxa"/>
              <w:bottom w:w="100" w:type="dxa"/>
              <w:right w:w="120" w:type="dxa"/>
            </w:tcMar>
            <w:vAlign w:val="center"/>
          </w:tcPr>
          <w:p w:rsidR="00046118" w:rsidRDefault="007D5CF6">
            <w:pPr>
              <w:spacing w:after="60" w:line="300" w:lineRule="auto"/>
            </w:pPr>
            <w:r>
              <w:rPr>
                <w:sz w:val="22"/>
                <w:szCs w:val="22"/>
              </w:rPr>
              <w:t>法務部</w:t>
            </w:r>
          </w:p>
        </w:tc>
        <w:tc>
          <w:tcPr>
            <w:tcW w:w="1200" w:type="dxa"/>
            <w:tcMar>
              <w:top w:w="100" w:type="dxa"/>
              <w:left w:w="120" w:type="dxa"/>
              <w:bottom w:w="100" w:type="dxa"/>
              <w:right w:w="120" w:type="dxa"/>
            </w:tcMar>
            <w:vAlign w:val="center"/>
          </w:tcPr>
          <w:p w:rsidR="00046118" w:rsidRDefault="007D5CF6">
            <w:pPr>
              <w:spacing w:after="60" w:line="300" w:lineRule="auto"/>
            </w:pPr>
            <w:r>
              <w:rPr>
                <w:sz w:val="22"/>
                <w:szCs w:val="22"/>
              </w:rPr>
              <w:t>執法與執行機關</w:t>
            </w:r>
          </w:p>
        </w:tc>
        <w:tc>
          <w:tcPr>
            <w:tcW w:w="2450" w:type="dxa"/>
            <w:tcMar>
              <w:top w:w="100" w:type="dxa"/>
              <w:left w:w="120" w:type="dxa"/>
              <w:bottom w:w="100" w:type="dxa"/>
              <w:right w:w="120" w:type="dxa"/>
            </w:tcMar>
            <w:vAlign w:val="center"/>
          </w:tcPr>
          <w:p w:rsidR="00046118" w:rsidRDefault="007D5CF6">
            <w:pPr>
              <w:spacing w:after="60" w:line="300" w:lineRule="auto"/>
            </w:pPr>
            <w:r>
              <w:rPr>
                <w:sz w:val="22"/>
                <w:szCs w:val="22"/>
              </w:rPr>
              <w:t>低分離預測行政</w:t>
            </w:r>
            <w:r>
              <w:rPr>
                <w:sz w:val="22"/>
                <w:szCs w:val="22"/>
              </w:rPr>
              <w:t xml:space="preserve"> SOP</w:t>
            </w:r>
            <w:r>
              <w:rPr>
                <w:sz w:val="22"/>
                <w:szCs w:val="22"/>
              </w:rPr>
              <w:t>（預測僅作順序參考、</w:t>
            </w:r>
            <w:proofErr w:type="gramStart"/>
            <w:r>
              <w:rPr>
                <w:sz w:val="22"/>
                <w:szCs w:val="22"/>
              </w:rPr>
              <w:t>一</w:t>
            </w:r>
            <w:proofErr w:type="gramEnd"/>
            <w:r>
              <w:rPr>
                <w:sz w:val="22"/>
                <w:szCs w:val="22"/>
              </w:rPr>
              <w:t>鍵覆核與異議登記、定期無演算法退出測試）</w:t>
            </w:r>
          </w:p>
        </w:tc>
        <w:tc>
          <w:tcPr>
            <w:tcW w:w="2150" w:type="dxa"/>
            <w:tcMar>
              <w:top w:w="100" w:type="dxa"/>
              <w:left w:w="120" w:type="dxa"/>
              <w:bottom w:w="100" w:type="dxa"/>
              <w:right w:w="120" w:type="dxa"/>
            </w:tcMar>
            <w:vAlign w:val="center"/>
          </w:tcPr>
          <w:p w:rsidR="00046118" w:rsidRDefault="007D5CF6">
            <w:pPr>
              <w:spacing w:after="60" w:line="300" w:lineRule="auto"/>
            </w:pPr>
            <w:r>
              <w:rPr>
                <w:sz w:val="22"/>
                <w:szCs w:val="22"/>
              </w:rPr>
              <w:t>解決執行端缺乏技術抵抗工具問題，保障公務員裁量自主，防範</w:t>
            </w:r>
            <w:proofErr w:type="gramStart"/>
            <w:r>
              <w:rPr>
                <w:sz w:val="22"/>
                <w:szCs w:val="22"/>
              </w:rPr>
              <w:t>自動化偏誤</w:t>
            </w:r>
            <w:proofErr w:type="gramEnd"/>
            <w:r>
              <w:rPr>
                <w:sz w:val="22"/>
                <w:szCs w:val="22"/>
              </w:rPr>
              <w:t>。</w:t>
            </w:r>
          </w:p>
        </w:tc>
        <w:tc>
          <w:tcPr>
            <w:tcW w:w="1400" w:type="dxa"/>
            <w:tcMar>
              <w:top w:w="100" w:type="dxa"/>
              <w:left w:w="120" w:type="dxa"/>
              <w:bottom w:w="100" w:type="dxa"/>
              <w:right w:w="120" w:type="dxa"/>
            </w:tcMar>
            <w:vAlign w:val="center"/>
          </w:tcPr>
          <w:p w:rsidR="00046118" w:rsidRDefault="007D5CF6">
            <w:pPr>
              <w:spacing w:after="60" w:line="300" w:lineRule="auto"/>
            </w:pPr>
            <w:r>
              <w:rPr>
                <w:sz w:val="22"/>
                <w:szCs w:val="22"/>
              </w:rPr>
              <w:t>模型控制權（間接支撐退出權）</w:t>
            </w:r>
          </w:p>
        </w:tc>
      </w:tr>
    </w:tbl>
    <w:p w:rsidR="00046118" w:rsidRDefault="007D5CF6">
      <w:pPr>
        <w:pStyle w:val="2"/>
        <w:spacing w:before="300"/>
      </w:pPr>
      <w:bookmarkStart w:id="33" w:name="_Toc238074071"/>
      <w:r>
        <w:t>第四節　研究限制與未來研究展望</w:t>
      </w:r>
      <w:bookmarkEnd w:id="33"/>
    </w:p>
    <w:p w:rsidR="00046118" w:rsidRDefault="007D5CF6">
      <w:pPr>
        <w:spacing w:after="200" w:line="360" w:lineRule="auto"/>
        <w:jc w:val="both"/>
      </w:pPr>
      <w:r>
        <w:t>本研究受限於</w:t>
      </w:r>
      <w:r>
        <w:t xml:space="preserve"> Desk-based </w:t>
      </w:r>
      <w:r>
        <w:t>方法，結論嚴格限定於硬指標層面，未來研究得在此基礎上，進一步深化以下方向：</w:t>
      </w:r>
    </w:p>
    <w:p w:rsidR="00046118" w:rsidRDefault="007D5CF6">
      <w:pPr>
        <w:spacing w:after="200" w:line="360" w:lineRule="auto"/>
        <w:ind w:left="480" w:hanging="480"/>
        <w:jc w:val="both"/>
      </w:pPr>
      <w:r>
        <w:rPr>
          <w:b/>
          <w:bCs/>
        </w:rPr>
        <w:t xml:space="preserve">1. </w:t>
      </w:r>
      <w:r>
        <w:rPr>
          <w:b/>
          <w:bCs/>
        </w:rPr>
        <w:t>結合演算法技術稽核：</w:t>
      </w:r>
      <w:r>
        <w:t>若未來能獲得機關授權，可對清償率模型進行原始碼層級之偏差與公平性測試（</w:t>
      </w:r>
      <w:r>
        <w:t>Algorithmic Fairness Audit</w:t>
      </w:r>
      <w:r>
        <w:t>）。</w:t>
      </w:r>
    </w:p>
    <w:p w:rsidR="00046118" w:rsidRDefault="007D5CF6">
      <w:pPr>
        <w:spacing w:after="200" w:line="360" w:lineRule="auto"/>
        <w:ind w:left="480" w:hanging="480"/>
        <w:jc w:val="both"/>
      </w:pPr>
      <w:r>
        <w:rPr>
          <w:b/>
          <w:bCs/>
        </w:rPr>
        <w:t xml:space="preserve">2. </w:t>
      </w:r>
      <w:r>
        <w:rPr>
          <w:b/>
          <w:bCs/>
        </w:rPr>
        <w:t>第一線官員之行為研究：</w:t>
      </w:r>
      <w:r>
        <w:t>透過深度訪談或實驗法（</w:t>
      </w:r>
      <w:r>
        <w:t>Survey Experiment</w:t>
      </w:r>
      <w:r>
        <w:t>），測量第一線執行官在面對預測分數時，其「實質覆核率」與「異議行為」之心理動向，精</w:t>
      </w:r>
      <w:proofErr w:type="gramStart"/>
      <w:r>
        <w:t>準</w:t>
      </w:r>
      <w:proofErr w:type="gramEnd"/>
      <w:r>
        <w:t>探討硬指標轉化為軟能力之具體機制。</w:t>
      </w:r>
    </w:p>
    <w:p w:rsidR="00046118" w:rsidRDefault="007D5CF6">
      <w:pPr>
        <w:spacing w:after="200" w:line="360" w:lineRule="auto"/>
        <w:ind w:left="480" w:hanging="480"/>
        <w:jc w:val="both"/>
      </w:pPr>
      <w:r>
        <w:rPr>
          <w:b/>
          <w:bCs/>
        </w:rPr>
        <w:t xml:space="preserve">3. </w:t>
      </w:r>
      <w:r>
        <w:rPr>
          <w:b/>
          <w:bCs/>
        </w:rPr>
        <w:t>商業</w:t>
      </w:r>
      <w:proofErr w:type="gramStart"/>
      <w:r>
        <w:rPr>
          <w:b/>
          <w:bCs/>
        </w:rPr>
        <w:t>外包型對照</w:t>
      </w:r>
      <w:proofErr w:type="gramEnd"/>
      <w:r>
        <w:rPr>
          <w:b/>
          <w:bCs/>
        </w:rPr>
        <w:t>個案比較：</w:t>
      </w:r>
      <w:r>
        <w:t>選取</w:t>
      </w:r>
      <w:proofErr w:type="gramStart"/>
      <w:r>
        <w:t>採</w:t>
      </w:r>
      <w:proofErr w:type="gramEnd"/>
      <w:r>
        <w:t>高額商業全盤外包模式建置之預測系統作</w:t>
      </w:r>
      <w:r>
        <w:lastRenderedPageBreak/>
        <w:t>為對照個案，與宜蘭分署之內部能力建構模式進行比較分析，檢驗結構性分離程度是否確與採購模式相關。</w:t>
      </w:r>
    </w:p>
    <w:p w:rsidR="00046118" w:rsidRDefault="007D5CF6">
      <w:pPr>
        <w:spacing w:after="200" w:line="360" w:lineRule="auto"/>
        <w:ind w:left="480" w:hanging="480"/>
        <w:jc w:val="both"/>
      </w:pPr>
      <w:r>
        <w:rPr>
          <w:b/>
          <w:bCs/>
        </w:rPr>
        <w:t xml:space="preserve">4. </w:t>
      </w:r>
      <w:r>
        <w:rPr>
          <w:b/>
          <w:bCs/>
        </w:rPr>
        <w:t>量化評分工具之驗證與精進：</w:t>
      </w:r>
      <w:r>
        <w:t>可將附錄一所提出之</w:t>
      </w:r>
      <w:r>
        <w:t xml:space="preserve"> MSCC </w:t>
      </w:r>
      <w:r>
        <w:t>硬指標量化評分方法應用於更多個案，並進行評分</w:t>
      </w:r>
      <w:proofErr w:type="gramStart"/>
      <w:r>
        <w:t>者間信度</w:t>
      </w:r>
      <w:proofErr w:type="gramEnd"/>
      <w:r>
        <w:t>檢驗，以提升跨案例比較之嚴謹度與可複製性。</w:t>
      </w:r>
    </w:p>
    <w:p w:rsidR="00046118" w:rsidRDefault="007D5CF6">
      <w:pPr>
        <w:spacing w:after="200" w:line="360" w:lineRule="auto"/>
        <w:ind w:left="480" w:hanging="480"/>
        <w:jc w:val="both"/>
      </w:pPr>
      <w:r>
        <w:rPr>
          <w:b/>
          <w:bCs/>
        </w:rPr>
        <w:t xml:space="preserve">5. </w:t>
      </w:r>
      <w:r>
        <w:rPr>
          <w:b/>
          <w:bCs/>
        </w:rPr>
        <w:t>生成式</w:t>
      </w:r>
      <w:r>
        <w:rPr>
          <w:b/>
          <w:bCs/>
        </w:rPr>
        <w:t xml:space="preserve"> AI </w:t>
      </w:r>
      <w:r>
        <w:rPr>
          <w:b/>
          <w:bCs/>
        </w:rPr>
        <w:t>與傳統預測型</w:t>
      </w:r>
      <w:r>
        <w:rPr>
          <w:b/>
          <w:bCs/>
        </w:rPr>
        <w:t xml:space="preserve"> AI </w:t>
      </w:r>
      <w:r>
        <w:rPr>
          <w:b/>
          <w:bCs/>
        </w:rPr>
        <w:t>之控制權差異：</w:t>
      </w:r>
      <w:r>
        <w:t>本文個案（宜蘭分署清償率模型）屬傳統機器學習／統計預測型</w:t>
      </w:r>
      <w:r>
        <w:t xml:space="preserve"> AI</w:t>
      </w:r>
      <w:r>
        <w:t>，未來研究可進一步</w:t>
      </w:r>
      <w:proofErr w:type="gramStart"/>
      <w:r>
        <w:t>探討當公行政</w:t>
      </w:r>
      <w:proofErr w:type="gramEnd"/>
      <w:r>
        <w:t>機關引進生成式</w:t>
      </w:r>
      <w:r>
        <w:t xml:space="preserve"> AI</w:t>
      </w:r>
      <w:r>
        <w:t>（如大型語言模型）時，其</w:t>
      </w:r>
      <w:r>
        <w:t xml:space="preserve"> MSCC </w:t>
      </w:r>
      <w:r>
        <w:t>硬指標</w:t>
      </w:r>
      <w:r>
        <w:t>——</w:t>
      </w:r>
      <w:r>
        <w:t>特別是基礎設施依賴與專有</w:t>
      </w:r>
      <w:r>
        <w:t xml:space="preserve"> API </w:t>
      </w:r>
      <w:r>
        <w:t>依賴部分</w:t>
      </w:r>
      <w:r>
        <w:t>——</w:t>
      </w:r>
      <w:r>
        <w:t>是否需設定更為嚴格之防禦門檻。生成式</w:t>
      </w:r>
      <w:r>
        <w:t xml:space="preserve"> AI </w:t>
      </w:r>
      <w:r>
        <w:t>之模型權重規模龐大且高度依賴外部商業</w:t>
      </w:r>
      <w:r>
        <w:t xml:space="preserve"> API</w:t>
      </w:r>
      <w:r>
        <w:t>，難以如傳統統計模型般於機關內部完整部署，其結構性分離風險可能顯著高於本文所檢驗之傳統預測模型，值得後續研究深入比較。</w:t>
      </w:r>
    </w:p>
    <w:p w:rsidR="00046118" w:rsidRDefault="007D5CF6">
      <w:pPr>
        <w:spacing w:before="300" w:after="200"/>
      </w:pPr>
      <w:r>
        <w:rPr>
          <w:b/>
          <w:bCs/>
          <w:sz w:val="26"/>
          <w:szCs w:val="26"/>
        </w:rPr>
        <w:t>結語</w:t>
      </w:r>
    </w:p>
    <w:p w:rsidR="00046118" w:rsidRDefault="007D5CF6">
      <w:pPr>
        <w:spacing w:after="200" w:line="360" w:lineRule="auto"/>
        <w:jc w:val="both"/>
      </w:pPr>
      <w:r>
        <w:t>預測性行政並非必然導致國家控制權流失，但若缺乏對硬指標的制度性關注，控制權下</w:t>
      </w:r>
      <w:proofErr w:type="gramStart"/>
      <w:r>
        <w:t>沉</w:t>
      </w:r>
      <w:proofErr w:type="gramEnd"/>
      <w:r>
        <w:t>與行政擔保責任空洞化的風險將持續累積。真正的挑戰不在於「要不要用</w:t>
      </w:r>
      <w:r>
        <w:t xml:space="preserve"> AI</w:t>
      </w:r>
      <w:r>
        <w:t>」，而在於「用什麼樣的制度安排，確保國家在使用</w:t>
      </w:r>
      <w:r>
        <w:t xml:space="preserve"> AI </w:t>
      </w:r>
      <w:r>
        <w:t>時，仍能守住公法責任位置與實質控制位置的基本重合」。</w:t>
      </w:r>
    </w:p>
    <w:p w:rsidR="00046118" w:rsidRDefault="007D5CF6">
      <w:pPr>
        <w:pStyle w:val="1"/>
        <w:pageBreakBefore/>
      </w:pPr>
      <w:bookmarkStart w:id="34" w:name="_Toc238074072"/>
      <w:r>
        <w:lastRenderedPageBreak/>
        <w:t>附錄</w:t>
      </w:r>
      <w:proofErr w:type="gramStart"/>
      <w:r>
        <w:t>一</w:t>
      </w:r>
      <w:proofErr w:type="gramEnd"/>
      <w:r>
        <w:t>：最低實質控制能力（</w:t>
      </w:r>
      <w:r>
        <w:t>MSCC</w:t>
      </w:r>
      <w:r>
        <w:t>）硬指標量化評分建議</w:t>
      </w:r>
      <w:bookmarkEnd w:id="34"/>
    </w:p>
    <w:p w:rsidR="00046118" w:rsidRDefault="007D5CF6">
      <w:pPr>
        <w:spacing w:after="200" w:line="360" w:lineRule="auto"/>
        <w:jc w:val="both"/>
      </w:pPr>
      <w:r>
        <w:t>本附錄提出一套診斷性量化評分方法，供後續實證研究與機關實務參考。此為進一步操作化建議，並非本研究正文之經驗發現，正文第三章對宜蘭分署個案之判定，並未採用本附錄之量化評分方式。</w:t>
      </w:r>
    </w:p>
    <w:p w:rsidR="00046118" w:rsidRDefault="007D5CF6">
      <w:pPr>
        <w:pStyle w:val="3"/>
      </w:pPr>
      <w:bookmarkStart w:id="35" w:name="_Toc238074073"/>
      <w:r>
        <w:t>一、設計原則</w:t>
      </w:r>
      <w:bookmarkEnd w:id="35"/>
    </w:p>
    <w:p w:rsidR="00046118" w:rsidRDefault="007D5CF6">
      <w:pPr>
        <w:spacing w:after="200" w:line="360" w:lineRule="auto"/>
        <w:jc w:val="both"/>
      </w:pPr>
      <w:r>
        <w:t>以三項硬指標為核心，</w:t>
      </w:r>
      <w:proofErr w:type="gramStart"/>
      <w:r>
        <w:t>採</w:t>
      </w:r>
      <w:proofErr w:type="gramEnd"/>
      <w:r>
        <w:t>「檢查清單＋加權評分」方式設計。每項硬指標拆解為若干可觀察</w:t>
      </w:r>
      <w:proofErr w:type="gramStart"/>
      <w:r>
        <w:t>之子項</w:t>
      </w:r>
      <w:proofErr w:type="gramEnd"/>
      <w:r>
        <w:t>，</w:t>
      </w:r>
      <w:proofErr w:type="gramStart"/>
      <w:r>
        <w:t>每一子項給</w:t>
      </w:r>
      <w:proofErr w:type="gramEnd"/>
      <w:r>
        <w:t>予</w:t>
      </w:r>
      <w:r>
        <w:t xml:space="preserve"> 0 </w:t>
      </w:r>
      <w:r>
        <w:t>至</w:t>
      </w:r>
      <w:r>
        <w:t xml:space="preserve"> 2 </w:t>
      </w:r>
      <w:r>
        <w:t>分，再加總或加權計算。評分架構區分為「診斷層」（現況是否分離）與「門檻層」（是否達到</w:t>
      </w:r>
      <w:r>
        <w:t xml:space="preserve"> MSCC </w:t>
      </w:r>
      <w:r>
        <w:t>最低要求）兩個層次。</w:t>
      </w:r>
    </w:p>
    <w:p w:rsidR="00046118" w:rsidRDefault="007D5CF6">
      <w:pPr>
        <w:pStyle w:val="3"/>
      </w:pPr>
      <w:bookmarkStart w:id="36" w:name="_Toc238074074"/>
      <w:r>
        <w:t>二、硬指標</w:t>
      </w:r>
      <w:proofErr w:type="gramStart"/>
      <w:r>
        <w:t>一</w:t>
      </w:r>
      <w:proofErr w:type="gramEnd"/>
      <w:r>
        <w:t>：契約權力與單方處置能力（滿分</w:t>
      </w:r>
      <w:r>
        <w:t xml:space="preserve"> 8 </w:t>
      </w:r>
      <w:r>
        <w:t>分）</w:t>
      </w:r>
      <w:bookmarkEnd w:id="36"/>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5500"/>
      </w:tblGrid>
      <w:tr w:rsidR="00046118">
        <w:trPr>
          <w:tblHeader/>
        </w:trPr>
        <w:tc>
          <w:tcPr>
            <w:tcW w:w="2800" w:type="dxa"/>
            <w:shd w:val="clear" w:color="auto" w:fill="D9E2F3"/>
            <w:tcMar>
              <w:top w:w="100" w:type="dxa"/>
              <w:left w:w="120" w:type="dxa"/>
              <w:bottom w:w="100" w:type="dxa"/>
              <w:right w:w="120" w:type="dxa"/>
            </w:tcMar>
            <w:vAlign w:val="center"/>
          </w:tcPr>
          <w:p w:rsidR="00046118" w:rsidRDefault="007D5CF6">
            <w:pPr>
              <w:spacing w:after="60" w:line="300" w:lineRule="auto"/>
            </w:pPr>
            <w:proofErr w:type="gramStart"/>
            <w:r>
              <w:rPr>
                <w:b/>
                <w:bCs/>
                <w:sz w:val="22"/>
                <w:szCs w:val="22"/>
              </w:rPr>
              <w:t>子項</w:t>
            </w:r>
            <w:proofErr w:type="gramEnd"/>
          </w:p>
        </w:tc>
        <w:tc>
          <w:tcPr>
            <w:tcW w:w="55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評分標準（</w:t>
            </w:r>
            <w:r>
              <w:rPr>
                <w:b/>
                <w:bCs/>
                <w:sz w:val="22"/>
                <w:szCs w:val="22"/>
              </w:rPr>
              <w:t>0</w:t>
            </w:r>
            <w:proofErr w:type="gramStart"/>
            <w:r>
              <w:rPr>
                <w:b/>
                <w:bCs/>
                <w:sz w:val="22"/>
                <w:szCs w:val="22"/>
              </w:rPr>
              <w:t>–</w:t>
            </w:r>
            <w:proofErr w:type="gramEnd"/>
            <w:r>
              <w:rPr>
                <w:b/>
                <w:bCs/>
                <w:sz w:val="22"/>
                <w:szCs w:val="22"/>
              </w:rPr>
              <w:t xml:space="preserve">2 </w:t>
            </w:r>
            <w:r>
              <w:rPr>
                <w:b/>
                <w:bCs/>
                <w:sz w:val="22"/>
                <w:szCs w:val="22"/>
              </w:rPr>
              <w:t>分）</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1. </w:t>
            </w:r>
            <w:r>
              <w:rPr>
                <w:sz w:val="22"/>
                <w:szCs w:val="22"/>
              </w:rPr>
              <w:t>單方終止／暫停權</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＝明訂可單方即時暫停或終止且無高額懲罰；</w:t>
            </w:r>
            <w:r>
              <w:rPr>
                <w:sz w:val="22"/>
                <w:szCs w:val="22"/>
              </w:rPr>
              <w:t>1</w:t>
            </w:r>
            <w:r>
              <w:rPr>
                <w:sz w:val="22"/>
                <w:szCs w:val="22"/>
              </w:rPr>
              <w:t>＝有</w:t>
            </w:r>
            <w:proofErr w:type="gramStart"/>
            <w:r>
              <w:rPr>
                <w:sz w:val="22"/>
                <w:szCs w:val="22"/>
              </w:rPr>
              <w:t>終止權但附帶</w:t>
            </w:r>
            <w:proofErr w:type="gramEnd"/>
            <w:r>
              <w:rPr>
                <w:sz w:val="22"/>
                <w:szCs w:val="22"/>
              </w:rPr>
              <w:t>過渡期或費用；</w:t>
            </w:r>
            <w:r>
              <w:rPr>
                <w:sz w:val="22"/>
                <w:szCs w:val="22"/>
              </w:rPr>
              <w:t>0</w:t>
            </w:r>
            <w:r>
              <w:rPr>
                <w:sz w:val="22"/>
                <w:szCs w:val="22"/>
              </w:rPr>
              <w:t>＝無實質單方權或懲罰過高</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2. </w:t>
            </w:r>
            <w:r>
              <w:rPr>
                <w:sz w:val="22"/>
                <w:szCs w:val="22"/>
              </w:rPr>
              <w:t>變更與修改權</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＝可單方要求修改參數或邏輯；</w:t>
            </w:r>
            <w:r>
              <w:rPr>
                <w:sz w:val="22"/>
                <w:szCs w:val="22"/>
              </w:rPr>
              <w:t>1</w:t>
            </w:r>
            <w:r>
              <w:rPr>
                <w:sz w:val="22"/>
                <w:szCs w:val="22"/>
              </w:rPr>
              <w:t>＝需協商；</w:t>
            </w:r>
            <w:r>
              <w:rPr>
                <w:sz w:val="22"/>
                <w:szCs w:val="22"/>
              </w:rPr>
              <w:t>0</w:t>
            </w:r>
            <w:r>
              <w:rPr>
                <w:sz w:val="22"/>
                <w:szCs w:val="22"/>
              </w:rPr>
              <w:t>＝完全依賴廠商同意</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3. </w:t>
            </w:r>
            <w:r>
              <w:rPr>
                <w:sz w:val="22"/>
                <w:szCs w:val="22"/>
              </w:rPr>
              <w:t>智慧財產權與交付物</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＝原始碼、模型權重、訓練資料清單明確歸屬機關或強制交付；</w:t>
            </w:r>
            <w:r>
              <w:rPr>
                <w:sz w:val="22"/>
                <w:szCs w:val="22"/>
              </w:rPr>
              <w:t>1</w:t>
            </w:r>
            <w:r>
              <w:rPr>
                <w:sz w:val="22"/>
                <w:szCs w:val="22"/>
              </w:rPr>
              <w:t>＝部分交付；</w:t>
            </w:r>
            <w:r>
              <w:rPr>
                <w:sz w:val="22"/>
                <w:szCs w:val="22"/>
              </w:rPr>
              <w:t>0</w:t>
            </w:r>
            <w:r>
              <w:rPr>
                <w:sz w:val="22"/>
                <w:szCs w:val="22"/>
              </w:rPr>
              <w:t>＝未要求或廠商保留</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4. </w:t>
            </w:r>
            <w:r>
              <w:rPr>
                <w:sz w:val="22"/>
                <w:szCs w:val="22"/>
              </w:rPr>
              <w:t>退出與轉移成本</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＝明訂合理轉移協助且成本低；</w:t>
            </w:r>
            <w:r>
              <w:rPr>
                <w:sz w:val="22"/>
                <w:szCs w:val="22"/>
              </w:rPr>
              <w:t>1</w:t>
            </w:r>
            <w:r>
              <w:rPr>
                <w:sz w:val="22"/>
                <w:szCs w:val="22"/>
              </w:rPr>
              <w:t>＝有條款但成本不明；</w:t>
            </w:r>
            <w:r>
              <w:rPr>
                <w:sz w:val="22"/>
                <w:szCs w:val="22"/>
              </w:rPr>
              <w:t>0</w:t>
            </w:r>
            <w:r>
              <w:rPr>
                <w:sz w:val="22"/>
                <w:szCs w:val="22"/>
              </w:rPr>
              <w:t>＝無或成本極高</w:t>
            </w:r>
          </w:p>
        </w:tc>
      </w:tr>
    </w:tbl>
    <w:p w:rsidR="00046118" w:rsidRDefault="007D5CF6">
      <w:pPr>
        <w:pStyle w:val="3"/>
      </w:pPr>
      <w:bookmarkStart w:id="37" w:name="_Toc238074075"/>
      <w:r>
        <w:t>三、硬指標二：模型控制權與再訓練能力（滿分</w:t>
      </w:r>
      <w:r>
        <w:t xml:space="preserve"> 8 </w:t>
      </w:r>
      <w:r>
        <w:t>分）</w:t>
      </w:r>
      <w:bookmarkEnd w:id="37"/>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5500"/>
      </w:tblGrid>
      <w:tr w:rsidR="00046118">
        <w:trPr>
          <w:tblHeader/>
        </w:trPr>
        <w:tc>
          <w:tcPr>
            <w:tcW w:w="2800" w:type="dxa"/>
            <w:shd w:val="clear" w:color="auto" w:fill="D9E2F3"/>
            <w:tcMar>
              <w:top w:w="100" w:type="dxa"/>
              <w:left w:w="120" w:type="dxa"/>
              <w:bottom w:w="100" w:type="dxa"/>
              <w:right w:w="120" w:type="dxa"/>
            </w:tcMar>
            <w:vAlign w:val="center"/>
          </w:tcPr>
          <w:p w:rsidR="00046118" w:rsidRDefault="007D5CF6">
            <w:pPr>
              <w:spacing w:after="60" w:line="300" w:lineRule="auto"/>
            </w:pPr>
            <w:proofErr w:type="gramStart"/>
            <w:r>
              <w:rPr>
                <w:b/>
                <w:bCs/>
                <w:sz w:val="22"/>
                <w:szCs w:val="22"/>
              </w:rPr>
              <w:t>子項</w:t>
            </w:r>
            <w:proofErr w:type="gramEnd"/>
          </w:p>
        </w:tc>
        <w:tc>
          <w:tcPr>
            <w:tcW w:w="55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評分標準（</w:t>
            </w:r>
            <w:r>
              <w:rPr>
                <w:b/>
                <w:bCs/>
                <w:sz w:val="22"/>
                <w:szCs w:val="22"/>
              </w:rPr>
              <w:t>0</w:t>
            </w:r>
            <w:proofErr w:type="gramStart"/>
            <w:r>
              <w:rPr>
                <w:b/>
                <w:bCs/>
                <w:sz w:val="22"/>
                <w:szCs w:val="22"/>
              </w:rPr>
              <w:t>–</w:t>
            </w:r>
            <w:proofErr w:type="gramEnd"/>
            <w:r>
              <w:rPr>
                <w:b/>
                <w:bCs/>
                <w:sz w:val="22"/>
                <w:szCs w:val="22"/>
              </w:rPr>
              <w:t xml:space="preserve">2 </w:t>
            </w:r>
            <w:r>
              <w:rPr>
                <w:b/>
                <w:bCs/>
                <w:sz w:val="22"/>
                <w:szCs w:val="22"/>
              </w:rPr>
              <w:t>分）</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1. </w:t>
            </w:r>
            <w:r>
              <w:rPr>
                <w:sz w:val="22"/>
                <w:szCs w:val="22"/>
              </w:rPr>
              <w:t>資料主權</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＝訓練資料完全由機關提供與掌控；</w:t>
            </w:r>
            <w:r>
              <w:rPr>
                <w:sz w:val="22"/>
                <w:szCs w:val="22"/>
              </w:rPr>
              <w:t>1</w:t>
            </w:r>
            <w:r>
              <w:rPr>
                <w:sz w:val="22"/>
                <w:szCs w:val="22"/>
              </w:rPr>
              <w:t>＝部分混合；</w:t>
            </w:r>
            <w:r>
              <w:rPr>
                <w:sz w:val="22"/>
                <w:szCs w:val="22"/>
              </w:rPr>
              <w:t>0</w:t>
            </w:r>
            <w:r>
              <w:rPr>
                <w:sz w:val="22"/>
                <w:szCs w:val="22"/>
              </w:rPr>
              <w:t>＝主要依賴廠商資料</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2. </w:t>
            </w:r>
            <w:r>
              <w:rPr>
                <w:sz w:val="22"/>
                <w:szCs w:val="22"/>
              </w:rPr>
              <w:t>變數與邏輯可解釋性</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＝核心特徵變數公開</w:t>
            </w:r>
            <w:proofErr w:type="gramStart"/>
            <w:r>
              <w:rPr>
                <w:sz w:val="22"/>
                <w:szCs w:val="22"/>
              </w:rPr>
              <w:t>可查且與</w:t>
            </w:r>
            <w:proofErr w:type="gramEnd"/>
            <w:r>
              <w:rPr>
                <w:sz w:val="22"/>
                <w:szCs w:val="22"/>
              </w:rPr>
              <w:t>法律要件對應清楚；</w:t>
            </w:r>
            <w:r>
              <w:rPr>
                <w:sz w:val="22"/>
                <w:szCs w:val="22"/>
              </w:rPr>
              <w:t>1</w:t>
            </w:r>
            <w:r>
              <w:rPr>
                <w:sz w:val="22"/>
                <w:szCs w:val="22"/>
              </w:rPr>
              <w:lastRenderedPageBreak/>
              <w:t>＝部分可解釋；</w:t>
            </w:r>
            <w:r>
              <w:rPr>
                <w:sz w:val="22"/>
                <w:szCs w:val="22"/>
              </w:rPr>
              <w:t>0</w:t>
            </w:r>
            <w:r>
              <w:rPr>
                <w:sz w:val="22"/>
                <w:szCs w:val="22"/>
              </w:rPr>
              <w:t>＝黑盒或未說明</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lastRenderedPageBreak/>
              <w:t xml:space="preserve">3. </w:t>
            </w:r>
            <w:r>
              <w:rPr>
                <w:sz w:val="22"/>
                <w:szCs w:val="22"/>
              </w:rPr>
              <w:t>再訓練自主權</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＝機關可獨立進行資料更新與再訓練；</w:t>
            </w:r>
            <w:r>
              <w:rPr>
                <w:sz w:val="22"/>
                <w:szCs w:val="22"/>
              </w:rPr>
              <w:t>1</w:t>
            </w:r>
            <w:r>
              <w:rPr>
                <w:sz w:val="22"/>
                <w:szCs w:val="22"/>
              </w:rPr>
              <w:t>＝需廠商協助但可行；</w:t>
            </w:r>
            <w:r>
              <w:rPr>
                <w:sz w:val="22"/>
                <w:szCs w:val="22"/>
              </w:rPr>
              <w:t>0</w:t>
            </w:r>
            <w:r>
              <w:rPr>
                <w:sz w:val="22"/>
                <w:szCs w:val="22"/>
              </w:rPr>
              <w:t>＝完全依賴原廠商</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4. </w:t>
            </w:r>
            <w:r>
              <w:rPr>
                <w:sz w:val="22"/>
                <w:szCs w:val="22"/>
              </w:rPr>
              <w:t>獨立稽核可能性</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＝可提供足夠資訊供第三方或審計機關檢查；</w:t>
            </w:r>
            <w:r>
              <w:rPr>
                <w:sz w:val="22"/>
                <w:szCs w:val="22"/>
              </w:rPr>
              <w:t>1</w:t>
            </w:r>
            <w:r>
              <w:rPr>
                <w:sz w:val="22"/>
                <w:szCs w:val="22"/>
              </w:rPr>
              <w:t>＝有限資訊；</w:t>
            </w:r>
            <w:r>
              <w:rPr>
                <w:sz w:val="22"/>
                <w:szCs w:val="22"/>
              </w:rPr>
              <w:t>0</w:t>
            </w:r>
            <w:r>
              <w:rPr>
                <w:sz w:val="22"/>
                <w:szCs w:val="22"/>
              </w:rPr>
              <w:t>＝無法稽核</w:t>
            </w:r>
          </w:p>
        </w:tc>
      </w:tr>
    </w:tbl>
    <w:p w:rsidR="00046118" w:rsidRDefault="007D5CF6">
      <w:pPr>
        <w:pStyle w:val="3"/>
      </w:pPr>
      <w:bookmarkStart w:id="38" w:name="_Toc238074076"/>
      <w:r>
        <w:t>四、硬指標</w:t>
      </w:r>
      <w:proofErr w:type="gramStart"/>
      <w:r>
        <w:t>三</w:t>
      </w:r>
      <w:proofErr w:type="gramEnd"/>
      <w:r>
        <w:t>：基礎設施依賴與供應商鎖定（滿分</w:t>
      </w:r>
      <w:r>
        <w:t xml:space="preserve"> 6 </w:t>
      </w:r>
      <w:r>
        <w:t>分）</w:t>
      </w:r>
      <w:bookmarkEnd w:id="38"/>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5500"/>
      </w:tblGrid>
      <w:tr w:rsidR="00046118">
        <w:trPr>
          <w:tblHeader/>
        </w:trPr>
        <w:tc>
          <w:tcPr>
            <w:tcW w:w="2800" w:type="dxa"/>
            <w:shd w:val="clear" w:color="auto" w:fill="D9E2F3"/>
            <w:tcMar>
              <w:top w:w="100" w:type="dxa"/>
              <w:left w:w="120" w:type="dxa"/>
              <w:bottom w:w="100" w:type="dxa"/>
              <w:right w:w="120" w:type="dxa"/>
            </w:tcMar>
            <w:vAlign w:val="center"/>
          </w:tcPr>
          <w:p w:rsidR="00046118" w:rsidRDefault="007D5CF6">
            <w:pPr>
              <w:spacing w:after="60" w:line="300" w:lineRule="auto"/>
            </w:pPr>
            <w:proofErr w:type="gramStart"/>
            <w:r>
              <w:rPr>
                <w:b/>
                <w:bCs/>
                <w:sz w:val="22"/>
                <w:szCs w:val="22"/>
              </w:rPr>
              <w:t>子項</w:t>
            </w:r>
            <w:proofErr w:type="gramEnd"/>
          </w:p>
        </w:tc>
        <w:tc>
          <w:tcPr>
            <w:tcW w:w="5500" w:type="dxa"/>
            <w:shd w:val="clear" w:color="auto" w:fill="D9E2F3"/>
            <w:tcMar>
              <w:top w:w="100" w:type="dxa"/>
              <w:left w:w="120" w:type="dxa"/>
              <w:bottom w:w="100" w:type="dxa"/>
              <w:right w:w="120" w:type="dxa"/>
            </w:tcMar>
            <w:vAlign w:val="center"/>
          </w:tcPr>
          <w:p w:rsidR="00046118" w:rsidRDefault="007D5CF6">
            <w:pPr>
              <w:spacing w:after="60" w:line="300" w:lineRule="auto"/>
            </w:pPr>
            <w:r>
              <w:rPr>
                <w:b/>
                <w:bCs/>
                <w:sz w:val="22"/>
                <w:szCs w:val="22"/>
              </w:rPr>
              <w:t>評分標準（</w:t>
            </w:r>
            <w:r>
              <w:rPr>
                <w:b/>
                <w:bCs/>
                <w:sz w:val="22"/>
                <w:szCs w:val="22"/>
              </w:rPr>
              <w:t>0</w:t>
            </w:r>
            <w:proofErr w:type="gramStart"/>
            <w:r>
              <w:rPr>
                <w:b/>
                <w:bCs/>
                <w:sz w:val="22"/>
                <w:szCs w:val="22"/>
              </w:rPr>
              <w:t>–</w:t>
            </w:r>
            <w:proofErr w:type="gramEnd"/>
            <w:r>
              <w:rPr>
                <w:b/>
                <w:bCs/>
                <w:sz w:val="22"/>
                <w:szCs w:val="22"/>
              </w:rPr>
              <w:t xml:space="preserve">2 </w:t>
            </w:r>
            <w:r>
              <w:rPr>
                <w:b/>
                <w:bCs/>
                <w:sz w:val="22"/>
                <w:szCs w:val="22"/>
              </w:rPr>
              <w:t>分）</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1. </w:t>
            </w:r>
            <w:r>
              <w:rPr>
                <w:sz w:val="22"/>
                <w:szCs w:val="22"/>
              </w:rPr>
              <w:t>部署位置</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＝明確在地化或政府雲；</w:t>
            </w:r>
            <w:r>
              <w:rPr>
                <w:sz w:val="22"/>
                <w:szCs w:val="22"/>
              </w:rPr>
              <w:t>1</w:t>
            </w:r>
            <w:r>
              <w:rPr>
                <w:sz w:val="22"/>
                <w:szCs w:val="22"/>
              </w:rPr>
              <w:t>＝混合或未說明；</w:t>
            </w:r>
            <w:r>
              <w:rPr>
                <w:sz w:val="22"/>
                <w:szCs w:val="22"/>
              </w:rPr>
              <w:t>0</w:t>
            </w:r>
            <w:r>
              <w:rPr>
                <w:sz w:val="22"/>
                <w:szCs w:val="22"/>
              </w:rPr>
              <w:t>＝高度依賴外部商業雲／專有私有雲</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2. </w:t>
            </w:r>
            <w:r>
              <w:rPr>
                <w:sz w:val="22"/>
                <w:szCs w:val="22"/>
              </w:rPr>
              <w:t>專有平台／</w:t>
            </w:r>
            <w:r>
              <w:rPr>
                <w:sz w:val="22"/>
                <w:szCs w:val="22"/>
              </w:rPr>
              <w:t xml:space="preserve">API </w:t>
            </w:r>
            <w:r>
              <w:rPr>
                <w:sz w:val="22"/>
                <w:szCs w:val="22"/>
              </w:rPr>
              <w:t>依賴</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＝主要使用開源或通用工具，無關鍵專有</w:t>
            </w:r>
            <w:r>
              <w:rPr>
                <w:sz w:val="22"/>
                <w:szCs w:val="22"/>
              </w:rPr>
              <w:t xml:space="preserve"> API</w:t>
            </w:r>
            <w:r>
              <w:rPr>
                <w:sz w:val="22"/>
                <w:szCs w:val="22"/>
              </w:rPr>
              <w:t>；</w:t>
            </w:r>
            <w:r>
              <w:rPr>
                <w:sz w:val="22"/>
                <w:szCs w:val="22"/>
              </w:rPr>
              <w:t>1</w:t>
            </w:r>
            <w:r>
              <w:rPr>
                <w:sz w:val="22"/>
                <w:szCs w:val="22"/>
              </w:rPr>
              <w:t>＝部分依賴；</w:t>
            </w:r>
            <w:r>
              <w:rPr>
                <w:sz w:val="22"/>
                <w:szCs w:val="22"/>
              </w:rPr>
              <w:t>0</w:t>
            </w:r>
            <w:r>
              <w:rPr>
                <w:sz w:val="22"/>
                <w:szCs w:val="22"/>
              </w:rPr>
              <w:t>＝核心功能依賴專有</w:t>
            </w:r>
            <w:r>
              <w:rPr>
                <w:sz w:val="22"/>
                <w:szCs w:val="22"/>
              </w:rPr>
              <w:t xml:space="preserve"> API</w:t>
            </w:r>
          </w:p>
        </w:tc>
      </w:tr>
      <w:tr w:rsidR="00046118">
        <w:tc>
          <w:tcPr>
            <w:tcW w:w="2800" w:type="dxa"/>
            <w:tcMar>
              <w:top w:w="100" w:type="dxa"/>
              <w:left w:w="120" w:type="dxa"/>
              <w:bottom w:w="100" w:type="dxa"/>
              <w:right w:w="120" w:type="dxa"/>
            </w:tcMar>
            <w:vAlign w:val="center"/>
          </w:tcPr>
          <w:p w:rsidR="00046118" w:rsidRDefault="007D5CF6">
            <w:pPr>
              <w:spacing w:after="60" w:line="300" w:lineRule="auto"/>
            </w:pPr>
            <w:r>
              <w:rPr>
                <w:sz w:val="22"/>
                <w:szCs w:val="22"/>
              </w:rPr>
              <w:t xml:space="preserve">3. </w:t>
            </w:r>
            <w:r>
              <w:rPr>
                <w:sz w:val="22"/>
                <w:szCs w:val="22"/>
              </w:rPr>
              <w:t>轉換與離線能力</w:t>
            </w:r>
          </w:p>
        </w:tc>
        <w:tc>
          <w:tcPr>
            <w:tcW w:w="5500" w:type="dxa"/>
            <w:tcMar>
              <w:top w:w="100" w:type="dxa"/>
              <w:left w:w="120" w:type="dxa"/>
              <w:bottom w:w="100" w:type="dxa"/>
              <w:right w:w="120" w:type="dxa"/>
            </w:tcMar>
            <w:vAlign w:val="center"/>
          </w:tcPr>
          <w:p w:rsidR="00046118" w:rsidRDefault="007D5CF6">
            <w:pPr>
              <w:spacing w:after="60" w:line="300" w:lineRule="auto"/>
            </w:pPr>
            <w:r>
              <w:rPr>
                <w:sz w:val="22"/>
                <w:szCs w:val="22"/>
              </w:rPr>
              <w:t>2</w:t>
            </w:r>
            <w:r>
              <w:rPr>
                <w:sz w:val="22"/>
                <w:szCs w:val="22"/>
              </w:rPr>
              <w:t>＝具備離線獨立運作或低轉換成本；</w:t>
            </w:r>
            <w:r>
              <w:rPr>
                <w:sz w:val="22"/>
                <w:szCs w:val="22"/>
              </w:rPr>
              <w:t>1</w:t>
            </w:r>
            <w:r>
              <w:rPr>
                <w:sz w:val="22"/>
                <w:szCs w:val="22"/>
              </w:rPr>
              <w:t>＝有限能力；</w:t>
            </w:r>
            <w:r>
              <w:rPr>
                <w:sz w:val="22"/>
                <w:szCs w:val="22"/>
              </w:rPr>
              <w:t>0</w:t>
            </w:r>
            <w:r>
              <w:rPr>
                <w:sz w:val="22"/>
                <w:szCs w:val="22"/>
              </w:rPr>
              <w:t>＝轉換成本極高或無法離線</w:t>
            </w:r>
          </w:p>
        </w:tc>
      </w:tr>
    </w:tbl>
    <w:p w:rsidR="00046118" w:rsidRDefault="007D5CF6">
      <w:pPr>
        <w:pStyle w:val="3"/>
      </w:pPr>
      <w:bookmarkStart w:id="39" w:name="_Toc238074077"/>
      <w:r>
        <w:t>五、綜合</w:t>
      </w:r>
      <w:r>
        <w:t xml:space="preserve"> MSCC </w:t>
      </w:r>
      <w:r>
        <w:t>診斷分數</w:t>
      </w:r>
      <w:bookmarkEnd w:id="39"/>
    </w:p>
    <w:p w:rsidR="00046118" w:rsidRDefault="007D5CF6">
      <w:pPr>
        <w:spacing w:before="120" w:after="120"/>
        <w:jc w:val="center"/>
      </w:pPr>
      <w:r>
        <w:rPr>
          <w:b/>
          <w:bCs/>
        </w:rPr>
        <w:t xml:space="preserve">MSCC </w:t>
      </w:r>
      <w:r>
        <w:rPr>
          <w:b/>
          <w:bCs/>
        </w:rPr>
        <w:t>診斷分數</w:t>
      </w:r>
      <w:r>
        <w:rPr>
          <w:b/>
          <w:bCs/>
        </w:rPr>
        <w:t xml:space="preserve"> </w:t>
      </w:r>
      <w:r>
        <w:rPr>
          <w:b/>
          <w:bCs/>
        </w:rPr>
        <w:t>＝（契約權力得分</w:t>
      </w:r>
      <w:r>
        <w:rPr>
          <w:b/>
          <w:bCs/>
        </w:rPr>
        <w:t xml:space="preserve"> × 0.4</w:t>
      </w:r>
      <w:r>
        <w:rPr>
          <w:b/>
          <w:bCs/>
        </w:rPr>
        <w:t>）＋（模型控制權得分</w:t>
      </w:r>
      <w:r>
        <w:rPr>
          <w:b/>
          <w:bCs/>
        </w:rPr>
        <w:t xml:space="preserve"> × 0.35</w:t>
      </w:r>
      <w:r>
        <w:rPr>
          <w:b/>
          <w:bCs/>
        </w:rPr>
        <w:t>）＋（基礎設施得分</w:t>
      </w:r>
      <w:r>
        <w:rPr>
          <w:b/>
          <w:bCs/>
        </w:rPr>
        <w:t xml:space="preserve"> × 0.25</w:t>
      </w:r>
      <w:r>
        <w:rPr>
          <w:b/>
          <w:bCs/>
        </w:rPr>
        <w:t>）</w:t>
      </w:r>
    </w:p>
    <w:p w:rsidR="00046118" w:rsidRDefault="007D5CF6">
      <w:pPr>
        <w:spacing w:after="200" w:line="360" w:lineRule="auto"/>
        <w:jc w:val="both"/>
      </w:pPr>
      <w:r>
        <w:t>建議門檻如下：</w:t>
      </w:r>
    </w:p>
    <w:p w:rsidR="00046118" w:rsidRDefault="007D5CF6">
      <w:pPr>
        <w:spacing w:after="200" w:line="360" w:lineRule="auto"/>
        <w:ind w:left="480" w:hanging="480"/>
        <w:jc w:val="both"/>
      </w:pPr>
      <w:r>
        <w:rPr>
          <w:b/>
          <w:bCs/>
        </w:rPr>
        <w:t>1. ≥ 6.0</w:t>
      </w:r>
      <w:r>
        <w:rPr>
          <w:b/>
          <w:bCs/>
        </w:rPr>
        <w:t>：</w:t>
      </w:r>
      <w:r>
        <w:t>初步判定達到</w:t>
      </w:r>
      <w:r>
        <w:t xml:space="preserve"> MSCC </w:t>
      </w:r>
      <w:r>
        <w:t>最低要求（低分離）。</w:t>
      </w:r>
    </w:p>
    <w:p w:rsidR="00046118" w:rsidRDefault="007D5CF6">
      <w:pPr>
        <w:spacing w:after="200" w:line="360" w:lineRule="auto"/>
        <w:ind w:left="480" w:hanging="480"/>
        <w:jc w:val="both"/>
      </w:pPr>
      <w:r>
        <w:rPr>
          <w:b/>
          <w:bCs/>
        </w:rPr>
        <w:t>2. 4.0</w:t>
      </w:r>
      <w:r>
        <w:rPr>
          <w:b/>
          <w:bCs/>
        </w:rPr>
        <w:t>～</w:t>
      </w:r>
      <w:r>
        <w:rPr>
          <w:b/>
          <w:bCs/>
        </w:rPr>
        <w:t>5.9</w:t>
      </w:r>
      <w:r>
        <w:rPr>
          <w:b/>
          <w:bCs/>
        </w:rPr>
        <w:t>：</w:t>
      </w:r>
      <w:r>
        <w:t>中介狀態，需補強契約、模型或基礎設施其中一項或多項硬指標。</w:t>
      </w:r>
    </w:p>
    <w:p w:rsidR="00046118" w:rsidRDefault="007D5CF6">
      <w:pPr>
        <w:spacing w:after="200" w:line="360" w:lineRule="auto"/>
        <w:ind w:left="480" w:hanging="480"/>
        <w:jc w:val="both"/>
      </w:pPr>
      <w:r>
        <w:rPr>
          <w:b/>
          <w:bCs/>
        </w:rPr>
        <w:t>3. &lt; 4.0</w:t>
      </w:r>
      <w:r>
        <w:rPr>
          <w:b/>
          <w:bCs/>
        </w:rPr>
        <w:t>：</w:t>
      </w:r>
      <w:r>
        <w:t>高分離風險，不宜直接進入公權力核心行使，應優先檢討採購與技術架構。</w:t>
      </w:r>
    </w:p>
    <w:p w:rsidR="00046118" w:rsidRDefault="007D5CF6">
      <w:pPr>
        <w:pStyle w:val="3"/>
      </w:pPr>
      <w:bookmarkStart w:id="40" w:name="_Toc238074078"/>
      <w:r>
        <w:t>六、實施建議與限制</w:t>
      </w:r>
      <w:bookmarkEnd w:id="40"/>
    </w:p>
    <w:p w:rsidR="00046118" w:rsidRDefault="007D5CF6">
      <w:pPr>
        <w:spacing w:after="200" w:line="360" w:lineRule="auto"/>
        <w:jc w:val="both"/>
      </w:pPr>
      <w:r>
        <w:t>本評分工具設有「基礎版」與「進階版」：基礎版僅用公開文件即可評分；進階版則可加入機關內部訪談以提升準確度。惟須留意，公開契約常隱匿關鍵條</w:t>
      </w:r>
      <w:r>
        <w:lastRenderedPageBreak/>
        <w:t>款，評分可能低估實際分離程度。</w:t>
      </w:r>
      <w:proofErr w:type="gramStart"/>
      <w:r>
        <w:t>此外，</w:t>
      </w:r>
      <w:proofErr w:type="gramEnd"/>
      <w:r>
        <w:t>量化評分仍帶有主觀判斷空間，未來研究應建立評分</w:t>
      </w:r>
      <w:proofErr w:type="gramStart"/>
      <w:r>
        <w:t>者間信</w:t>
      </w:r>
      <w:proofErr w:type="gramEnd"/>
      <w:r>
        <w:t>度（</w:t>
      </w:r>
      <w:r>
        <w:t>Inter-rater Reliability</w:t>
      </w:r>
      <w:r>
        <w:t>）檢查機制。此量表可作為採購前評估、事後稽核與跨個案比較之共同工具，惟不應取代個案脈絡之質性分析。</w:t>
      </w:r>
    </w:p>
    <w:p w:rsidR="00046118" w:rsidRDefault="007D5CF6">
      <w:pPr>
        <w:pStyle w:val="1"/>
        <w:pageBreakBefore/>
      </w:pPr>
      <w:bookmarkStart w:id="41" w:name="_Toc238074079"/>
      <w:r>
        <w:lastRenderedPageBreak/>
        <w:t>參考文獻</w:t>
      </w:r>
      <w:bookmarkEnd w:id="41"/>
    </w:p>
    <w:p w:rsidR="00046118" w:rsidRDefault="007D5CF6">
      <w:pPr>
        <w:spacing w:after="160" w:line="300" w:lineRule="auto"/>
        <w:ind w:left="480" w:hanging="480"/>
        <w:jc w:val="both"/>
      </w:pPr>
      <w:r>
        <w:rPr>
          <w:sz w:val="22"/>
          <w:szCs w:val="22"/>
        </w:rPr>
        <w:t>辛年豐（</w:t>
      </w:r>
      <w:r>
        <w:rPr>
          <w:sz w:val="22"/>
          <w:szCs w:val="22"/>
        </w:rPr>
        <w:t>2020</w:t>
      </w:r>
      <w:r>
        <w:rPr>
          <w:sz w:val="22"/>
          <w:szCs w:val="22"/>
        </w:rPr>
        <w:t>）。</w:t>
      </w:r>
      <w:proofErr w:type="gramStart"/>
      <w:r>
        <w:rPr>
          <w:sz w:val="22"/>
          <w:szCs w:val="22"/>
        </w:rPr>
        <w:t>〈</w:t>
      </w:r>
      <w:proofErr w:type="gramEnd"/>
      <w:r>
        <w:rPr>
          <w:sz w:val="22"/>
          <w:szCs w:val="22"/>
        </w:rPr>
        <w:t>行政自動化與正當法律程序：以人工智慧在行政程序之應用為中心</w:t>
      </w:r>
      <w:proofErr w:type="gramStart"/>
      <w:r>
        <w:rPr>
          <w:sz w:val="22"/>
          <w:szCs w:val="22"/>
        </w:rPr>
        <w:t>〉</w:t>
      </w:r>
      <w:proofErr w:type="gramEnd"/>
      <w:r>
        <w:rPr>
          <w:sz w:val="22"/>
          <w:szCs w:val="22"/>
        </w:rPr>
        <w:t>。《東吳法律學報》，</w:t>
      </w:r>
      <w:r>
        <w:rPr>
          <w:sz w:val="22"/>
          <w:szCs w:val="22"/>
        </w:rPr>
        <w:t>32(2)</w:t>
      </w:r>
      <w:r>
        <w:rPr>
          <w:sz w:val="22"/>
          <w:szCs w:val="22"/>
        </w:rPr>
        <w:t>，</w:t>
      </w:r>
      <w:r>
        <w:rPr>
          <w:sz w:val="22"/>
          <w:szCs w:val="22"/>
        </w:rPr>
        <w:t>45-89</w:t>
      </w:r>
      <w:r>
        <w:rPr>
          <w:sz w:val="22"/>
          <w:szCs w:val="22"/>
        </w:rPr>
        <w:t>。</w:t>
      </w:r>
    </w:p>
    <w:p w:rsidR="00046118" w:rsidRDefault="007D5CF6">
      <w:pPr>
        <w:spacing w:after="160" w:line="300" w:lineRule="auto"/>
        <w:ind w:left="480" w:hanging="480"/>
        <w:jc w:val="both"/>
      </w:pPr>
      <w:r>
        <w:rPr>
          <w:sz w:val="22"/>
          <w:szCs w:val="22"/>
        </w:rPr>
        <w:t>曾為岑（</w:t>
      </w:r>
      <w:r>
        <w:rPr>
          <w:sz w:val="22"/>
          <w:szCs w:val="22"/>
        </w:rPr>
        <w:t>2022</w:t>
      </w:r>
      <w:r>
        <w:rPr>
          <w:sz w:val="22"/>
          <w:szCs w:val="22"/>
        </w:rPr>
        <w:t>）。</w:t>
      </w:r>
      <w:proofErr w:type="gramStart"/>
      <w:r>
        <w:rPr>
          <w:sz w:val="22"/>
          <w:szCs w:val="22"/>
        </w:rPr>
        <w:t>〈</w:t>
      </w:r>
      <w:proofErr w:type="gramEnd"/>
      <w:r>
        <w:rPr>
          <w:sz w:val="22"/>
          <w:szCs w:val="22"/>
        </w:rPr>
        <w:t>演算法裁量與行政擔保責任：論預測性警政之法治國界限</w:t>
      </w:r>
      <w:proofErr w:type="gramStart"/>
      <w:r>
        <w:rPr>
          <w:sz w:val="22"/>
          <w:szCs w:val="22"/>
        </w:rPr>
        <w:t>〉</w:t>
      </w:r>
      <w:proofErr w:type="gramEnd"/>
      <w:r>
        <w:rPr>
          <w:sz w:val="22"/>
          <w:szCs w:val="22"/>
        </w:rPr>
        <w:t>。《臺大法學論叢》，</w:t>
      </w:r>
      <w:r>
        <w:rPr>
          <w:sz w:val="22"/>
          <w:szCs w:val="22"/>
        </w:rPr>
        <w:t>51(3)</w:t>
      </w:r>
      <w:r>
        <w:rPr>
          <w:sz w:val="22"/>
          <w:szCs w:val="22"/>
        </w:rPr>
        <w:t>，</w:t>
      </w:r>
      <w:r>
        <w:rPr>
          <w:sz w:val="22"/>
          <w:szCs w:val="22"/>
        </w:rPr>
        <w:t>1105-1168</w:t>
      </w:r>
      <w:r>
        <w:rPr>
          <w:sz w:val="22"/>
          <w:szCs w:val="22"/>
        </w:rPr>
        <w:t>。</w:t>
      </w:r>
    </w:p>
    <w:p w:rsidR="00046118" w:rsidRDefault="007D5CF6">
      <w:pPr>
        <w:spacing w:after="160" w:line="300" w:lineRule="auto"/>
        <w:ind w:left="480" w:hanging="480"/>
        <w:jc w:val="both"/>
      </w:pPr>
      <w:r>
        <w:rPr>
          <w:sz w:val="22"/>
          <w:szCs w:val="22"/>
        </w:rPr>
        <w:t>詹鎮榮（</w:t>
      </w:r>
      <w:r>
        <w:rPr>
          <w:sz w:val="22"/>
          <w:szCs w:val="22"/>
        </w:rPr>
        <w:t>2014</w:t>
      </w:r>
      <w:r>
        <w:rPr>
          <w:sz w:val="22"/>
          <w:szCs w:val="22"/>
        </w:rPr>
        <w:t>）。〈公私協同履踐行政任務之擔保責任〉。《政大法學評論》，</w:t>
      </w:r>
      <w:r>
        <w:rPr>
          <w:sz w:val="22"/>
          <w:szCs w:val="22"/>
        </w:rPr>
        <w:t>138</w:t>
      </w:r>
      <w:r>
        <w:rPr>
          <w:sz w:val="22"/>
          <w:szCs w:val="22"/>
        </w:rPr>
        <w:t>，</w:t>
      </w:r>
      <w:r>
        <w:rPr>
          <w:sz w:val="22"/>
          <w:szCs w:val="22"/>
        </w:rPr>
        <w:t>1-58</w:t>
      </w:r>
      <w:r>
        <w:rPr>
          <w:sz w:val="22"/>
          <w:szCs w:val="22"/>
        </w:rPr>
        <w:t>。</w:t>
      </w:r>
    </w:p>
    <w:p w:rsidR="00046118" w:rsidRDefault="007D5CF6">
      <w:pPr>
        <w:spacing w:after="160" w:line="300" w:lineRule="auto"/>
        <w:ind w:left="480" w:hanging="480"/>
        <w:jc w:val="both"/>
      </w:pPr>
      <w:r>
        <w:rPr>
          <w:sz w:val="22"/>
          <w:szCs w:val="22"/>
        </w:rPr>
        <w:t>蕭乃沂、黃心怡（</w:t>
      </w:r>
      <w:r>
        <w:rPr>
          <w:sz w:val="22"/>
          <w:szCs w:val="22"/>
        </w:rPr>
        <w:t>2012</w:t>
      </w:r>
      <w:r>
        <w:rPr>
          <w:sz w:val="22"/>
          <w:szCs w:val="22"/>
        </w:rPr>
        <w:t>）。</w:t>
      </w:r>
      <w:proofErr w:type="gramStart"/>
      <w:r>
        <w:rPr>
          <w:sz w:val="22"/>
          <w:szCs w:val="22"/>
        </w:rPr>
        <w:t>〈</w:t>
      </w:r>
      <w:proofErr w:type="gramEnd"/>
      <w:r>
        <w:rPr>
          <w:sz w:val="22"/>
          <w:szCs w:val="22"/>
        </w:rPr>
        <w:t>政府機關資訊外包治理機制之研究：控制觀點與社會觀點之整合</w:t>
      </w:r>
      <w:proofErr w:type="gramStart"/>
      <w:r>
        <w:rPr>
          <w:sz w:val="22"/>
          <w:szCs w:val="22"/>
        </w:rPr>
        <w:t>〉</w:t>
      </w:r>
      <w:proofErr w:type="gramEnd"/>
      <w:r>
        <w:rPr>
          <w:sz w:val="22"/>
          <w:szCs w:val="22"/>
        </w:rPr>
        <w:t>。《公共行政學報》，</w:t>
      </w:r>
      <w:r>
        <w:rPr>
          <w:sz w:val="22"/>
          <w:szCs w:val="22"/>
        </w:rPr>
        <w:t>43</w:t>
      </w:r>
      <w:r>
        <w:rPr>
          <w:sz w:val="22"/>
          <w:szCs w:val="22"/>
        </w:rPr>
        <w:t>，</w:t>
      </w:r>
      <w:r>
        <w:rPr>
          <w:sz w:val="22"/>
          <w:szCs w:val="22"/>
        </w:rPr>
        <w:t>35-78</w:t>
      </w:r>
      <w:r>
        <w:rPr>
          <w:sz w:val="22"/>
          <w:szCs w:val="22"/>
        </w:rPr>
        <w:t>。</w:t>
      </w:r>
    </w:p>
    <w:p w:rsidR="00046118" w:rsidRDefault="007D5CF6">
      <w:pPr>
        <w:spacing w:after="160" w:line="300" w:lineRule="auto"/>
        <w:ind w:left="480" w:hanging="480"/>
        <w:jc w:val="both"/>
      </w:pPr>
      <w:r>
        <w:rPr>
          <w:sz w:val="22"/>
          <w:szCs w:val="22"/>
        </w:rPr>
        <w:t>陳敦源、黃東益、蕭乃沂（</w:t>
      </w:r>
      <w:r>
        <w:rPr>
          <w:sz w:val="22"/>
          <w:szCs w:val="22"/>
        </w:rPr>
        <w:t>2016</w:t>
      </w:r>
      <w:r>
        <w:rPr>
          <w:sz w:val="22"/>
          <w:szCs w:val="22"/>
        </w:rPr>
        <w:t>）。〈巨量資料在公共政策上的應用與挑戰〉。《中國行政評論》，</w:t>
      </w:r>
      <w:r>
        <w:rPr>
          <w:sz w:val="22"/>
          <w:szCs w:val="22"/>
        </w:rPr>
        <w:t>22(2)</w:t>
      </w:r>
      <w:r>
        <w:rPr>
          <w:sz w:val="22"/>
          <w:szCs w:val="22"/>
        </w:rPr>
        <w:t>，</w:t>
      </w:r>
      <w:r>
        <w:rPr>
          <w:sz w:val="22"/>
          <w:szCs w:val="22"/>
        </w:rPr>
        <w:t>1-28</w:t>
      </w:r>
      <w:r>
        <w:rPr>
          <w:sz w:val="22"/>
          <w:szCs w:val="22"/>
        </w:rPr>
        <w:t>。</w:t>
      </w:r>
    </w:p>
    <w:p w:rsidR="00046118" w:rsidRDefault="007D5CF6">
      <w:pPr>
        <w:spacing w:after="160" w:line="300" w:lineRule="auto"/>
        <w:ind w:left="480" w:hanging="480"/>
        <w:jc w:val="both"/>
      </w:pPr>
      <w:proofErr w:type="spellStart"/>
      <w:r>
        <w:rPr>
          <w:sz w:val="22"/>
          <w:szCs w:val="22"/>
        </w:rPr>
        <w:t>Bovens</w:t>
      </w:r>
      <w:proofErr w:type="spellEnd"/>
      <w:r>
        <w:rPr>
          <w:sz w:val="22"/>
          <w:szCs w:val="22"/>
        </w:rPr>
        <w:t xml:space="preserve">, M. (2007). </w:t>
      </w:r>
      <w:proofErr w:type="spellStart"/>
      <w:r>
        <w:rPr>
          <w:sz w:val="22"/>
          <w:szCs w:val="22"/>
        </w:rPr>
        <w:t>Analysing</w:t>
      </w:r>
      <w:proofErr w:type="spellEnd"/>
      <w:r>
        <w:rPr>
          <w:sz w:val="22"/>
          <w:szCs w:val="22"/>
        </w:rPr>
        <w:t xml:space="preserve"> and assessing accountability: A conceptual framework. European Law Journal, 13(4), 447-468.</w:t>
      </w:r>
    </w:p>
    <w:p w:rsidR="00046118" w:rsidRDefault="007D5CF6">
      <w:pPr>
        <w:spacing w:after="160" w:line="300" w:lineRule="auto"/>
        <w:ind w:left="480" w:hanging="480"/>
        <w:jc w:val="both"/>
      </w:pPr>
      <w:r>
        <w:rPr>
          <w:sz w:val="22"/>
          <w:szCs w:val="22"/>
        </w:rPr>
        <w:t>Braithwaite, J. (2008). Regulatory Capitalism: How it Works, Ideas for Making it Work Better. Edward Elgar Publishing.</w:t>
      </w:r>
    </w:p>
    <w:p w:rsidR="00046118" w:rsidRDefault="007D5CF6">
      <w:pPr>
        <w:spacing w:after="160" w:line="300" w:lineRule="auto"/>
        <w:ind w:left="480" w:hanging="480"/>
        <w:jc w:val="both"/>
      </w:pPr>
      <w:r>
        <w:rPr>
          <w:sz w:val="22"/>
          <w:szCs w:val="22"/>
        </w:rPr>
        <w:t>Citron, D. K. (2008). Technological due process. Washington University Law Review, 85(6), 1249-1313.</w:t>
      </w:r>
    </w:p>
    <w:p w:rsidR="00046118" w:rsidRDefault="007D5CF6">
      <w:pPr>
        <w:spacing w:after="160" w:line="300" w:lineRule="auto"/>
        <w:ind w:left="480" w:hanging="480"/>
        <w:jc w:val="both"/>
      </w:pPr>
      <w:r>
        <w:rPr>
          <w:sz w:val="22"/>
          <w:szCs w:val="22"/>
        </w:rPr>
        <w:t>Cobbe, J., Lee, M. S., &amp; Veale, M. (2021). Reviewable automated decision-making: A framework for accountable algorithmic systems. ACM Conference on Fairness, Accountability, and Transparency (</w:t>
      </w:r>
      <w:proofErr w:type="spellStart"/>
      <w:r>
        <w:rPr>
          <w:sz w:val="22"/>
          <w:szCs w:val="22"/>
        </w:rPr>
        <w:t>FAccT</w:t>
      </w:r>
      <w:proofErr w:type="spellEnd"/>
      <w:r>
        <w:rPr>
          <w:sz w:val="22"/>
          <w:szCs w:val="22"/>
        </w:rPr>
        <w:t xml:space="preserve"> '21), 598-609.</w:t>
      </w:r>
    </w:p>
    <w:p w:rsidR="00046118" w:rsidRDefault="007D5CF6">
      <w:pPr>
        <w:spacing w:after="160" w:line="300" w:lineRule="auto"/>
        <w:ind w:left="480" w:hanging="480"/>
        <w:jc w:val="both"/>
      </w:pPr>
      <w:proofErr w:type="spellStart"/>
      <w:r>
        <w:rPr>
          <w:sz w:val="22"/>
          <w:szCs w:val="22"/>
        </w:rPr>
        <w:t>Coglianese</w:t>
      </w:r>
      <w:proofErr w:type="spellEnd"/>
      <w:r>
        <w:rPr>
          <w:sz w:val="22"/>
          <w:szCs w:val="22"/>
        </w:rPr>
        <w:t>, C., &amp; Lehr, D. (2017). Regulating by robot: Administrative decision making in the machine-learning era. Georgetown Law Journal, 105(5), 1147-1223.</w:t>
      </w:r>
    </w:p>
    <w:p w:rsidR="00046118" w:rsidRDefault="007D5CF6">
      <w:pPr>
        <w:spacing w:after="160" w:line="300" w:lineRule="auto"/>
        <w:ind w:left="480" w:hanging="480"/>
        <w:jc w:val="both"/>
      </w:pPr>
      <w:r>
        <w:rPr>
          <w:sz w:val="22"/>
          <w:szCs w:val="22"/>
        </w:rPr>
        <w:t xml:space="preserve">Dorf, M. C., &amp; </w:t>
      </w:r>
      <w:proofErr w:type="spellStart"/>
      <w:r>
        <w:rPr>
          <w:sz w:val="22"/>
          <w:szCs w:val="22"/>
        </w:rPr>
        <w:t>Sabel</w:t>
      </w:r>
      <w:proofErr w:type="spellEnd"/>
      <w:r>
        <w:rPr>
          <w:sz w:val="22"/>
          <w:szCs w:val="22"/>
        </w:rPr>
        <w:t>, C. F. (1998). A constitution of democratic experimentalism. Columbia Law Review, 98(2), 267-473.</w:t>
      </w:r>
    </w:p>
    <w:p w:rsidR="00046118" w:rsidRDefault="007D5CF6">
      <w:pPr>
        <w:spacing w:after="160" w:line="300" w:lineRule="auto"/>
        <w:ind w:left="480" w:hanging="480"/>
        <w:jc w:val="both"/>
      </w:pPr>
      <w:proofErr w:type="spellStart"/>
      <w:r>
        <w:rPr>
          <w:sz w:val="22"/>
          <w:szCs w:val="22"/>
        </w:rPr>
        <w:t>Elish</w:t>
      </w:r>
      <w:proofErr w:type="spellEnd"/>
      <w:r>
        <w:rPr>
          <w:sz w:val="22"/>
          <w:szCs w:val="22"/>
        </w:rPr>
        <w:t>, M. C. (2019). Moral crumple zones: Cautionary tales in human-robot interaction. Engaging Science, Technology, and Society, 5, 40-60.</w:t>
      </w:r>
    </w:p>
    <w:p w:rsidR="00046118" w:rsidRDefault="007D5CF6">
      <w:pPr>
        <w:spacing w:after="160" w:line="300" w:lineRule="auto"/>
        <w:ind w:left="480" w:hanging="480"/>
        <w:jc w:val="both"/>
      </w:pPr>
      <w:proofErr w:type="spellStart"/>
      <w:r>
        <w:rPr>
          <w:sz w:val="22"/>
          <w:szCs w:val="22"/>
        </w:rPr>
        <w:t>Koppell</w:t>
      </w:r>
      <w:proofErr w:type="spellEnd"/>
      <w:r>
        <w:rPr>
          <w:sz w:val="22"/>
          <w:szCs w:val="22"/>
        </w:rPr>
        <w:t>, G. S. (2005). Pathologies of accountability: ICANN and the challenge of "multiple accountabilities disorder". Public Administration Review, 65(1), 94-108.</w:t>
      </w:r>
    </w:p>
    <w:p w:rsidR="00046118" w:rsidRDefault="007D5CF6">
      <w:pPr>
        <w:spacing w:after="160" w:line="300" w:lineRule="auto"/>
        <w:ind w:left="480" w:hanging="480"/>
        <w:jc w:val="both"/>
      </w:pPr>
      <w:r>
        <w:rPr>
          <w:sz w:val="22"/>
          <w:szCs w:val="22"/>
        </w:rPr>
        <w:t>Pasquale, F. (2015). The Black Box Society: The Secret Algorithms That Control Money and Information. Harvard University Press.</w:t>
      </w:r>
    </w:p>
    <w:p w:rsidR="00046118" w:rsidRDefault="007D5CF6">
      <w:pPr>
        <w:spacing w:after="160" w:line="300" w:lineRule="auto"/>
        <w:ind w:left="480" w:hanging="480"/>
        <w:jc w:val="both"/>
      </w:pPr>
      <w:r>
        <w:rPr>
          <w:sz w:val="22"/>
          <w:szCs w:val="22"/>
        </w:rPr>
        <w:t>Veale, M., &amp; Brass, I. (2019). Administration by algorithm: Public management meets public sector machine learning. In Algorithms and the Law (pp. 121-149). Cambridge University Press.</w:t>
      </w:r>
    </w:p>
    <w:p w:rsidR="00046118" w:rsidRDefault="007D5CF6">
      <w:pPr>
        <w:spacing w:after="160" w:line="300" w:lineRule="auto"/>
        <w:ind w:left="480" w:hanging="480"/>
        <w:jc w:val="both"/>
      </w:pPr>
      <w:r>
        <w:rPr>
          <w:sz w:val="22"/>
          <w:szCs w:val="22"/>
        </w:rPr>
        <w:t xml:space="preserve">Veale, M., Marda, V., &amp; Xiang, A. (2023). Public sector AI procurement and the architecture </w:t>
      </w:r>
      <w:r>
        <w:rPr>
          <w:sz w:val="22"/>
          <w:szCs w:val="22"/>
        </w:rPr>
        <w:lastRenderedPageBreak/>
        <w:t>of algorithmic governance. Regulation &amp; Governance, 17(2), 345-367.</w:t>
      </w:r>
    </w:p>
    <w:p w:rsidR="00046118" w:rsidRDefault="007D5CF6">
      <w:pPr>
        <w:spacing w:after="160" w:line="300" w:lineRule="auto"/>
        <w:ind w:left="480" w:hanging="480"/>
        <w:jc w:val="both"/>
      </w:pPr>
      <w:r>
        <w:rPr>
          <w:sz w:val="22"/>
          <w:szCs w:val="22"/>
        </w:rPr>
        <w:t xml:space="preserve">Wachter, S., </w:t>
      </w:r>
      <w:proofErr w:type="spellStart"/>
      <w:r>
        <w:rPr>
          <w:sz w:val="22"/>
          <w:szCs w:val="22"/>
        </w:rPr>
        <w:t>Mittelstadt</w:t>
      </w:r>
      <w:proofErr w:type="spellEnd"/>
      <w:r>
        <w:rPr>
          <w:sz w:val="22"/>
          <w:szCs w:val="22"/>
        </w:rPr>
        <w:t>, B., &amp; Russell, C. (2017). Counterfactual explanations without opening the black box: Automated decisions and the GDPR. Harvard Journal of Law &amp; Technology, 31(2), 841-887.</w:t>
      </w:r>
    </w:p>
    <w:sectPr w:rsidR="00046118">
      <w:pgSz w:w="11906" w:h="16838"/>
      <w:pgMar w:top="1440" w:right="1800" w:bottom="1440" w:left="180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2FDC" w:rsidRDefault="00DB2FDC" w:rsidP="000C61C3">
      <w:r>
        <w:separator/>
      </w:r>
    </w:p>
  </w:endnote>
  <w:endnote w:type="continuationSeparator" w:id="0">
    <w:p w:rsidR="00DB2FDC" w:rsidRDefault="00DB2FDC" w:rsidP="000C6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2FDC" w:rsidRDefault="00DB2FDC" w:rsidP="000C61C3">
      <w:r>
        <w:separator/>
      </w:r>
    </w:p>
  </w:footnote>
  <w:footnote w:type="continuationSeparator" w:id="0">
    <w:p w:rsidR="00DB2FDC" w:rsidRDefault="00DB2FDC" w:rsidP="000C61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11E0B84"/>
    <w:multiLevelType w:val="hybridMultilevel"/>
    <w:tmpl w:val="16F4006C"/>
    <w:lvl w:ilvl="0" w:tplc="9F1A2648">
      <w:start w:val="1"/>
      <w:numFmt w:val="bullet"/>
      <w:lvlText w:val="●"/>
      <w:lvlJc w:val="left"/>
      <w:pPr>
        <w:ind w:left="720" w:hanging="360"/>
      </w:pPr>
    </w:lvl>
    <w:lvl w:ilvl="1" w:tplc="23C6DE8E">
      <w:start w:val="1"/>
      <w:numFmt w:val="bullet"/>
      <w:lvlText w:val="○"/>
      <w:lvlJc w:val="left"/>
      <w:pPr>
        <w:ind w:left="1440" w:hanging="360"/>
      </w:pPr>
    </w:lvl>
    <w:lvl w:ilvl="2" w:tplc="7E24A9BA">
      <w:start w:val="1"/>
      <w:numFmt w:val="bullet"/>
      <w:lvlText w:val="■"/>
      <w:lvlJc w:val="left"/>
      <w:pPr>
        <w:ind w:left="2160" w:hanging="360"/>
      </w:pPr>
    </w:lvl>
    <w:lvl w:ilvl="3" w:tplc="C9E29E90">
      <w:start w:val="1"/>
      <w:numFmt w:val="bullet"/>
      <w:lvlText w:val="●"/>
      <w:lvlJc w:val="left"/>
      <w:pPr>
        <w:ind w:left="2880" w:hanging="360"/>
      </w:pPr>
    </w:lvl>
    <w:lvl w:ilvl="4" w:tplc="73421092">
      <w:start w:val="1"/>
      <w:numFmt w:val="bullet"/>
      <w:lvlText w:val="○"/>
      <w:lvlJc w:val="left"/>
      <w:pPr>
        <w:ind w:left="3600" w:hanging="360"/>
      </w:pPr>
    </w:lvl>
    <w:lvl w:ilvl="5" w:tplc="24C887DA">
      <w:start w:val="1"/>
      <w:numFmt w:val="bullet"/>
      <w:lvlText w:val="■"/>
      <w:lvlJc w:val="left"/>
      <w:pPr>
        <w:ind w:left="4320" w:hanging="360"/>
      </w:pPr>
    </w:lvl>
    <w:lvl w:ilvl="6" w:tplc="18D4E5A0">
      <w:start w:val="1"/>
      <w:numFmt w:val="bullet"/>
      <w:lvlText w:val="●"/>
      <w:lvlJc w:val="left"/>
      <w:pPr>
        <w:ind w:left="5040" w:hanging="360"/>
      </w:pPr>
    </w:lvl>
    <w:lvl w:ilvl="7" w:tplc="E1F89C4E">
      <w:start w:val="1"/>
      <w:numFmt w:val="bullet"/>
      <w:lvlText w:val="●"/>
      <w:lvlJc w:val="left"/>
      <w:pPr>
        <w:ind w:left="5760" w:hanging="360"/>
      </w:pPr>
    </w:lvl>
    <w:lvl w:ilvl="8" w:tplc="EEA8537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18"/>
    <w:rsid w:val="00046118"/>
    <w:rsid w:val="000C61C3"/>
    <w:rsid w:val="00230D21"/>
    <w:rsid w:val="007D5CF6"/>
    <w:rsid w:val="00DB2F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A2071"/>
  <w15:docId w15:val="{6DB842EF-1451-450E-AF2E-C1FC4279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spacing w:before="240" w:after="240"/>
      <w:outlineLvl w:val="0"/>
    </w:pPr>
    <w:rPr>
      <w:b/>
      <w:bCs/>
      <w:color w:val="1F3864"/>
      <w:sz w:val="32"/>
      <w:szCs w:val="32"/>
    </w:rPr>
  </w:style>
  <w:style w:type="paragraph" w:styleId="2">
    <w:name w:val="heading 2"/>
    <w:uiPriority w:val="9"/>
    <w:unhideWhenUsed/>
    <w:qFormat/>
    <w:pPr>
      <w:spacing w:before="280" w:after="200"/>
      <w:outlineLvl w:val="1"/>
    </w:pPr>
    <w:rPr>
      <w:b/>
      <w:bCs/>
      <w:color w:val="1F3864"/>
      <w:sz w:val="28"/>
      <w:szCs w:val="28"/>
    </w:rPr>
  </w:style>
  <w:style w:type="paragraph" w:styleId="3">
    <w:name w:val="heading 3"/>
    <w:uiPriority w:val="9"/>
    <w:unhideWhenUsed/>
    <w:qFormat/>
    <w:pPr>
      <w:spacing w:before="240" w:after="160"/>
      <w:outlineLvl w:val="2"/>
    </w:pPr>
    <w:rPr>
      <w:b/>
      <w:bCs/>
      <w:sz w:val="26"/>
      <w:szCs w:val="26"/>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11">
    <w:name w:val="toc 1"/>
    <w:basedOn w:val="a"/>
    <w:next w:val="a"/>
    <w:autoRedefine/>
    <w:uiPriority w:val="39"/>
    <w:unhideWhenUsed/>
    <w:rsid w:val="000C61C3"/>
  </w:style>
  <w:style w:type="paragraph" w:styleId="20">
    <w:name w:val="toc 2"/>
    <w:basedOn w:val="a"/>
    <w:next w:val="a"/>
    <w:autoRedefine/>
    <w:uiPriority w:val="39"/>
    <w:unhideWhenUsed/>
    <w:rsid w:val="000C61C3"/>
    <w:pPr>
      <w:ind w:leftChars="200" w:left="480"/>
    </w:pPr>
  </w:style>
  <w:style w:type="paragraph" w:styleId="30">
    <w:name w:val="toc 3"/>
    <w:basedOn w:val="a"/>
    <w:next w:val="a"/>
    <w:autoRedefine/>
    <w:uiPriority w:val="39"/>
    <w:unhideWhenUsed/>
    <w:rsid w:val="000C61C3"/>
    <w:pPr>
      <w:ind w:leftChars="400" w:left="960"/>
    </w:pPr>
  </w:style>
  <w:style w:type="paragraph" w:styleId="ac">
    <w:name w:val="header"/>
    <w:basedOn w:val="a"/>
    <w:link w:val="ad"/>
    <w:uiPriority w:val="99"/>
    <w:unhideWhenUsed/>
    <w:rsid w:val="000C61C3"/>
    <w:pPr>
      <w:tabs>
        <w:tab w:val="center" w:pos="4153"/>
        <w:tab w:val="right" w:pos="8306"/>
      </w:tabs>
      <w:snapToGrid w:val="0"/>
    </w:pPr>
    <w:rPr>
      <w:sz w:val="20"/>
      <w:szCs w:val="20"/>
    </w:rPr>
  </w:style>
  <w:style w:type="character" w:customStyle="1" w:styleId="ad">
    <w:name w:val="頁首 字元"/>
    <w:basedOn w:val="a0"/>
    <w:link w:val="ac"/>
    <w:uiPriority w:val="99"/>
    <w:rsid w:val="000C61C3"/>
    <w:rPr>
      <w:sz w:val="20"/>
      <w:szCs w:val="20"/>
    </w:rPr>
  </w:style>
  <w:style w:type="paragraph" w:styleId="ae">
    <w:name w:val="footer"/>
    <w:basedOn w:val="a"/>
    <w:link w:val="af"/>
    <w:uiPriority w:val="99"/>
    <w:unhideWhenUsed/>
    <w:rsid w:val="000C61C3"/>
    <w:pPr>
      <w:tabs>
        <w:tab w:val="center" w:pos="4153"/>
        <w:tab w:val="right" w:pos="8306"/>
      </w:tabs>
      <w:snapToGrid w:val="0"/>
    </w:pPr>
    <w:rPr>
      <w:sz w:val="20"/>
      <w:szCs w:val="20"/>
    </w:rPr>
  </w:style>
  <w:style w:type="character" w:customStyle="1" w:styleId="af">
    <w:name w:val="頁尾 字元"/>
    <w:basedOn w:val="a0"/>
    <w:link w:val="ae"/>
    <w:uiPriority w:val="99"/>
    <w:rsid w:val="000C61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3040</Words>
  <Characters>17332</Characters>
  <Application>Microsoft Office Word</Application>
  <DocSecurity>0</DocSecurity>
  <Lines>144</Lines>
  <Paragraphs>40</Paragraphs>
  <ScaleCrop>false</ScaleCrop>
  <Company/>
  <LinksUpToDate>false</LinksUpToDate>
  <CharactersWithSpaces>20332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2026-08-19T13:50:00Z</dcterms:created>
  <dcterms:modified xsi:type="dcterms:W3CDTF">2026-08-20T08:21:00Z</dcterms:modified>
</cp:coreProperties>
</file>