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30217e0e602627ea0b0872a637ec6af4b21a35b"/>
    <w:p>
      <w:pPr>
        <w:pStyle w:val="1"/>
      </w:pPr>
      <w:r>
        <w:t xml:space="preserve">The State’s Substantive Control Capability under Predictive Administration: Examining Hard Indicators of Structural Separation through the Yilan Branch’s Debt-Repayment-Rate Prediction Model</w:t>
      </w:r>
    </w:p>
    <w:p>
      <w:pPr>
        <w:pStyle w:val="FirstParagraph"/>
      </w:pPr>
      <w:r>
        <w:rPr>
          <w:bCs/>
          <w:b/>
        </w:rPr>
        <w:t xml:space="preserve">Lancelot Lu</w:t>
      </w:r>
    </w:p>
    <w:bookmarkStart w:id="20" w:name="abstract"/>
    <w:p>
      <w:pPr>
        <w:pStyle w:val="2"/>
      </w:pPr>
      <w:r>
        <w:t xml:space="preserve">Abstract</w:t>
      </w:r>
    </w:p>
    <w:p>
      <w:pPr>
        <w:pStyle w:val="FirstParagraph"/>
      </w:pPr>
      <w:r>
        <w:t xml:space="preserve">As generative AI and predictive algorithms enter the civil service, administrative agencies have become increasingly dependent on external technology vendors. Existing literature has focused largely on the threat that the algorithmic</w:t>
      </w:r>
      <w:r>
        <w:t xml:space="preserve"> </w:t>
      </w:r>
      <w:r>
        <w:t xml:space="preserve">“</w:t>
      </w:r>
      <w:r>
        <w:t xml:space="preserve">black box</w:t>
      </w:r>
      <w:r>
        <w:t xml:space="preserve">”</w:t>
      </w:r>
      <w:r>
        <w:t xml:space="preserve"> </w:t>
      </w:r>
      <w:r>
        <w:t xml:space="preserve">poses to explainability, due process, and administrative discretion, advocating</w:t>
      </w:r>
      <w:r>
        <w:t xml:space="preserve"> </w:t>
      </w:r>
      <w:r>
        <w:t xml:space="preserve">“</w:t>
      </w:r>
      <w:r>
        <w:t xml:space="preserve">soft-capacity building</w:t>
      </w:r>
      <w:r>
        <w:t xml:space="preserve">”</w:t>
      </w:r>
      <w:r>
        <w:t xml:space="preserve">—such as strengthening civil servants’ technical competence and internal reflective capacity—as the primary means of preserving bureaucratic autonomy. Such arguments, however, often overlook a deeper gap in Taiwan’s current institutional design: the lateral disconnection among the three agencies of the Ministry of Digital Affairs (procurement standards), frontline enforcement agencies (such as the Ministry of Justice), and the National Audit Office (ex post oversight).</w:t>
      </w:r>
    </w:p>
    <w:p>
      <w:pPr>
        <w:pStyle w:val="BodyText"/>
      </w:pPr>
      <w:r>
        <w:t xml:space="preserve">If, at the level of procurement and infrastructure, the state has already substantively ceded core computing capacity, data ownership, and system-operation rights to a private legal entity—rendering</w:t>
      </w:r>
      <w:r>
        <w:t xml:space="preserve"> </w:t>
      </w:r>
      <w:r>
        <w:t xml:space="preserve">“</w:t>
      </w:r>
      <w:r>
        <w:t xml:space="preserve">structural separation</w:t>
      </w:r>
      <w:r>
        <w:t xml:space="preserve">”</w:t>
      </w:r>
      <w:r>
        <w:t xml:space="preserve"> </w:t>
      </w:r>
      <w:r>
        <w:t xml:space="preserve">irreversible—then expecting frontline civil servants to resist algorithmic bias through individual effort alone is a fool’s errand.</w:t>
      </w:r>
    </w:p>
    <w:p>
      <w:pPr>
        <w:pStyle w:val="BodyText"/>
      </w:pPr>
      <w:r>
        <w:t xml:space="preserve">This paper adopts a desk-based document analysis and case-study approach, taking as its research object the</w:t>
      </w:r>
      <w:r>
        <w:t xml:space="preserve"> </w:t>
      </w:r>
      <w:r>
        <w:t xml:space="preserve">“</w:t>
      </w:r>
      <w:r>
        <w:t xml:space="preserve">debt-repayment-rate prediction model</w:t>
      </w:r>
      <w:r>
        <w:t xml:space="preserve">”</w:t>
      </w:r>
      <w:r>
        <w:t xml:space="preserve"> </w:t>
      </w:r>
      <w:r>
        <w:t xml:space="preserve">developed by the Yilan Branch of the Ministry of Justice’s Administrative Enforcement Agency (hereafter, the Yilan Branch). It examines whether a public agency, absent large-scale IT outsourcing, can establish a Minimum Substantive Control Capability (MSCC) through self-directed development or a highly collaborative, mentorship-based development model. Public records indicate that the Yilan Branch case exhibits a</w:t>
      </w:r>
      <w:r>
        <w:t xml:space="preserve"> </w:t>
      </w:r>
      <w:r>
        <w:t xml:space="preserve">“</w:t>
      </w:r>
      <w:r>
        <w:t xml:space="preserve">tendency toward low structural separation</w:t>
      </w:r>
      <w:r>
        <w:t xml:space="preserve">”</w:t>
      </w:r>
      <w:r>
        <w:t xml:space="preserve"> </w:t>
      </w:r>
      <w:r>
        <w:t xml:space="preserve">across all three hard indicators—(1) contractual power and unilateral disposition capacity, (2) model control and retraining capacity, and (3) infrastructure dependency—and can therefore serve as a low-separation baseline for subsequent research. This determination, however, is strictly bounded by what can be verified from public data and does not affirmatively prove that the agency has achieved complete technological sovereignty.</w:t>
      </w:r>
    </w:p>
    <w:p>
      <w:pPr>
        <w:pStyle w:val="BodyText"/>
      </w:pPr>
      <w:r>
        <w:t xml:space="preserve">The theoretical contribution of this study lies in clarifying that</w:t>
      </w:r>
      <w:r>
        <w:t xml:space="preserve"> </w:t>
      </w:r>
      <w:r>
        <w:t xml:space="preserve">“</w:t>
      </w:r>
      <w:r>
        <w:t xml:space="preserve">hard indicators</w:t>
      </w:r>
      <w:r>
        <w:t xml:space="preserve">”</w:t>
      </w:r>
      <w:r>
        <w:t xml:space="preserve"> </w:t>
      </w:r>
      <w:r>
        <w:t xml:space="preserve">(structural control rights) are the precondition for</w:t>
      </w:r>
      <w:r>
        <w:t xml:space="preserve"> </w:t>
      </w:r>
      <w:r>
        <w:t xml:space="preserve">“</w:t>
      </w:r>
      <w:r>
        <w:t xml:space="preserve">soft capacity</w:t>
      </w:r>
      <w:r>
        <w:t xml:space="preserve">”</w:t>
      </w:r>
      <w:r>
        <w:t xml:space="preserve"> </w:t>
      </w:r>
      <w:r>
        <w:t xml:space="preserve">(civil servants’ capacity for objection and discretion) to be exercised at all. On this basis, the paper departs from the paradigm long favored by the Science &amp; Technology Law Institute (STLI) and traditional legal scholarship—which emphasizes isolated, declaratory ethical pronouncements—and instead proposes, for the Ministry of Digital Affairs, the National Audit Office, and the Ministry of Justice, a tri-agency collaborative-governance tool matrix comprising a</w:t>
      </w:r>
      <w:r>
        <w:t xml:space="preserve"> </w:t>
      </w:r>
      <w:r>
        <w:t xml:space="preserve">“</w:t>
      </w:r>
      <w:r>
        <w:t xml:space="preserve">procurement threshold checklist,</w:t>
      </w:r>
      <w:r>
        <w:t xml:space="preserve">”</w:t>
      </w:r>
      <w:r>
        <w:t xml:space="preserve"> </w:t>
      </w:r>
      <w:r>
        <w:t xml:space="preserve">a</w:t>
      </w:r>
      <w:r>
        <w:t xml:space="preserve"> </w:t>
      </w:r>
      <w:r>
        <w:t xml:space="preserve">“</w:t>
      </w:r>
      <w:r>
        <w:t xml:space="preserve">three-step procedural audit method,</w:t>
      </w:r>
      <w:r>
        <w:t xml:space="preserve">”</w:t>
      </w:r>
      <w:r>
        <w:t xml:space="preserve"> </w:t>
      </w:r>
      <w:r>
        <w:t xml:space="preserve">and a</w:t>
      </w:r>
      <w:r>
        <w:t xml:space="preserve"> </w:t>
      </w:r>
      <w:r>
        <w:t xml:space="preserve">“</w:t>
      </w:r>
      <w:r>
        <w:t xml:space="preserve">low-separation SOP.</w:t>
      </w:r>
      <w:r>
        <w:t xml:space="preserve">”</w:t>
      </w:r>
      <w:r>
        <w:t xml:space="preserve"> </w:t>
      </w:r>
      <w:r>
        <w:t xml:space="preserve">This matrix provides a concrete, operable institutional blueprint for the state’s administrative guarantee responsibility under predictive administration. To improve the comparability of future research, the paper further proposes, in Appendix 1, a quantitative scoring method for the MSCC hard indicators.</w:t>
      </w:r>
    </w:p>
    <w:p>
      <w:pPr>
        <w:pStyle w:val="BodyText"/>
      </w:pPr>
      <w:r>
        <w:rPr>
          <w:bCs/>
          <w:b/>
        </w:rPr>
        <w:t xml:space="preserve">Keywords:</w:t>
      </w:r>
      <w:r>
        <w:t xml:space="preserve"> </w:t>
      </w:r>
      <w:r>
        <w:t xml:space="preserve">predictive administration, structural separation, Minimum Substantive Control Capability (MSCC), technical lock-in, administrative guarantee responsibility, tri-party governance chain, Yilan Branch</w:t>
      </w:r>
    </w:p>
    <w:bookmarkEnd w:id="20"/>
    <w:bookmarkStart w:id="21" w:name="table-of-contents"/>
    <w:p>
      <w:pPr>
        <w:pStyle w:val="2"/>
      </w:pPr>
      <w:r>
        <w:t xml:space="preserve">Table of Contents</w:t>
      </w:r>
    </w:p>
    <w:p>
      <w:pPr>
        <w:pStyle w:val="FirstParagraph"/>
      </w:pPr>
      <w:r>
        <w:t xml:space="preserve">Chapter 1 Introduction</w:t>
      </w:r>
      <w:r>
        <w:br/>
      </w:r>
      <w:r>
        <w:t xml:space="preserve"> Section 1 Research Background and Problem Statement: A Disconnected Governance Chain and the Risks of Predictive Administration</w:t>
      </w:r>
      <w:r>
        <w:br/>
      </w:r>
      <w:r>
        <w:t xml:space="preserve"> Section 2 Research Objectives and Questions</w:t>
      </w:r>
      <w:r>
        <w:br/>
      </w:r>
      <w:r>
        <w:t xml:space="preserve"> Section 3 Research Methods and Data Sources</w:t>
      </w:r>
      <w:r>
        <w:br/>
      </w:r>
      <w:r>
        <w:t xml:space="preserve"> Section 4 Research Limitations and Scope of Validity</w:t>
      </w:r>
    </w:p>
    <w:p>
      <w:pPr>
        <w:pStyle w:val="BodyText"/>
      </w:pPr>
      <w:r>
        <w:t xml:space="preserve">Chapter 2 Literature Review and Theoretical Framework</w:t>
      </w:r>
      <w:r>
        <w:br/>
      </w:r>
      <w:r>
        <w:t xml:space="preserve"> Section 1 The Displacement of Control and Structural Separation in Predictive Administration</w:t>
      </w:r>
      <w:r>
        <w:br/>
      </w:r>
      <w:r>
        <w:t xml:space="preserve"> Section 2 A Review of Existing Domestic Research Paradigms and Research Gaps</w:t>
      </w:r>
      <w:r>
        <w:br/>
      </w:r>
      <w:r>
        <w:t xml:space="preserve">  I. A Survey of Three Domestic Research Strands</w:t>
      </w:r>
      <w:r>
        <w:br/>
      </w:r>
      <w:r>
        <w:t xml:space="preserve">  II. Three Research Gaps in the Existing Literature</w:t>
      </w:r>
      <w:r>
        <w:br/>
      </w:r>
      <w:r>
        <w:t xml:space="preserve"> Section 3 State Administrative Guarantee Responsibility and Minimum Substantive Control Capability (MSCC)</w:t>
      </w:r>
      <w:r>
        <w:br/>
      </w:r>
      <w:r>
        <w:t xml:space="preserve"> Section 4 Three Hard Indicators of Structural Separation and the Conceptual Framework</w:t>
      </w:r>
    </w:p>
    <w:p>
      <w:pPr>
        <w:pStyle w:val="BodyText"/>
      </w:pPr>
      <w:r>
        <w:t xml:space="preserve">Chapter 3 Case Examination: The Yilan Branch’s Debt-Repayment-Rate Prediction Model</w:t>
      </w:r>
      <w:r>
        <w:br/>
      </w:r>
      <w:r>
        <w:t xml:space="preserve"> Section 1 Case Background: Enforcement of Monetary Obligations under Public Law and the Introduction of the Predictive Model</w:t>
      </w:r>
      <w:r>
        <w:br/>
      </w:r>
      <w:r>
        <w:t xml:space="preserve"> Section 2 Empirical Examination of the Three Hard Indicators</w:t>
      </w:r>
      <w:r>
        <w:br/>
      </w:r>
      <w:r>
        <w:t xml:space="preserve">  I. Examination of Contractual Power and Unilateral Disposition Capacity</w:t>
      </w:r>
      <w:r>
        <w:br/>
      </w:r>
      <w:r>
        <w:t xml:space="preserve">  II. Examination of Model Control and Retraining Capacity</w:t>
      </w:r>
      <w:r>
        <w:br/>
      </w:r>
      <w:r>
        <w:t xml:space="preserve">  III. Examination of Infrastructure Dependency and Deployment Location</w:t>
      </w:r>
      <w:r>
        <w:br/>
      </w:r>
      <w:r>
        <w:t xml:space="preserve"> Section 3 Summary: The Yilan Model’s</w:t>
      </w:r>
      <w:r>
        <w:t xml:space="preserve"> </w:t>
      </w:r>
      <w:r>
        <w:t xml:space="preserve">“</w:t>
      </w:r>
      <w:r>
        <w:t xml:space="preserve">Low-Separation Baseline</w:t>
      </w:r>
      <w:r>
        <w:t xml:space="preserve">”</w:t>
      </w:r>
    </w:p>
    <w:p>
      <w:pPr>
        <w:pStyle w:val="BodyText"/>
      </w:pPr>
      <w:r>
        <w:t xml:space="preserve">Chapter 4 Discussion: From Hard Indicators to the State’s Substantive Control Capability</w:t>
      </w:r>
      <w:r>
        <w:br/>
      </w:r>
      <w:r>
        <w:t xml:space="preserve"> Section 1 Hard Indicators as the Load-Bearing Space for Soft Capacity</w:t>
      </w:r>
      <w:r>
        <w:br/>
      </w:r>
      <w:r>
        <w:t xml:space="preserve"> Section 2 Refining the Three Elements of the MSCC Hard Indicators</w:t>
      </w:r>
      <w:r>
        <w:br/>
      </w:r>
      <w:r>
        <w:t xml:space="preserve"> Section 3 A Deeper Dialogue with State Guarantee Responsibility and MSCC Theory</w:t>
      </w:r>
      <w:r>
        <w:br/>
      </w:r>
      <w:r>
        <w:t xml:space="preserve"> Section 4 Policy Implications: Which Procurement and Technology Choices Most Readily Induce a Displacement of Control?</w:t>
      </w:r>
    </w:p>
    <w:p>
      <w:pPr>
        <w:pStyle w:val="BodyText"/>
      </w:pPr>
      <w:r>
        <w:t xml:space="preserve">Chapter 5 Conclusion and Recommendations</w:t>
      </w:r>
      <w:r>
        <w:br/>
      </w:r>
      <w:r>
        <w:t xml:space="preserve"> Section 1 Principal Research Findings</w:t>
      </w:r>
      <w:r>
        <w:br/>
      </w:r>
      <w:r>
        <w:t xml:space="preserve"> Section 2 Theoretical and Practical Contributions</w:t>
      </w:r>
      <w:r>
        <w:br/>
      </w:r>
      <w:r>
        <w:t xml:space="preserve"> Section 3 Policy Recommendations: A Path toward Tri-Agency Collaborative Governance</w:t>
      </w:r>
      <w:r>
        <w:br/>
      </w:r>
      <w:r>
        <w:t xml:space="preserve">  I. Ministry of Digital Affairs: Building an</w:t>
      </w:r>
      <w:r>
        <w:t xml:space="preserve"> </w:t>
      </w:r>
      <w:r>
        <w:t xml:space="preserve">“</w:t>
      </w:r>
      <w:r>
        <w:t xml:space="preserve">MSCC Pre-Procurement Assessment and Defense Threshold</w:t>
      </w:r>
      <w:r>
        <w:t xml:space="preserve">”</w:t>
      </w:r>
      <w:r>
        <w:br/>
      </w:r>
      <w:r>
        <w:t xml:space="preserve">  II. National Audit Office: Establishing a</w:t>
      </w:r>
      <w:r>
        <w:t xml:space="preserve"> </w:t>
      </w:r>
      <w:r>
        <w:t xml:space="preserve">“</w:t>
      </w:r>
      <w:r>
        <w:t xml:space="preserve">Three-Step Procedural Audit Method for Algorithmic Control Rights</w:t>
      </w:r>
      <w:r>
        <w:t xml:space="preserve">”</w:t>
      </w:r>
      <w:r>
        <w:br/>
      </w:r>
      <w:r>
        <w:t xml:space="preserve">  III. Ministry of Justice (including the Administrative Enforcement Agency): Implementing a</w:t>
      </w:r>
      <w:r>
        <w:t xml:space="preserve"> </w:t>
      </w:r>
      <w:r>
        <w:t xml:space="preserve">“</w:t>
      </w:r>
      <w:r>
        <w:t xml:space="preserve">Low-Separation Predictive-Administration SOP and Frontline Protection against Objection</w:t>
      </w:r>
      <w:r>
        <w:t xml:space="preserve">”</w:t>
      </w:r>
      <w:r>
        <w:br/>
      </w:r>
      <w:r>
        <w:t xml:space="preserve"> Section 4 Research Limitations and Directions for Future Research</w:t>
      </w:r>
    </w:p>
    <w:p>
      <w:pPr>
        <w:pStyle w:val="BodyText"/>
      </w:pPr>
      <w:r>
        <w:t xml:space="preserve">Appendix 1 A Proposed Quantitative Scoring Method for the Minimum Substantive Control Capability (MSCC) Hard Indicators</w:t>
      </w:r>
    </w:p>
    <w:p>
      <w:pPr>
        <w:pStyle w:val="BodyText"/>
      </w:pPr>
      <w:r>
        <w:t xml:space="preserve">References</w:t>
      </w:r>
    </w:p>
    <w:p>
      <w:r>
        <w:pict>
          <v:rect style="width:0;height:1.5pt" o:hralign="center" o:hrstd="t" o:hr="t"/>
        </w:pict>
      </w:r>
    </w:p>
    <w:bookmarkEnd w:id="21"/>
    <w:bookmarkEnd w:id="22"/>
    <w:bookmarkStart w:id="27" w:name="chapter-1-introduction"/>
    <w:p>
      <w:pPr>
        <w:pStyle w:val="1"/>
      </w:pPr>
      <w:r>
        <w:t xml:space="preserve">Chapter 1 Introduction</w:t>
      </w:r>
    </w:p>
    <w:bookmarkStart w:id="23" w:name="X89061fb4e27910e280dde4f4a4f3da2cbf3bb61"/>
    <w:p>
      <w:pPr>
        <w:pStyle w:val="2"/>
      </w:pPr>
      <w:r>
        <w:t xml:space="preserve">Section 1 Research Background and Problem Statement: A Disconnected Governance Chain and the Risks of Predictive Administration</w:t>
      </w:r>
    </w:p>
    <w:p>
      <w:pPr>
        <w:pStyle w:val="FirstParagraph"/>
      </w:pPr>
      <w:r>
        <w:t xml:space="preserve">Amid the advancement of digital government and forward-looking ICT policy, predictive algorithms have expanded beyond simple back-end data organization into front-end resource allocation, risk triage, and support for administrative discretion. From tax audits and eligibility review for social welfare to the enforcement triage of monetary obligations under public law, algorithms have been invested with extremely high expectations for improving administrative efficiency and precision.</w:t>
      </w:r>
    </w:p>
    <w:p>
      <w:pPr>
        <w:pStyle w:val="BodyText"/>
      </w:pPr>
      <w:r>
        <w:t xml:space="preserve">Yet when public authorities introduce predictive technology, Taiwan’s current public administration system confronts a fundamental systemic risk: the absence of an inter-institutional linkage centered on control over the algorithm among the Ministry of Digital Affairs (which sets procurement standards), the Ministry of Justice and other line ministries (which lead frontline enforcement), and the National Audit Office (which leads ex post oversight). The existing system appears, on its face, to divide responsibilities appropriately; in practice, however, a deep tri-lateral disconnection exists, creating a governance vacuum that readily leads to the hollowing-out of the state’s administrative guarantee responsibility.</w:t>
      </w:r>
    </w:p>
    <w:p>
      <w:pPr>
        <w:pStyle w:val="BodyText"/>
      </w:pPr>
      <w:r>
        <w:rPr>
          <w:bCs/>
          <w:b/>
        </w:rPr>
        <w:t xml:space="preserve">Table 1-1 Practical Gaps and Disconnections in the Current Tri-Agency Governance of ICT and AI</w:t>
      </w:r>
    </w:p>
    <w:tbl>
      <w:tblPr>
        <w:tblStyle w:val="Table"/>
        <w:tblW w:type="pct" w:w="500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Agency / Stage</w:t>
            </w:r>
          </w:p>
        </w:tc>
        <w:tc>
          <w:tcPr/>
          <w:p>
            <w:pPr>
              <w:pStyle w:val="Compact"/>
              <w:jc w:val="left"/>
            </w:pPr>
            <w:r>
              <w:t xml:space="preserve">Current Governance Tools and Practical Focus</w:t>
            </w:r>
          </w:p>
        </w:tc>
        <w:tc>
          <w:tcPr/>
          <w:p>
            <w:pPr>
              <w:pStyle w:val="Compact"/>
              <w:jc w:val="left"/>
            </w:pPr>
            <w:r>
              <w:t xml:space="preserve">Practical Gap in the</w:t>
            </w:r>
            <w:r>
              <w:t xml:space="preserve"> </w:t>
            </w:r>
            <w:r>
              <w:t xml:space="preserve">“</w:t>
            </w:r>
            <w:r>
              <w:t xml:space="preserve">Chain-Link</w:t>
            </w:r>
            <w:r>
              <w:t xml:space="preserve">”</w:t>
            </w:r>
            <w:r>
              <w:t xml:space="preserve"> </w:t>
            </w:r>
            <w:r>
              <w:t xml:space="preserve">with Predictive Administration</w:t>
            </w:r>
          </w:p>
        </w:tc>
      </w:tr>
      <w:tr>
        <w:tc>
          <w:tcPr/>
          <w:p>
            <w:pPr>
              <w:pStyle w:val="Compact"/>
              <w:jc w:val="left"/>
            </w:pPr>
            <w:r>
              <w:t xml:space="preserve">Procurement End (Ministry of Digital Affairs)</w:t>
            </w:r>
          </w:p>
        </w:tc>
        <w:tc>
          <w:tcPr/>
          <w:p>
            <w:pPr>
              <w:pStyle w:val="Compact"/>
              <w:jc w:val="left"/>
            </w:pPr>
            <w:r>
              <w:t xml:space="preserve">The</w:t>
            </w:r>
            <w:r>
              <w:t xml:space="preserve"> </w:t>
            </w:r>
            <w:r>
              <w:t xml:space="preserve">“</w:t>
            </w:r>
            <w:r>
              <w:t xml:space="preserve">Reference Guidelines on the Use of Generative AI by the Executive Yuan and Subordinate Agencies,</w:t>
            </w:r>
            <w:r>
              <w:t xml:space="preserve">”</w:t>
            </w:r>
            <w:r>
              <w:t xml:space="preserve"> </w:t>
            </w:r>
            <w:r>
              <w:t xml:space="preserve">the government’s common software-supply contracts, and cybersecurity procurement norms</w:t>
            </w:r>
          </w:p>
        </w:tc>
        <w:tc>
          <w:tcPr/>
          <w:p>
            <w:pPr>
              <w:pStyle w:val="Compact"/>
              <w:jc w:val="left"/>
            </w:pPr>
            <w:r>
              <w:t xml:space="preserve">Lacks</w:t>
            </w:r>
            <w:r>
              <w:t xml:space="preserve"> </w:t>
            </w:r>
            <w:r>
              <w:t xml:space="preserve">“</w:t>
            </w:r>
            <w:r>
              <w:t xml:space="preserve">substantive control</w:t>
            </w:r>
            <w:r>
              <w:t xml:space="preserve">”</w:t>
            </w:r>
            <w:r>
              <w:t xml:space="preserve"> </w:t>
            </w:r>
            <w:r>
              <w:t xml:space="preserve">procurement norms: the norms focus on cybersecurity and personal data without requiring the vendor to deliver model weights, algorithm-tuning rights, or open-source logic—causing the agency to fall into vendor lock-in the moment procurement is complete.</w:t>
            </w:r>
          </w:p>
        </w:tc>
      </w:tr>
      <w:tr>
        <w:tc>
          <w:tcPr/>
          <w:p>
            <w:pPr>
              <w:pStyle w:val="Compact"/>
              <w:jc w:val="left"/>
            </w:pPr>
            <w:r>
              <w:t xml:space="preserve">Execution End (Ministry of Justice / Frontline)</w:t>
            </w:r>
          </w:p>
        </w:tc>
        <w:tc>
          <w:tcPr/>
          <w:p>
            <w:pPr>
              <w:pStyle w:val="Compact"/>
              <w:jc w:val="left"/>
            </w:pPr>
            <w:r>
              <w:t xml:space="preserve">Each agency’s internal operating points and the discretionary principles of the Administrative Procedure Act</w:t>
            </w:r>
          </w:p>
        </w:tc>
        <w:tc>
          <w:tcPr/>
          <w:p>
            <w:pPr>
              <w:pStyle w:val="Compact"/>
              <w:jc w:val="left"/>
            </w:pPr>
            <w:r>
              <w:t xml:space="preserve">Lacks</w:t>
            </w:r>
            <w:r>
              <w:t xml:space="preserve"> </w:t>
            </w:r>
            <w:r>
              <w:t xml:space="preserve">“</w:t>
            </w:r>
            <w:r>
              <w:t xml:space="preserve">technical resistance and tuning tools</w:t>
            </w:r>
            <w:r>
              <w:t xml:space="preserve">”</w:t>
            </w:r>
            <w:r>
              <w:t xml:space="preserve">: although frontline officials are required to bear ultimate administrative responsibility, when faced with a black-boxed model they lack the legal or technical tools to tune variables or disconnect the system, causing</w:t>
            </w:r>
            <w:r>
              <w:t xml:space="preserve"> </w:t>
            </w:r>
            <w:r>
              <w:t xml:space="preserve">“</w:t>
            </w:r>
            <w:r>
              <w:t xml:space="preserve">human review</w:t>
            </w:r>
            <w:r>
              <w:t xml:space="preserve">”</w:t>
            </w:r>
            <w:r>
              <w:t xml:space="preserve"> </w:t>
            </w:r>
            <w:r>
              <w:t xml:space="preserve">to become a formality and inducing automation bias.</w:t>
            </w:r>
          </w:p>
        </w:tc>
      </w:tr>
      <w:tr>
        <w:tc>
          <w:tcPr/>
          <w:p>
            <w:pPr>
              <w:pStyle w:val="Compact"/>
              <w:jc w:val="left"/>
            </w:pPr>
            <w:r>
              <w:t xml:space="preserve">Audit End (National Audit Office)</w:t>
            </w:r>
          </w:p>
        </w:tc>
        <w:tc>
          <w:tcPr/>
          <w:p>
            <w:pPr>
              <w:pStyle w:val="Compact"/>
              <w:jc w:val="left"/>
            </w:pPr>
            <w:r>
              <w:t xml:space="preserve">The Audit Act and the Central Government’s Final Accounts Audit Report</w:t>
            </w:r>
          </w:p>
        </w:tc>
        <w:tc>
          <w:tcPr/>
          <w:p>
            <w:pPr>
              <w:pStyle w:val="Compact"/>
              <w:jc w:val="left"/>
            </w:pPr>
            <w:r>
              <w:t xml:space="preserve">Lacks an</w:t>
            </w:r>
            <w:r>
              <w:t xml:space="preserve"> </w:t>
            </w:r>
            <w:r>
              <w:t xml:space="preserve">“</w:t>
            </w:r>
            <w:r>
              <w:t xml:space="preserve">algorithmic-penetration audit lever</w:t>
            </w:r>
            <w:r>
              <w:t xml:space="preserve">”</w:t>
            </w:r>
            <w:r>
              <w:t xml:space="preserve">: audit practice emphasizes financial compliance and budget-execution rates; faced with a dynamically computing machine-learning model, it lacks a procedural standard for auditing the model’s computational logic, leaving oversight at the level of a static sign-off.</w:t>
            </w:r>
          </w:p>
        </w:tc>
      </w:tr>
    </w:tbl>
    <w:p>
      <w:pPr>
        <w:pStyle w:val="BodyText"/>
      </w:pPr>
      <w:r>
        <w:t xml:space="preserve">Specifically, this governance vacuum—in which the three agencies are neither vertically linked nor laterally connected—exposes predictive administration to structural risk at three stages:</w:t>
      </w:r>
    </w:p>
    <w:p>
      <w:pPr>
        <w:pStyle w:val="BodyText"/>
      </w:pPr>
      <w:r>
        <w:rPr>
          <w:bCs/>
          <w:b/>
        </w:rPr>
        <w:t xml:space="preserve">1. Procurement–Execution Gap (MODA vs. the Ministry of Justice): Asymmetry between Standards and Technical Capacity</w:t>
      </w:r>
    </w:p>
    <w:p>
      <w:pPr>
        <w:pStyle w:val="BodyText"/>
      </w:pPr>
      <w:r>
        <w:t xml:space="preserve">Although MODA’s guidelines state that</w:t>
      </w:r>
      <w:r>
        <w:t xml:space="preserve"> </w:t>
      </w:r>
      <w:r>
        <w:t xml:space="preserve">“</w:t>
      </w:r>
      <w:r>
        <w:t xml:space="preserve">AI-generated content must undergo human review before use,</w:t>
      </w:r>
      <w:r>
        <w:t xml:space="preserve">”</w:t>
      </w:r>
      <w:r>
        <w:t xml:space="preserve"> </w:t>
      </w:r>
      <w:r>
        <w:t xml:space="preserve">at the execution end (such as the Ministry of Justice and its subordinate agencies) the procurement stage never secured the right to tune the model or control its variables. Frontline civil servants who receive a black-boxed model therefore lack both the technical capacity to adjust parameters or independently retrain the system and face pressure from case-processing deadlines—conditions that readily produce</w:t>
      </w:r>
      <w:r>
        <w:t xml:space="preserve"> </w:t>
      </w:r>
      <w:r>
        <w:t xml:space="preserve">“</w:t>
      </w:r>
      <w:r>
        <w:t xml:space="preserve">automation bias,</w:t>
      </w:r>
      <w:r>
        <w:t xml:space="preserve">”</w:t>
      </w:r>
      <w:r>
        <w:t xml:space="preserve"> </w:t>
      </w:r>
      <w:r>
        <w:t xml:space="preserve">causing officials to treat the predictive score as the sole basis for their discretion. Once frontline officials lose the substantive capacity to object to or disconnect the system, the state’s administrative guarantee responsibility suffers a substantive break at the execution stage.</w:t>
      </w:r>
    </w:p>
    <w:p>
      <w:pPr>
        <w:pStyle w:val="BodyText"/>
      </w:pPr>
      <w:r>
        <w:rPr>
          <w:bCs/>
          <w:b/>
        </w:rPr>
        <w:t xml:space="preserve">2. Procurement–Audit Gap (MODA vs. the National Audit Office): Procurement Norms that Ignore Auditability</w:t>
      </w:r>
    </w:p>
    <w:p>
      <w:pPr>
        <w:pStyle w:val="BodyText"/>
      </w:pPr>
      <w:r>
        <w:t xml:space="preserve">MODA’s ICT procurement norms do not build</w:t>
      </w:r>
      <w:r>
        <w:t xml:space="preserve"> </w:t>
      </w:r>
      <w:r>
        <w:t xml:space="preserve">“</w:t>
      </w:r>
      <w:r>
        <w:t xml:space="preserve">ex post auditability</w:t>
      </w:r>
      <w:r>
        <w:t xml:space="preserve">”</w:t>
      </w:r>
      <w:r>
        <w:t xml:space="preserve"> </w:t>
      </w:r>
      <w:r>
        <w:t xml:space="preserve">into a system’s default specifications; nor does the National Audit Office’s existing audit toolkit include a</w:t>
      </w:r>
      <w:r>
        <w:t xml:space="preserve"> </w:t>
      </w:r>
      <w:r>
        <w:t xml:space="preserve">“</w:t>
      </w:r>
      <w:r>
        <w:t xml:space="preserve">procedural control-rights audit standard</w:t>
      </w:r>
      <w:r>
        <w:t xml:space="preserve">”</w:t>
      </w:r>
      <w:r>
        <w:t xml:space="preserve"> </w:t>
      </w:r>
      <w:r>
        <w:t xml:space="preserve">that can be applied without inspecting source code. As a result, a procured system is unauditable independently from day one, and the audit agency’s ex post oversight is reduced to a merely formal review of budget settlement.</w:t>
      </w:r>
    </w:p>
    <w:p>
      <w:pPr>
        <w:pStyle w:val="BodyText"/>
      </w:pPr>
      <w:r>
        <w:rPr>
          <w:bCs/>
          <w:b/>
        </w:rPr>
        <w:t xml:space="preserve">3. Execution–Audit Gap (the Ministry of Justice vs. the National Audit Office): Disconnected Accountability and Oversight Levers</w:t>
      </w:r>
    </w:p>
    <w:p>
      <w:pPr>
        <w:pStyle w:val="BodyText"/>
      </w:pPr>
      <w:r>
        <w:t xml:space="preserve">Frontline enforcement personnel at the Ministry of Justice bear ultimate responsibility for the lawfulness of dispositions and the protection of citizens’ rights, yet the National Audit Office’s ex post audit can only conduct a static review of the</w:t>
      </w:r>
      <w:r>
        <w:t xml:space="preserve"> </w:t>
      </w:r>
      <w:r>
        <w:t xml:space="preserve">“</w:t>
      </w:r>
      <w:r>
        <w:t xml:space="preserve">disposition outcome</w:t>
      </w:r>
      <w:r>
        <w:t xml:space="preserve">”</w:t>
      </w:r>
      <w:r>
        <w:t xml:space="preserve"> </w:t>
      </w:r>
      <w:r>
        <w:t xml:space="preserve">or</w:t>
      </w:r>
      <w:r>
        <w:t xml:space="preserve"> </w:t>
      </w:r>
      <w:r>
        <w:t xml:space="preserve">“</w:t>
      </w:r>
      <w:r>
        <w:t xml:space="preserve">write-off procedures</w:t>
      </w:r>
      <w:r>
        <w:t xml:space="preserve">”</w:t>
      </w:r>
      <w:r>
        <w:t xml:space="preserve"> </w:t>
      </w:r>
      <w:r>
        <w:t xml:space="preserve">and cannot determine whether</w:t>
      </w:r>
      <w:r>
        <w:t xml:space="preserve"> </w:t>
      </w:r>
      <w:r>
        <w:t xml:space="preserve">“</w:t>
      </w:r>
      <w:r>
        <w:t xml:space="preserve">a civil servant abused their discretion by blindly deferring to algorithmic bias.</w:t>
      </w:r>
      <w:r>
        <w:t xml:space="preserve">”</w:t>
      </w:r>
    </w:p>
    <w:p>
      <w:pPr>
        <w:pStyle w:val="BodyText"/>
      </w:pPr>
      <w:r>
        <w:t xml:space="preserve">This disconnected state of affairs—in which</w:t>
      </w:r>
      <w:r>
        <w:t xml:space="preserve"> </w:t>
      </w:r>
      <w:r>
        <w:t xml:space="preserve">“</w:t>
      </w:r>
      <w:r>
        <w:t xml:space="preserve">procurement does not concern itself with whether execution can take over the system, execution cannot modify the system and can only defer to it, and audit cannot really understand the algorithm and can only rubber-stamp it</w:t>
      </w:r>
      <w:r>
        <w:t xml:space="preserve">”</w:t>
      </w:r>
      <w:r>
        <w:t xml:space="preserve">—demonstrates that expecting civil servants to resist algorithmic bias through individual effort alone is a fool’s errand (Citron, 2008; Elish, 2019). This study’s core problem awareness is therefore oriented toward answering this systemic predicament: How can the public administration system bridge the tri-lateral disconnection among procurement, execution, and audit? Can the debt-repayment-rate model of the Ministry of Justice’s Administrative Enforcement Agency, Yilan Branch, serve as an empirical benchmark for building a set of</w:t>
      </w:r>
      <w:r>
        <w:t xml:space="preserve"> </w:t>
      </w:r>
      <w:r>
        <w:t xml:space="preserve">“</w:t>
      </w:r>
      <w:r>
        <w:t xml:space="preserve">low-structural-separation hard indicators</w:t>
      </w:r>
      <w:r>
        <w:t xml:space="preserve">”</w:t>
      </w:r>
      <w:r>
        <w:t xml:space="preserve"> </w:t>
      </w:r>
      <w:r>
        <w:t xml:space="preserve">and a collaborative mechanism operable jointly by MODA, the National Audit Office, and the Ministry of Justice?</w:t>
      </w:r>
    </w:p>
    <w:bookmarkEnd w:id="23"/>
    <w:bookmarkStart w:id="24" w:name="Xfa3cc7ed1dfbf1c1093a1f600843fa2ec429e0c"/>
    <w:p>
      <w:pPr>
        <w:pStyle w:val="2"/>
      </w:pPr>
      <w:r>
        <w:t xml:space="preserve">Section 2 Research Objectives and Questions</w:t>
      </w:r>
    </w:p>
    <w:p>
      <w:pPr>
        <w:pStyle w:val="FirstParagraph"/>
      </w:pPr>
      <w:r>
        <w:t xml:space="preserve">By examining the Yilan Branch’s</w:t>
      </w:r>
      <w:r>
        <w:t xml:space="preserve"> </w:t>
      </w:r>
      <w:r>
        <w:t xml:space="preserve">“</w:t>
      </w:r>
      <w:r>
        <w:t xml:space="preserve">debt-repayment-rate prediction model,</w:t>
      </w:r>
      <w:r>
        <w:t xml:space="preserve">”</w:t>
      </w:r>
      <w:r>
        <w:t xml:space="preserve"> </w:t>
      </w:r>
      <w:r>
        <w:t xml:space="preserve">this study aims to achieve the following three research objectives:</w:t>
      </w:r>
    </w:p>
    <w:p>
      <w:pPr>
        <w:numPr>
          <w:ilvl w:val="0"/>
          <w:numId w:val="1001"/>
        </w:numPr>
      </w:pPr>
      <w:r>
        <w:t xml:space="preserve">Constructing a</w:t>
      </w:r>
      <w:r>
        <w:t xml:space="preserve"> </w:t>
      </w:r>
      <w:r>
        <w:t xml:space="preserve">“</w:t>
      </w:r>
      <w:r>
        <w:t xml:space="preserve">structural-separation hard-indicator</w:t>
      </w:r>
      <w:r>
        <w:t xml:space="preserve">”</w:t>
      </w:r>
      <w:r>
        <w:t xml:space="preserve"> </w:t>
      </w:r>
      <w:r>
        <w:t xml:space="preserve">analytical framework in response to the tri-lateral disconnection: Defining, across the three dimensions of contractual power, model control, and infrastructure dependency, whether an agency possesses Minimum Substantive Control Capability (MSCC).</w:t>
      </w:r>
    </w:p>
    <w:p>
      <w:pPr>
        <w:numPr>
          <w:ilvl w:val="0"/>
          <w:numId w:val="1001"/>
        </w:numPr>
      </w:pPr>
      <w:r>
        <w:t xml:space="preserve">Examining the</w:t>
      </w:r>
      <w:r>
        <w:t xml:space="preserve"> </w:t>
      </w:r>
      <w:r>
        <w:t xml:space="preserve">“</w:t>
      </w:r>
      <w:r>
        <w:t xml:space="preserve">low structural separation</w:t>
      </w:r>
      <w:r>
        <w:t xml:space="preserve">”</w:t>
      </w:r>
      <w:r>
        <w:t xml:space="preserve"> </w:t>
      </w:r>
      <w:r>
        <w:t xml:space="preserve">attribute of the Yilan Branch’s debt-repayment-rate model: Using public official reports, audit studies, academic publications, and project materials to assess the model’s performance on the three hard indicators and its capacity to guard against technical lock-in.</w:t>
      </w:r>
    </w:p>
    <w:p>
      <w:pPr>
        <w:numPr>
          <w:ilvl w:val="0"/>
          <w:numId w:val="1001"/>
        </w:numPr>
      </w:pPr>
      <w:r>
        <w:t xml:space="preserve">Establishing a practical path for tri-agency collaborative governance: Based on the results of the case examination, providing concrete, operable institutionalized governance tools for the Ministry of Digital Affairs (procurement), the National Audit Office (audit), and the Ministry of Justice (enforcement) to reconnect the broken governance chain.</w:t>
      </w:r>
    </w:p>
    <w:bookmarkEnd w:id="24"/>
    <w:bookmarkStart w:id="25" w:name="X73c19570072d4ea6c44f16cd55d69b788a876c8"/>
    <w:p>
      <w:pPr>
        <w:pStyle w:val="2"/>
      </w:pPr>
      <w:r>
        <w:t xml:space="preserve">Section 3 Research Methods and Data Sources</w:t>
      </w:r>
    </w:p>
    <w:p>
      <w:pPr>
        <w:pStyle w:val="FirstParagraph"/>
      </w:pPr>
      <w:r>
        <w:t xml:space="preserve">This study adopts a documentary analysis approach combined with a structured case-study method. Because the study is concerned with organizational-level structural control rights and public institutional design rather than the source code of any specific algorithm, its data collection is confined to the following publicly available secondary data:</w:t>
      </w:r>
    </w:p>
    <w:p>
      <w:pPr>
        <w:numPr>
          <w:ilvl w:val="0"/>
          <w:numId w:val="1002"/>
        </w:numPr>
      </w:pPr>
      <w:r>
        <w:t xml:space="preserve">Official reports and budget documents: Annual work reports of the Ministry of Justice’s Administrative Enforcement Agency, and the Yilan Branch’s public outreach materials and annual statistical reports.</w:t>
      </w:r>
    </w:p>
    <w:p>
      <w:pPr>
        <w:numPr>
          <w:ilvl w:val="0"/>
          <w:numId w:val="1002"/>
        </w:numPr>
      </w:pPr>
      <w:r>
        <w:t xml:space="preserve">Special reports of the audit agency: The National Audit Office’s audit opinions and special investigation reports on the Administrative Enforcement Agency’s ICT system development, big-data analysis, and case triage.</w:t>
      </w:r>
    </w:p>
    <w:p>
      <w:pPr>
        <w:numPr>
          <w:ilvl w:val="0"/>
          <w:numId w:val="1002"/>
        </w:numPr>
      </w:pPr>
      <w:r>
        <w:t xml:space="preserve">Academic and practitioner conference presentations: Papers and shared experience publicly presented by the Yilan Branch’s internal statisticians and enforcement officers at public administration and legal-studies conferences.</w:t>
      </w:r>
    </w:p>
    <w:p>
      <w:pPr>
        <w:numPr>
          <w:ilvl w:val="0"/>
          <w:numId w:val="1002"/>
        </w:numPr>
      </w:pPr>
      <w:r>
        <w:t xml:space="preserve">Relevant regulations and procurement norms: The Government Procurement Act, the Administrative Procedure Act, and the government IT procurement templates and generative-AI use guidelines issued by the Ministry of Digital Affairs.</w:t>
      </w:r>
    </w:p>
    <w:p>
      <w:pPr>
        <w:pStyle w:val="FirstParagraph"/>
      </w:pPr>
      <w:r>
        <w:t xml:space="preserve">The research team applied content analysis and triangulation to the above materials and strictly limited the scope of its conclusions to hard-indicator dimensions verifiable through public data.</w:t>
      </w:r>
    </w:p>
    <w:bookmarkEnd w:id="25"/>
    <w:bookmarkStart w:id="26" w:name="X3e9843aa2ccc1e662ff74438f12c48579ed6e29"/>
    <w:p>
      <w:pPr>
        <w:pStyle w:val="2"/>
      </w:pPr>
      <w:r>
        <w:t xml:space="preserve">Section 4 Research Limitations and Scope of Validity</w:t>
      </w:r>
    </w:p>
    <w:p>
      <w:pPr>
        <w:pStyle w:val="FirstParagraph"/>
      </w:pPr>
      <w:r>
        <w:t xml:space="preserve">In order to maintain academic rigor and a clear validity boundary, this paper specifically states the following research limitations. Its empirical conclusions are strictly confined to the following: at the level of publicly verifiable contractual norms and infrastructure architecture, the Yilan Branch case shows no sign of structural separation in which control has clearly sunk to an external vendor, and can serve as a low-separation reference point on the path toward Minimum Substantive Control Capability (MSCC):</w:t>
      </w:r>
    </w:p>
    <w:p>
      <w:pPr>
        <w:numPr>
          <w:ilvl w:val="0"/>
          <w:numId w:val="1003"/>
        </w:numPr>
      </w:pPr>
      <w:r>
        <w:t xml:space="preserve">Non-source-code-level technical audit: This study did not obtain the debt-repayment-rate model’s original source code, weight-parameter matrix, or complete training dataset, and therefore does not conduct qualitative or quantitative testing of the model’s mathematical accuracy, recall, or algorithmic fairness.</w:t>
      </w:r>
    </w:p>
    <w:p>
      <w:pPr>
        <w:numPr>
          <w:ilvl w:val="0"/>
          <w:numId w:val="1003"/>
        </w:numPr>
      </w:pPr>
      <w:r>
        <w:t xml:space="preserve">The boundary between the claims of hard indicators and soft capacity: The boundary of validity is explicit: soft indicators (frontline officials’ actual capacity to question the system, automation bias, and independent anomaly-diagnosis ability) cannot be fully captured by public documents; nor do the public documents provide the model’s source code, detailed technical architecture, or the complete contract text. This paper’s characterization of a</w:t>
      </w:r>
      <w:r>
        <w:t xml:space="preserve"> </w:t>
      </w:r>
      <w:r>
        <w:t xml:space="preserve">“</w:t>
      </w:r>
      <w:r>
        <w:t xml:space="preserve">tendency toward low separation</w:t>
      </w:r>
      <w:r>
        <w:t xml:space="preserve">”</w:t>
      </w:r>
      <w:r>
        <w:t xml:space="preserve"> </w:t>
      </w:r>
      <w:r>
        <w:t xml:space="preserve">therefore means only that</w:t>
      </w:r>
      <w:r>
        <w:t xml:space="preserve"> </w:t>
      </w:r>
      <w:r>
        <w:t xml:space="preserve">“</w:t>
      </w:r>
      <w:r>
        <w:t xml:space="preserve">the public data show no sign of external lock-in,</w:t>
      </w:r>
      <w:r>
        <w:t xml:space="preserve">”</w:t>
      </w:r>
      <w:r>
        <w:t xml:space="preserve"> </w:t>
      </w:r>
      <w:r>
        <w:t xml:space="preserve">not an affirmative demonstration that the agency has fully achieved technological sovereignty.</w:t>
      </w:r>
    </w:p>
    <w:p>
      <w:pPr>
        <w:numPr>
          <w:ilvl w:val="0"/>
          <w:numId w:val="1003"/>
        </w:numPr>
      </w:pPr>
      <w:r>
        <w:t xml:space="preserve">Limits on generalizing from this single case: The Yilan Branch case is a relatively small, internally self-funded (or highly collaborative, mentorship-based) capacity-building project; its experience may serve as a</w:t>
      </w:r>
      <w:r>
        <w:t xml:space="preserve"> </w:t>
      </w:r>
      <w:r>
        <w:t xml:space="preserve">“</w:t>
      </w:r>
      <w:r>
        <w:t xml:space="preserve">low-separation baseline,</w:t>
      </w:r>
      <w:r>
        <w:t xml:space="preserve">”</w:t>
      </w:r>
      <w:r>
        <w:t xml:space="preserve"> </w:t>
      </w:r>
      <w:r>
        <w:t xml:space="preserve">but whether it can be fully extended to large-scale, cross-ministerial big-data AI systems still depends on system scale and organizational resources, and extrapolation should proceed with caution.</w:t>
      </w:r>
    </w:p>
    <w:bookmarkEnd w:id="26"/>
    <w:bookmarkEnd w:id="27"/>
    <w:bookmarkStart w:id="35" w:name="X606b427c8494b59facdbf3b3ddd7674f2ad3ee6"/>
    <w:p>
      <w:pPr>
        <w:pStyle w:val="1"/>
      </w:pPr>
      <w:r>
        <w:t xml:space="preserve">Chapter 2 Literature Review and Theoretical Framework</w:t>
      </w:r>
    </w:p>
    <w:bookmarkStart w:id="28" w:name="X202ca7e52b84e33b0d2d3c523f3e3676de8b187"/>
    <w:p>
      <w:pPr>
        <w:pStyle w:val="2"/>
      </w:pPr>
      <w:r>
        <w:t xml:space="preserve">Section 1 The Displacement of Control and Structural Separation in Predictive Administration</w:t>
      </w:r>
    </w:p>
    <w:p>
      <w:pPr>
        <w:pStyle w:val="FirstParagraph"/>
      </w:pPr>
      <w:r>
        <w:t xml:space="preserve">Amid the advancement of digital government and forward-looking ICT policy, predictive administration has been regarded as an important tool for improving bureaucratic efficiency and the precision of resource allocation. However, scholars such as Pasquale (2015) and Braithwaite (2008) note that as the state transfers an increasing share of decision-support work to algorithms, this readily triggers a</w:t>
      </w:r>
      <w:r>
        <w:t xml:space="preserve"> </w:t>
      </w:r>
      <w:r>
        <w:t xml:space="preserve">“</w:t>
      </w:r>
      <w:r>
        <w:t xml:space="preserve">displacement of control.</w:t>
      </w:r>
      <w:r>
        <w:t xml:space="preserve">”</w:t>
      </w:r>
    </w:p>
    <w:p>
      <w:pPr>
        <w:pStyle w:val="BodyText"/>
      </w:pPr>
      <w:r>
        <w:t xml:space="preserve">The displacement of control refers not merely to frontline officials following AI instructions but, at a deeper level, to the deconstruction of organizational structure and governance sovereignty. Veale and Brass (2019) argue that public agencies procuring commercial AI or automated decision systems often face a crisis of</w:t>
      </w:r>
      <w:r>
        <w:t xml:space="preserve"> </w:t>
      </w:r>
      <w:r>
        <w:t xml:space="preserve">“</w:t>
      </w:r>
      <w:r>
        <w:t xml:space="preserve">structural separation</w:t>
      </w:r>
      <w:r>
        <w:t xml:space="preserve">”</w:t>
      </w:r>
      <w:r>
        <w:t xml:space="preserve">—in which the public agency retains only nominal legal authority to issue a disposition, while the private vendor substantively controls the computational logic, data interpretation, model tuning, and system operation. This separation undermines the traditional administrative-law principle of the inalienability of administrative competence.</w:t>
      </w:r>
    </w:p>
    <w:bookmarkEnd w:id="28"/>
    <w:bookmarkStart w:id="31" w:name="X9807cc0104bf69324d87daa19c1125976d3c252"/>
    <w:p>
      <w:pPr>
        <w:pStyle w:val="2"/>
      </w:pPr>
      <w:r>
        <w:t xml:space="preserve">Section 2 A Review of Existing Domestic Research Paradigms and Research Gaps</w:t>
      </w:r>
    </w:p>
    <w:p>
      <w:pPr>
        <w:pStyle w:val="FirstParagraph"/>
      </w:pPr>
      <w:r>
        <w:t xml:space="preserve">A review of existing domestic scholarly and policy literature on the government’s adoption of AI and algorithms reveals three main research strands, each of which nonetheless harbors non-negligible theoretical and practical blind spots when it comes to addressing the state’s substantive control capability.</w:t>
      </w:r>
    </w:p>
    <w:bookmarkStart w:id="29" w:name="Xa99a58862910e72f9d9b80a298db52dbf196abe"/>
    <w:p>
      <w:pPr>
        <w:pStyle w:val="3"/>
      </w:pPr>
      <w:r>
        <w:t xml:space="preserve">I. A Survey of Three Domestic Research Strands</w:t>
      </w:r>
    </w:p>
    <w:p>
      <w:pPr>
        <w:numPr>
          <w:ilvl w:val="0"/>
          <w:numId w:val="1004"/>
        </w:numPr>
      </w:pPr>
      <w:r>
        <w:t xml:space="preserve">Administrative-law and technology-law scholarship: The focus has largely been on guarding against violations of</w:t>
      </w:r>
      <w:r>
        <w:t xml:space="preserve"> </w:t>
      </w:r>
      <w:r>
        <w:t xml:space="preserve">“</w:t>
      </w:r>
      <w:r>
        <w:t xml:space="preserve">technological due process,</w:t>
      </w:r>
      <w:r>
        <w:t xml:space="preserve">”</w:t>
      </w:r>
      <w:r>
        <w:t xml:space="preserve"> </w:t>
      </w:r>
      <w:r>
        <w:t xml:space="preserve">the</w:t>
      </w:r>
      <w:r>
        <w:t xml:space="preserve"> </w:t>
      </w:r>
      <w:r>
        <w:t xml:space="preserve">“</w:t>
      </w:r>
      <w:r>
        <w:t xml:space="preserve">algorithmic black box and explainability,</w:t>
      </w:r>
      <w:r>
        <w:t xml:space="preserve">”</w:t>
      </w:r>
      <w:r>
        <w:t xml:space="preserve"> </w:t>
      </w:r>
      <w:r>
        <w:t xml:space="preserve">and</w:t>
      </w:r>
      <w:r>
        <w:t xml:space="preserve"> </w:t>
      </w:r>
      <w:r>
        <w:t xml:space="preserve">“</w:t>
      </w:r>
      <w:r>
        <w:t xml:space="preserve">automation bias</w:t>
      </w:r>
      <w:r>
        <w:t xml:space="preserve">”</w:t>
      </w:r>
      <w:r>
        <w:t xml:space="preserve"> </w:t>
      </w:r>
      <w:r>
        <w:t xml:space="preserve">(e.g., Hsin, 2020; Tseng, 2022). Scholars have generally argued that administrative agencies should preserve discretionary autonomy and have advocated that frontline civil servants possess the</w:t>
      </w:r>
      <w:r>
        <w:t xml:space="preserve"> </w:t>
      </w:r>
      <w:r>
        <w:t xml:space="preserve">“</w:t>
      </w:r>
      <w:r>
        <w:t xml:space="preserve">soft capacity</w:t>
      </w:r>
      <w:r>
        <w:t xml:space="preserve">”</w:t>
      </w:r>
      <w:r>
        <w:t xml:space="preserve"> </w:t>
      </w:r>
      <w:r>
        <w:t xml:space="preserve">to substantively review and object to AI output.</w:t>
      </w:r>
    </w:p>
    <w:p>
      <w:pPr>
        <w:numPr>
          <w:ilvl w:val="0"/>
          <w:numId w:val="1004"/>
        </w:numPr>
      </w:pPr>
      <w:r>
        <w:t xml:space="preserve">The Science &amp; Technology Law Institute (STLI) and government policy think tanks: The focus here has largely been on localizing international regulatory trends (such as the EU AI Act’s tiered classification of high-risk AI), establishing ethical guidelines, personal-data protection (GDPR / Taiwan’s Personal Data Protection Act), and information-security norms. Policy recommendations here tend toward declaratory</w:t>
      </w:r>
      <w:r>
        <w:t xml:space="preserve"> </w:t>
      </w:r>
      <w:r>
        <w:t xml:space="preserve">“</w:t>
      </w:r>
      <w:r>
        <w:t xml:space="preserve">trustworthy AI guidelines</w:t>
      </w:r>
      <w:r>
        <w:t xml:space="preserve">”</w:t>
      </w:r>
      <w:r>
        <w:t xml:space="preserve"> </w:t>
      </w:r>
      <w:r>
        <w:t xml:space="preserve">or</w:t>
      </w:r>
      <w:r>
        <w:t xml:space="preserve"> </w:t>
      </w:r>
      <w:r>
        <w:t xml:space="preserve">“</w:t>
      </w:r>
      <w:r>
        <w:t xml:space="preserve">algorithmic impact assessments (AIA).</w:t>
      </w:r>
      <w:r>
        <w:t xml:space="preserve">”</w:t>
      </w:r>
    </w:p>
    <w:p>
      <w:pPr>
        <w:numPr>
          <w:ilvl w:val="0"/>
          <w:numId w:val="1004"/>
        </w:numPr>
      </w:pPr>
      <w:r>
        <w:t xml:space="preserve">Public administration and digital-governance scholarship: The emphasis here is on</w:t>
      </w:r>
      <w:r>
        <w:t xml:space="preserve"> </w:t>
      </w:r>
      <w:r>
        <w:t xml:space="preserve">“</w:t>
      </w:r>
      <w:r>
        <w:t xml:space="preserve">IT outsourcing governance</w:t>
      </w:r>
      <w:r>
        <w:t xml:space="preserve">”</w:t>
      </w:r>
      <w:r>
        <w:t xml:space="preserve"> </w:t>
      </w:r>
      <w:r>
        <w:t xml:space="preserve">and</w:t>
      </w:r>
      <w:r>
        <w:t xml:space="preserve"> </w:t>
      </w:r>
      <w:r>
        <w:t xml:space="preserve">“</w:t>
      </w:r>
      <w:r>
        <w:t xml:space="preserve">organizational culture / acceptance</w:t>
      </w:r>
      <w:r>
        <w:t xml:space="preserve">”</w:t>
      </w:r>
      <w:r>
        <w:t xml:space="preserve"> </w:t>
      </w:r>
      <w:r>
        <w:t xml:space="preserve">(the TAM model) (e.g., Hsiao &amp; Huang, 2012; Chen et al., 2016), discussing the trust and control mechanisms at play when public agencies outsource IT.</w:t>
      </w:r>
    </w:p>
    <w:bookmarkEnd w:id="29"/>
    <w:bookmarkStart w:id="30" w:name="Xcea2dff223bba6d2d16f462cd8be2a810c816d8"/>
    <w:p>
      <w:pPr>
        <w:pStyle w:val="3"/>
      </w:pPr>
      <w:r>
        <w:t xml:space="preserve">II. Three Research Gaps in the Existing Literature</w:t>
      </w:r>
    </w:p>
    <w:p>
      <w:pPr>
        <w:pStyle w:val="FirstParagraph"/>
      </w:pPr>
      <w:r>
        <w:t xml:space="preserve">While the literature reviewed above has laid the groundwork for discussing government AI governance, it reveals the following three paradigmatic gaps when confronted with the deeper challenges of predictive administration:</w:t>
      </w:r>
    </w:p>
    <w:p>
      <w:pPr>
        <w:pStyle w:val="BodyText"/>
      </w:pPr>
      <w:r>
        <w:rPr>
          <w:bCs/>
          <w:b/>
        </w:rPr>
        <w:t xml:space="preserve">Gap One: Heavy on abstract ethical pronouncements and isolated legal doctrine, light on</w:t>
      </w:r>
      <w:r>
        <w:rPr>
          <w:bCs/>
          <w:b/>
        </w:rPr>
        <w:t xml:space="preserve"> </w:t>
      </w:r>
      <w:r>
        <w:rPr>
          <w:bCs/>
          <w:b/>
        </w:rPr>
        <w:t xml:space="preserve">“</w:t>
      </w:r>
      <w:r>
        <w:rPr>
          <w:bCs/>
          <w:b/>
        </w:rPr>
        <w:t xml:space="preserve">contractual and infrastructural hard indicators.</w:t>
      </w:r>
      <w:r>
        <w:rPr>
          <w:bCs/>
          <w:b/>
        </w:rPr>
        <w:t xml:space="preserve">”</w:t>
      </w:r>
      <w:r>
        <w:br/>
      </w:r>
      <w:r>
        <w:t xml:space="preserve">Legal scholarship and policy think tanks often demand that government AI remain transparent, explainable, and free from abuse, but rarely engage deeply with the practice of the Government Procurement Act or with ICT infrastructure to specify concrete thresholds for how a procurement contract must be drafted to prevent technical lock-in. When an agency has not secured the core weights and data sovereignty, abstract ethical guidance readily degenerates into a slogan.</w:t>
      </w:r>
    </w:p>
    <w:p>
      <w:pPr>
        <w:pStyle w:val="BodyText"/>
      </w:pPr>
      <w:r>
        <w:rPr>
          <w:bCs/>
          <w:b/>
        </w:rPr>
        <w:t xml:space="preserve">Gap Two: Excessive reliance on civil servants’ individual</w:t>
      </w:r>
      <w:r>
        <w:rPr>
          <w:bCs/>
          <w:b/>
        </w:rPr>
        <w:t xml:space="preserve"> </w:t>
      </w:r>
      <w:r>
        <w:rPr>
          <w:bCs/>
          <w:b/>
        </w:rPr>
        <w:t xml:space="preserve">“</w:t>
      </w:r>
      <w:r>
        <w:rPr>
          <w:bCs/>
          <w:b/>
        </w:rPr>
        <w:t xml:space="preserve">soft capacity,</w:t>
      </w:r>
      <w:r>
        <w:rPr>
          <w:bCs/>
          <w:b/>
        </w:rPr>
        <w:t xml:space="preserve">”</w:t>
      </w:r>
      <w:r>
        <w:rPr>
          <w:bCs/>
          <w:b/>
        </w:rPr>
        <w:t xml:space="preserve"> </w:t>
      </w:r>
      <w:r>
        <w:rPr>
          <w:bCs/>
          <w:b/>
        </w:rPr>
        <w:t xml:space="preserve">neglecting the precedence of</w:t>
      </w:r>
      <w:r>
        <w:rPr>
          <w:bCs/>
          <w:b/>
        </w:rPr>
        <w:t xml:space="preserve"> </w:t>
      </w:r>
      <w:r>
        <w:rPr>
          <w:bCs/>
          <w:b/>
        </w:rPr>
        <w:t xml:space="preserve">“</w:t>
      </w:r>
      <w:r>
        <w:rPr>
          <w:bCs/>
          <w:b/>
        </w:rPr>
        <w:t xml:space="preserve">hard architecture.</w:t>
      </w:r>
      <w:r>
        <w:rPr>
          <w:bCs/>
          <w:b/>
        </w:rPr>
        <w:t xml:space="preserve">”</w:t>
      </w:r>
      <w:r>
        <w:br/>
      </w:r>
      <w:r>
        <w:t xml:space="preserve">Existing literature criticizes civil servants for blindly deferring to AI (automation bias) and hopes that training can build officials’ capacity for technical challenge and objection (Elish, 2019). Yet if an agency has already fully outsourced the model and infrastructure at the procurement stage (high structural separation), civil servants—even when they doubt the predictive result—have neither the technical nor the legal leverage to adjust the model. Demanding that civil servants without technological sovereignty resist AI is a fool’s errand.</w:t>
      </w:r>
    </w:p>
    <w:p>
      <w:pPr>
        <w:pStyle w:val="BodyText"/>
      </w:pPr>
      <w:r>
        <w:rPr>
          <w:bCs/>
          <w:b/>
        </w:rPr>
        <w:t xml:space="preserve">Gap Three: Neglect of the tri-lateral, cross-ministerial governance-chain disconnection among</w:t>
      </w:r>
      <w:r>
        <w:rPr>
          <w:bCs/>
          <w:b/>
        </w:rPr>
        <w:t xml:space="preserve"> </w:t>
      </w:r>
      <w:r>
        <w:rPr>
          <w:bCs/>
          <w:b/>
        </w:rPr>
        <w:t xml:space="preserve">“</w:t>
      </w:r>
      <w:r>
        <w:rPr>
          <w:bCs/>
          <w:b/>
        </w:rPr>
        <w:t xml:space="preserve">procurement (MODA)–execution (Ministry of Justice)–audit (National Audit Office).</w:t>
      </w:r>
      <w:r>
        <w:rPr>
          <w:bCs/>
          <w:b/>
        </w:rPr>
        <w:t xml:space="preserve">”</w:t>
      </w:r>
      <w:r>
        <w:br/>
      </w:r>
      <w:r>
        <w:t xml:space="preserve">Existing research largely adopts a static analytical lens focused on a single agency or isolated legal doctrine and has never placed the Ministry of Digital Affairs (procurement standards), frontline enforcement agencies (such as the Ministry of Justice’s Administrative Enforcement Agency), and the National Audit Office (ex post oversight) onto the same dynamic governance chain for diagnosis—leaving the institutional disconnection, in which</w:t>
      </w:r>
      <w:r>
        <w:t xml:space="preserve"> </w:t>
      </w:r>
      <w:r>
        <w:t xml:space="preserve">“</w:t>
      </w:r>
      <w:r>
        <w:t xml:space="preserve">procurement does not concern itself with execution, execution cannot modify the system and can only defer, and audit cannot really understand the algorithm and can only rubber-stamp it,</w:t>
      </w:r>
      <w:r>
        <w:t xml:space="preserve">”</w:t>
      </w:r>
      <w:r>
        <w:t xml:space="preserve"> </w:t>
      </w:r>
      <w:r>
        <w:t xml:space="preserve">long neglected.</w:t>
      </w:r>
    </w:p>
    <w:bookmarkEnd w:id="30"/>
    <w:bookmarkEnd w:id="31"/>
    <w:bookmarkStart w:id="32" w:name="Xcaedfb3bd7ca0c27f8ad9f362fbc8d0c94b3064"/>
    <w:p>
      <w:pPr>
        <w:pStyle w:val="2"/>
      </w:pPr>
      <w:r>
        <w:t xml:space="preserve">Section 3 State Administrative Guarantee Responsibility and Minimum Substantive Control Capability (MSCC)</w:t>
      </w:r>
    </w:p>
    <w:p>
      <w:pPr>
        <w:pStyle w:val="FirstParagraph"/>
      </w:pPr>
      <w:r>
        <w:t xml:space="preserve">In response to the above research gaps, public-law and public-administration scholarship must reconceive the state’s role in predictive administration. Public-law scholar Chan Chen-Jung (2014) notes that even when the state delegates a particular service or technology to the private sector, the state continues to bear an administrative guarantee responsibility (</w:t>
      </w:r>
      <w:r>
        <w:rPr>
          <w:iCs/>
          <w:i/>
        </w:rPr>
        <w:t xml:space="preserve">Gewährleistungsverantwortung</w:t>
      </w:r>
      <w:r>
        <w:t xml:space="preserve">) to ensure that the exercise of that service or technology conforms to the principles of the rule-of-law state.</w:t>
      </w:r>
    </w:p>
    <w:p>
      <w:pPr>
        <w:pStyle w:val="BodyText"/>
      </w:pPr>
      <w:r>
        <w:t xml:space="preserve">To give effect to this guarantee responsibility, this study proposes the concept of Minimum Substantive Control Capability (MSCC). MSCC refers to the minimum degree of legal, technical, and infrastructural sovereignty that a public administrative agency must retain, when introducing a predictive system, to prevent control from being stripped away by an external technology vendor.</w:t>
      </w:r>
    </w:p>
    <w:p>
      <w:pPr>
        <w:pStyle w:val="BodyText"/>
      </w:pPr>
      <w:r>
        <w:t xml:space="preserve">The core insight of MSCC is this: hard indicators (structural control rights) constitute the precondition—the load-bearing space—within which soft capacity (civil servants’ discretion and capacity for objection) can be exercised. An agency must first structurally block the displacement of control before frontline civil servants’ discretionary autonomy has any possibility of being put into practice.</w:t>
      </w:r>
    </w:p>
    <w:bookmarkEnd w:id="32"/>
    <w:bookmarkStart w:id="34" w:name="X328efb0d868d2f1c8c28ed9147aac6a3e44c9e9"/>
    <w:p>
      <w:pPr>
        <w:pStyle w:val="2"/>
      </w:pPr>
      <w:r>
        <w:t xml:space="preserve">Section 4 Three Hard Indicators of Structural Separation and the Conceptual Framework</w:t>
      </w:r>
    </w:p>
    <w:p>
      <w:pPr>
        <w:pStyle w:val="FirstParagraph"/>
      </w:pPr>
      <w:r>
        <w:t xml:space="preserve">Drawing on the existing literature (Bovens, 2007; Koppell, 2005; Cobbe et al., 2021; Veale et al., 2023), this study constructs three hard indicators of structural separation for measuring MSCC and examining the tri-agency governance chain:</w:t>
      </w:r>
    </w:p>
    <w:p>
      <w:pPr>
        <w:numPr>
          <w:ilvl w:val="0"/>
          <w:numId w:val="1005"/>
        </w:numPr>
      </w:pPr>
      <w:r>
        <w:rPr>
          <w:bCs/>
          <w:b/>
        </w:rPr>
        <w:t xml:space="preserve">Hard Indicator One: Contractual Power and Unilateral Disposition</w:t>
      </w:r>
      <w:r>
        <w:br/>
      </w:r>
      <w:r>
        <w:t xml:space="preserve">Does the agency retain, under the procurement contract, the right to unilaterally terminate the contract, adjust variables, or disconnect the system (an exit clause)? Does it face an excessive termination penalty or proprietary software lock-in?</w:t>
      </w:r>
    </w:p>
    <w:p>
      <w:pPr>
        <w:numPr>
          <w:ilvl w:val="0"/>
          <w:numId w:val="1005"/>
        </w:numPr>
      </w:pPr>
      <w:r>
        <w:rPr>
          <w:bCs/>
          <w:b/>
        </w:rPr>
        <w:t xml:space="preserve">Hard Indicator Two: Model Sovereignty and Retraining Capacity</w:t>
      </w:r>
      <w:r>
        <w:br/>
      </w:r>
      <w:r>
        <w:t xml:space="preserve">Do the field definitions and logic of the training dataset remain within the agency? Does the agency control a data schema for the model’s variables that corresponds to the relevant legal requirements? Does the agency have the right and the open-source scripts needed to update data or retrain the model without depending on the original vendor?</w:t>
      </w:r>
    </w:p>
    <w:p>
      <w:pPr>
        <w:numPr>
          <w:ilvl w:val="0"/>
          <w:numId w:val="1005"/>
        </w:numPr>
      </w:pPr>
      <w:r>
        <w:rPr>
          <w:bCs/>
          <w:b/>
        </w:rPr>
        <w:t xml:space="preserve">Hard Indicator Three: Infrastructure Dependency and Deployment</w:t>
      </w:r>
      <w:r>
        <w:br/>
      </w:r>
      <w:r>
        <w:t xml:space="preserve">Is the system deployed on the agency’s own internal servers (on-premise) or a government cloud, or is it highly dependent on a private vendor’s proprietary cloud and closed API? Does the agency have the capacity for independent offline operation?</w:t>
      </w:r>
    </w:p>
    <w:p>
      <w:pPr>
        <w:pStyle w:val="FirstParagraph"/>
      </w:pPr>
      <w:r>
        <w:rPr>
          <w:bCs/>
          <w:b/>
        </w:rPr>
        <w:t xml:space="preserve">Table 2-1 A Comparison between the Existing Literature’s Paradigm and This Study’s MSCC Analytical Framework</w:t>
      </w:r>
    </w:p>
    <w:tbl>
      <w:tblPr>
        <w:tblStyle w:val="Table"/>
        <w:tblW w:type="pct" w:w="500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Analytical Dimension</w:t>
            </w:r>
          </w:p>
        </w:tc>
        <w:tc>
          <w:tcPr/>
          <w:p>
            <w:pPr>
              <w:pStyle w:val="Compact"/>
              <w:jc w:val="left"/>
            </w:pPr>
            <w:r>
              <w:t xml:space="preserve">Traditional Legal Scholarship and the STLI Paradigm</w:t>
            </w:r>
          </w:p>
        </w:tc>
        <w:tc>
          <w:tcPr/>
          <w:p>
            <w:pPr>
              <w:pStyle w:val="Compact"/>
              <w:jc w:val="left"/>
            </w:pPr>
            <w:r>
              <w:t xml:space="preserve">This Study’s MSCC Paradigm</w:t>
            </w:r>
          </w:p>
        </w:tc>
      </w:tr>
      <w:tr>
        <w:tc>
          <w:tcPr/>
          <w:p>
            <w:pPr>
              <w:pStyle w:val="Compact"/>
              <w:jc w:val="left"/>
            </w:pPr>
            <w:r>
              <w:t xml:space="preserve">Governance Focus</w:t>
            </w:r>
          </w:p>
        </w:tc>
        <w:tc>
          <w:tcPr/>
          <w:p>
            <w:pPr>
              <w:pStyle w:val="Compact"/>
              <w:jc w:val="left"/>
            </w:pPr>
            <w:r>
              <w:t xml:space="preserve">Abstract ethical pronouncements, due process, personal-data security</w:t>
            </w:r>
          </w:p>
        </w:tc>
        <w:tc>
          <w:tcPr/>
          <w:p>
            <w:pPr>
              <w:pStyle w:val="Compact"/>
              <w:jc w:val="left"/>
            </w:pPr>
            <w:r>
              <w:t xml:space="preserve">Procurement contract clauses, model ownership, infrastructure deployment</w:t>
            </w:r>
          </w:p>
        </w:tc>
      </w:tr>
      <w:tr>
        <w:tc>
          <w:tcPr/>
          <w:p>
            <w:pPr>
              <w:pStyle w:val="Compact"/>
              <w:jc w:val="left"/>
            </w:pPr>
            <w:r>
              <w:t xml:space="preserve">Civil Servant’s Role</w:t>
            </w:r>
          </w:p>
        </w:tc>
        <w:tc>
          <w:tcPr/>
          <w:p>
            <w:pPr>
              <w:pStyle w:val="Compact"/>
              <w:jc w:val="left"/>
            </w:pPr>
            <w:r>
              <w:t xml:space="preserve">Expected to exercise</w:t>
            </w:r>
            <w:r>
              <w:t xml:space="preserve"> </w:t>
            </w:r>
            <w:r>
              <w:t xml:space="preserve">“</w:t>
            </w:r>
            <w:r>
              <w:t xml:space="preserve">soft capacity</w:t>
            </w:r>
            <w:r>
              <w:t xml:space="preserve">”</w:t>
            </w:r>
            <w:r>
              <w:t xml:space="preserve"> </w:t>
            </w:r>
            <w:r>
              <w:t xml:space="preserve">(resisting automation bias)</w:t>
            </w:r>
          </w:p>
        </w:tc>
        <w:tc>
          <w:tcPr/>
          <w:p>
            <w:pPr>
              <w:pStyle w:val="Compact"/>
              <w:jc w:val="left"/>
            </w:pPr>
            <w:r>
              <w:t xml:space="preserve">Argues that hard indicators are the precondition for soft capacity to be exercised</w:t>
            </w:r>
          </w:p>
        </w:tc>
      </w:tr>
      <w:tr>
        <w:tc>
          <w:tcPr/>
          <w:p>
            <w:pPr>
              <w:pStyle w:val="Compact"/>
              <w:jc w:val="left"/>
            </w:pPr>
            <w:r>
              <w:t xml:space="preserve">Institutional Perspective</w:t>
            </w:r>
          </w:p>
        </w:tc>
        <w:tc>
          <w:tcPr/>
          <w:p>
            <w:pPr>
              <w:pStyle w:val="Compact"/>
              <w:jc w:val="left"/>
            </w:pPr>
            <w:r>
              <w:t xml:space="preserve">Single-agency / isolated legal-doctrine analysis</w:t>
            </w:r>
          </w:p>
        </w:tc>
        <w:tc>
          <w:tcPr/>
          <w:p>
            <w:pPr>
              <w:pStyle w:val="Compact"/>
              <w:jc w:val="left"/>
            </w:pPr>
            <w:r>
              <w:t xml:space="preserve">A cross-ministerial</w:t>
            </w:r>
            <w:r>
              <w:t xml:space="preserve"> </w:t>
            </w:r>
            <w:r>
              <w:t xml:space="preserve">“</w:t>
            </w:r>
            <w:r>
              <w:t xml:space="preserve">MODA–Ministry of Justice–National Audit Office</w:t>
            </w:r>
            <w:r>
              <w:t xml:space="preserve">”</w:t>
            </w:r>
            <w:r>
              <w:t xml:space="preserve"> </w:t>
            </w:r>
            <w:r>
              <w:t xml:space="preserve">governance chain</w:t>
            </w:r>
          </w:p>
        </w:tc>
      </w:tr>
      <w:tr>
        <w:tc>
          <w:tcPr/>
          <w:p>
            <w:pPr>
              <w:pStyle w:val="Compact"/>
              <w:jc w:val="left"/>
            </w:pPr>
            <w:r>
              <w:t xml:space="preserve">Core Objective</w:t>
            </w:r>
          </w:p>
        </w:tc>
        <w:tc>
          <w:tcPr/>
          <w:p>
            <w:pPr>
              <w:pStyle w:val="Compact"/>
              <w:jc w:val="left"/>
            </w:pPr>
            <w:r>
              <w:t xml:space="preserve">Algorithmic compliance and explainability</w:t>
            </w:r>
          </w:p>
        </w:tc>
        <w:tc>
          <w:tcPr/>
          <w:p>
            <w:pPr>
              <w:pStyle w:val="Compact"/>
              <w:jc w:val="left"/>
            </w:pPr>
            <w:r>
              <w:t xml:space="preserve">Maintaining the state’s Minimum Substantive Control Capability (MSCC) and guarantee responsibility</w:t>
            </w:r>
          </w:p>
        </w:tc>
      </w:tr>
    </w:tbl>
    <w:bookmarkStart w:id="33" w:name="X3c607807a84132e8f47568a0c29153a60cc3953"/>
    <w:p>
      <w:pPr>
        <w:pStyle w:val="3"/>
      </w:pPr>
      <w:r>
        <w:t xml:space="preserve">Textual Description of Figure 2-1 (Accessibility Note)</w:t>
      </w:r>
    </w:p>
    <w:p>
      <w:pPr>
        <w:pStyle w:val="FirstParagraph"/>
      </w:pPr>
      <w:r>
        <w:t xml:space="preserve">I. Root of the Problem: Tri-Agency Governance-Chain Breaks — At the procurement end (Ministry of Digital Affairs), the absence of substantive-control procurement norms leads to vendor lock-in; at the execution end (Ministry of Justice / frontline), the absence of technical resistance tools induces automation bias; at the audit end (National Audit Office), the absence of an algorithmic-penetration audit lever leaves only formalistic sign-off.</w:t>
      </w:r>
    </w:p>
    <w:p>
      <w:pPr>
        <w:numPr>
          <w:ilvl w:val="0"/>
          <w:numId w:val="1006"/>
        </w:numPr>
      </w:pPr>
      <w:r>
        <w:t xml:space="preserve">Core Theory: MSCC and Hard Indicators — Minimum Substantive Control Capability (MSCC) is the minimum degree of legal, technical, and infrastructural sovereignty the state must retain in order to fulfill its administrative guarantee responsibility; the core theoretical proposition is that hard indicators (structural control rights) are the precondition for soft capacity (civil servants’ discretion and objection) to be exercised.</w:t>
      </w:r>
    </w:p>
    <w:p>
      <w:pPr>
        <w:numPr>
          <w:ilvl w:val="0"/>
          <w:numId w:val="1006"/>
        </w:numPr>
      </w:pPr>
      <w:r>
        <w:t xml:space="preserve">Examination of the Yilan Branch Case (a Low-Structural-Separation Baseline) — (1) Contractual power: no record of commercial software lock-in or termination penalty; the agency retains the right to unilaterally disconnect the system. (2) Model control: agency personnel participated in defining variables and control the data schema. (3) Infrastructure dependency: deployment tends toward localization, with no sign of dependency on a proprietary external API, and the system has the potential for independent offline operation.</w:t>
      </w:r>
    </w:p>
    <w:p>
      <w:pPr>
        <w:numPr>
          <w:ilvl w:val="0"/>
          <w:numId w:val="1006"/>
        </w:numPr>
      </w:pPr>
      <w:r>
        <w:t xml:space="preserve">Institutional Construction: The Tri-Agency Collaborative Governance Tool Matrix — Ministry of Digital Affairs (procurement end): an MSCC hard-indicator defense-threshold checklist; National Audit Office (audit end): a three-step procedural audit method for algorithmic control rights; Ministry of Justice (execution end): a low-separation predictive-administration SOP together with frontline review and exit safeguards.</w:t>
      </w:r>
    </w:p>
    <w:p>
      <w:pPr>
        <w:pStyle w:val="FirstParagraph"/>
      </w:pPr>
      <w:r>
        <w:t xml:space="preserve">Taken as a whole, Figure 2-1 traces this study’s overall line of reasoning: beginning from the tri-agency disconnection problem, incorporating the MSCC hard-indicator theory, and, following verification through the Yilan case, ultimately converging on the tri-agency collaborative governance matrix. This line of reasoning also constitutes the main thread of argument running through Chapters 3 to 5.</w:t>
      </w:r>
    </w:p>
    <w:bookmarkEnd w:id="33"/>
    <w:bookmarkEnd w:id="34"/>
    <w:bookmarkEnd w:id="35"/>
    <w:bookmarkStart w:id="42" w:name="Xb01c4e5fce77f9ce66cca65b2c8c950dd145fb3"/>
    <w:p>
      <w:pPr>
        <w:pStyle w:val="1"/>
      </w:pPr>
      <w:r>
        <w:t xml:space="preserve">Chapter 3 Case Examination: The Yilan Branch’s Debt-Repayment-Rate Prediction Model</w:t>
      </w:r>
    </w:p>
    <w:bookmarkStart w:id="36" w:name="X1a9db71cfba155c901c82c86d27452e4a9f24b1"/>
    <w:p>
      <w:pPr>
        <w:pStyle w:val="2"/>
      </w:pPr>
      <w:r>
        <w:t xml:space="preserve">Section 1 Case Background: Enforcement of Monetary Obligations under Public Law and the Introduction of the Predictive Model</w:t>
      </w:r>
    </w:p>
    <w:p>
      <w:pPr>
        <w:pStyle w:val="FirstParagraph"/>
      </w:pPr>
      <w:r>
        <w:t xml:space="preserve">The Yilan Branch of the Ministry of Justice’s Administrative Enforcement Agency is responsible for compulsory enforcement of monetary obligations under public law in the Yilan and Hualien regions. Faced with a large volume of delinquent cases and limited manpower, the Yilan Branch was selected in 2024 as a mentorship agency under MODA’s</w:t>
      </w:r>
      <w:r>
        <w:t xml:space="preserve"> </w:t>
      </w:r>
      <w:r>
        <w:t xml:space="preserve">“</w:t>
      </w:r>
      <w:r>
        <w:t xml:space="preserve">Government Agency Data Application Capacity-Building Program.</w:t>
      </w:r>
      <w:r>
        <w:t xml:space="preserve">”</w:t>
      </w:r>
      <w:r>
        <w:t xml:space="preserve"> </w:t>
      </w:r>
      <w:r>
        <w:t xml:space="preserve">By analyzing obligors’ past payment records, asset status, seizure outcomes, and industry category, and using approximately 16,940 records of cases closed by the agency over the preceding two years (after data cleaning), it built a debt-repayment-rate prediction model and a visualization dashboard.</w:t>
      </w:r>
    </w:p>
    <w:p>
      <w:pPr>
        <w:pStyle w:val="BodyText"/>
      </w:pPr>
      <w:r>
        <w:t xml:space="preserve">The model’s principal function is to triage newly transferred cases by risk and likelihood of repayment, producing a predictive score used to prioritize cases with a high probability of repayment or to trigger a care mechanism for cases with a low probability of repayment, helping enforcement officers and clerks set priorities for case-file retrieval and enforcement measures. This project was an internal, capacity-building initiative: agency statisticians were involved throughout, and MODA’s mentorship team primarily provided methodological guidance rather than undertaking the project as a turnkey outsourcing contract.</w:t>
      </w:r>
    </w:p>
    <w:bookmarkEnd w:id="36"/>
    <w:bookmarkStart w:id="40" w:name="X3cf8d0795d6b0a9e66cb5b23a44550d1a9e53a5"/>
    <w:p>
      <w:pPr>
        <w:pStyle w:val="2"/>
      </w:pPr>
      <w:r>
        <w:t xml:space="preserve">Section 2 Empirical Examination of the Three Hard Indicators</w:t>
      </w:r>
    </w:p>
    <w:p>
      <w:pPr>
        <w:pStyle w:val="FirstParagraph"/>
      </w:pPr>
      <w:r>
        <w:t xml:space="preserve">Based on public data and audit reports, this section examines the Yilan Branch’s debt-repayment-rate model against the three hard indicators. Because this study could only obtain publicly available documents, all of the following determinations adopt a conservative posture, describing only that</w:t>
      </w:r>
      <w:r>
        <w:t xml:space="preserve"> </w:t>
      </w:r>
      <w:r>
        <w:t xml:space="preserve">“</w:t>
      </w:r>
      <w:r>
        <w:t xml:space="preserve">the public data show no sign of external lock-in,</w:t>
      </w:r>
      <w:r>
        <w:t xml:space="preserve">”</w:t>
      </w:r>
      <w:r>
        <w:t xml:space="preserve"> </w:t>
      </w:r>
      <w:r>
        <w:t xml:space="preserve">rather than affirmatively proving that the agency has achieved complete technological sovereignty.</w:t>
      </w:r>
    </w:p>
    <w:bookmarkStart w:id="37" w:name="Xd8a35e65cec559b023a97a30f8c4ba78f24bee4"/>
    <w:p>
      <w:pPr>
        <w:pStyle w:val="3"/>
      </w:pPr>
      <w:r>
        <w:t xml:space="preserve">I. Examination of Contractual Power and Unilateral Disposition Capacity</w:t>
      </w:r>
    </w:p>
    <w:p>
      <w:pPr>
        <w:pStyle w:val="FirstParagraph"/>
      </w:pPr>
      <w:r>
        <w:t xml:space="preserve">Public records indicate that the development of the Yilan Branch’s model was a MODA capacity-building mentorship project, not a traditional one-off, high-value turnkey project; the public documents likewise show no record of proprietary software locks or restrictive clauses limiting data export or imposing steep termination penalties. The relevant audit report, moreover, encourages the agency to optimize and expand the application on its own.</w:t>
      </w:r>
    </w:p>
    <w:p>
      <w:pPr>
        <w:pStyle w:val="BodyText"/>
      </w:pPr>
      <w:r>
        <w:rPr>
          <w:bCs/>
          <w:b/>
        </w:rPr>
        <w:t xml:space="preserve">Finding:</w:t>
      </w:r>
      <w:r>
        <w:t xml:space="preserve"> </w:t>
      </w:r>
      <w:r>
        <w:t xml:space="preserve">The public data show that the agency retains relatively complete unilateral disposition authority, with no record of proprietary software lock-in or a steep termination penalty; it can be determined to</w:t>
      </w:r>
      <w:r>
        <w:t xml:space="preserve"> </w:t>
      </w:r>
      <w:r>
        <w:t xml:space="preserve">“</w:t>
      </w:r>
      <w:r>
        <w:t xml:space="preserve">tend toward low separation (showing no sign of external contractual lock-in).</w:t>
      </w:r>
      <w:r>
        <w:t xml:space="preserve">”</w:t>
      </w:r>
      <w:r>
        <w:t xml:space="preserve"> </w:t>
      </w:r>
      <w:r>
        <w:t xml:space="preserve">Because the full contract text was not available to this study, however, this determination cannot rule out restrictive clauses not disclosed in the public documents and does not suffice to affirmatively prove the complete absence of any lock-in clause.</w:t>
      </w:r>
    </w:p>
    <w:bookmarkEnd w:id="37"/>
    <w:bookmarkStart w:id="38" w:name="X66d4314646f317686dd9807fb06e24ddaf66db7"/>
    <w:p>
      <w:pPr>
        <w:pStyle w:val="3"/>
      </w:pPr>
      <w:r>
        <w:t xml:space="preserve">II. Examination of Model Control and Retraining Capacity</w:t>
      </w:r>
    </w:p>
    <w:p>
      <w:pPr>
        <w:pStyle w:val="FirstParagraph"/>
      </w:pPr>
      <w:r>
        <w:t xml:space="preserve">The model’s training data was drawn entirely from the Administrative Enforcement Agency’s internal historical case-closure database; data cleaning and variable translation were carried out with the full participation of the agency’s internal statisticians in defining variables and building the model, while MODA’s mentorship team played a methodological-guidance role. The substantive participation of internal agency personnel also gives the model a degree of procedural transparency toward potential external audit and review.</w:t>
      </w:r>
    </w:p>
    <w:p>
      <w:pPr>
        <w:pStyle w:val="BodyText"/>
      </w:pPr>
      <w:r>
        <w:rPr>
          <w:bCs/>
          <w:b/>
        </w:rPr>
        <w:t xml:space="preserve">Finding:</w:t>
      </w:r>
      <w:r>
        <w:t xml:space="preserve"> </w:t>
      </w:r>
      <w:r>
        <w:t xml:space="preserve">The public data show that the agency’s statisticians substantively participated in the data schema and variable definitions and possess a degree of foundation for self-directed updates and potential retraining; it can be determined to</w:t>
      </w:r>
      <w:r>
        <w:t xml:space="preserve"> </w:t>
      </w:r>
      <w:r>
        <w:t xml:space="preserve">“</w:t>
      </w:r>
      <w:r>
        <w:t xml:space="preserve">tend toward low separation (showing that the agency has substantive room for participation).</w:t>
      </w:r>
      <w:r>
        <w:t xml:space="preserve">”</w:t>
      </w:r>
      <w:r>
        <w:t xml:space="preserve"> </w:t>
      </w:r>
      <w:r>
        <w:t xml:space="preserve">However, because the public data do not disclose the complete technical specifications for model retraining or long-term maintenance arrangements, this determination likewise remains a conservative finding of</w:t>
      </w:r>
      <w:r>
        <w:t xml:space="preserve"> </w:t>
      </w:r>
      <w:r>
        <w:t xml:space="preserve">“</w:t>
      </w:r>
      <w:r>
        <w:t xml:space="preserve">no sign of external lock-in.</w:t>
      </w:r>
      <w:r>
        <w:t xml:space="preserve">”</w:t>
      </w:r>
    </w:p>
    <w:bookmarkEnd w:id="38"/>
    <w:bookmarkStart w:id="39" w:name="X130d0162e50febe59ac9af13c3400f8a463ee7e"/>
    <w:p>
      <w:pPr>
        <w:pStyle w:val="3"/>
      </w:pPr>
      <w:r>
        <w:t xml:space="preserve">III. Examination of Infrastructure Dependency and Deployment Location</w:t>
      </w:r>
    </w:p>
    <w:p>
      <w:pPr>
        <w:pStyle w:val="FirstParagraph"/>
      </w:pPr>
      <w:r>
        <w:t xml:space="preserve">The public documents make no mention of the system’s computation and data storage depending on an external commercial public cloud or a proprietary commercial API; after the mentorship project concluded, the agency was encouraged to continue optimizing and extending the application on its own.</w:t>
      </w:r>
    </w:p>
    <w:p>
      <w:pPr>
        <w:pStyle w:val="BodyText"/>
      </w:pPr>
      <w:r>
        <w:rPr>
          <w:bCs/>
          <w:b/>
        </w:rPr>
        <w:t xml:space="preserve">Finding:</w:t>
      </w:r>
      <w:r>
        <w:t xml:space="preserve"> </w:t>
      </w:r>
      <w:r>
        <w:t xml:space="preserve">The public documents make no mention of dependency on an external commercial cloud or proprietary API, indicating that the system tends toward localized deployment; it can be determined to</w:t>
      </w:r>
      <w:r>
        <w:t xml:space="preserve"> </w:t>
      </w:r>
      <w:r>
        <w:t xml:space="preserve">“</w:t>
      </w:r>
      <w:r>
        <w:t xml:space="preserve">tend toward low separation (showing no clear sign of infrastructure lock-in).</w:t>
      </w:r>
      <w:r>
        <w:t xml:space="preserve">”</w:t>
      </w:r>
      <w:r>
        <w:t xml:space="preserve"> </w:t>
      </w:r>
      <w:r>
        <w:t xml:space="preserve">Because this study did not obtain the complete infrastructure architecture documentation or server-room deployment records, however, this determination does not affirmatively prove that the system operates in a fully autonomous and independent manner.</w:t>
      </w:r>
    </w:p>
    <w:p>
      <w:pPr>
        <w:pStyle w:val="BodyText"/>
      </w:pPr>
      <w:r>
        <w:rPr>
          <w:bCs/>
          <w:b/>
        </w:rPr>
        <w:t xml:space="preserve">Table 3-1 Checklist of Structural-Separation Hard Indicators for the Yilan Branch Case (Conservative Version)</w:t>
      </w:r>
    </w:p>
    <w:tbl>
      <w:tblPr>
        <w:tblStyle w:val="Table"/>
        <w:tblW w:type="pct" w:w="500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Structural-Separation Hard Indicator</w:t>
            </w:r>
          </w:p>
        </w:tc>
        <w:tc>
          <w:tcPr/>
          <w:p>
            <w:pPr>
              <w:pStyle w:val="Compact"/>
              <w:jc w:val="left"/>
            </w:pPr>
            <w:r>
              <w:t xml:space="preserve">Public-Data Performance of the Yilan Branch Case</w:t>
            </w:r>
          </w:p>
        </w:tc>
        <w:tc>
          <w:tcPr/>
          <w:p>
            <w:pPr>
              <w:pStyle w:val="Compact"/>
              <w:jc w:val="left"/>
            </w:pPr>
            <w:r>
              <w:t xml:space="preserve">Structural-Separation Assessment</w:t>
            </w:r>
          </w:p>
        </w:tc>
      </w:tr>
      <w:tr>
        <w:tc>
          <w:tcPr/>
          <w:p>
            <w:pPr>
              <w:pStyle w:val="Compact"/>
              <w:jc w:val="left"/>
            </w:pPr>
            <w:r>
              <w:t xml:space="preserve">1. Contractual Power and Unilateral Disposition Capacity</w:t>
            </w:r>
          </w:p>
        </w:tc>
        <w:tc>
          <w:tcPr/>
          <w:p>
            <w:pPr>
              <w:pStyle w:val="Compact"/>
              <w:jc w:val="left"/>
            </w:pPr>
            <w:r>
              <w:t xml:space="preserve">A MODA capacity-building mentorship project, not a fully outsourced commercial project; no record of proprietary software lock-in or a steep termination penalty; the audit report encourages the agency to optimize and expand the application on its own.</w:t>
            </w:r>
          </w:p>
        </w:tc>
        <w:tc>
          <w:tcPr/>
          <w:p>
            <w:pPr>
              <w:pStyle w:val="Compact"/>
              <w:jc w:val="left"/>
            </w:pPr>
            <w:r>
              <w:t xml:space="preserve">Tends toward low separation (shows no external contractual lock-in)</w:t>
            </w:r>
          </w:p>
        </w:tc>
      </w:tr>
      <w:tr>
        <w:tc>
          <w:tcPr/>
          <w:p>
            <w:pPr>
              <w:pStyle w:val="Compact"/>
              <w:jc w:val="left"/>
            </w:pPr>
            <w:r>
              <w:t xml:space="preserve">2. Model Control and Retraining Capacity</w:t>
            </w:r>
          </w:p>
        </w:tc>
        <w:tc>
          <w:tcPr/>
          <w:p>
            <w:pPr>
              <w:pStyle w:val="Compact"/>
              <w:jc w:val="left"/>
            </w:pPr>
            <w:r>
              <w:t xml:space="preserve">Uses the agency’s internal historical case-closure data; statisticians participated throughout in defining variables and building the model; the mentorship team’s role was methodological guidance.</w:t>
            </w:r>
          </w:p>
        </w:tc>
        <w:tc>
          <w:tcPr/>
          <w:p>
            <w:pPr>
              <w:pStyle w:val="Compact"/>
              <w:jc w:val="left"/>
            </w:pPr>
            <w:r>
              <w:t xml:space="preserve">Tends toward low separation (shows substantive room for agency participation)</w:t>
            </w:r>
          </w:p>
        </w:tc>
      </w:tr>
      <w:tr>
        <w:tc>
          <w:tcPr/>
          <w:p>
            <w:pPr>
              <w:pStyle w:val="Compact"/>
              <w:jc w:val="left"/>
            </w:pPr>
            <w:r>
              <w:t xml:space="preserve">3. Infrastructure Dependency and Deployment Location</w:t>
            </w:r>
          </w:p>
        </w:tc>
        <w:tc>
          <w:tcPr/>
          <w:p>
            <w:pPr>
              <w:pStyle w:val="Compact"/>
              <w:jc w:val="left"/>
            </w:pPr>
            <w:r>
              <w:t xml:space="preserve">Public documents make no mention of dependency on an external commercial cloud or proprietary API; the agency was encouraged to continue optimizing on its own after the mentorship ended.</w:t>
            </w:r>
          </w:p>
        </w:tc>
        <w:tc>
          <w:tcPr/>
          <w:p>
            <w:pPr>
              <w:pStyle w:val="Compact"/>
              <w:jc w:val="left"/>
            </w:pPr>
            <w:r>
              <w:t xml:space="preserve">Tends toward low separation (shows no clear infrastructure lock-in)</w:t>
            </w:r>
          </w:p>
        </w:tc>
      </w:tr>
    </w:tbl>
    <w:bookmarkEnd w:id="39"/>
    <w:bookmarkEnd w:id="40"/>
    <w:bookmarkStart w:id="41" w:name="X1345d80a2a7fc8a8c874a0e03255dd9a9b047ab"/>
    <w:p>
      <w:pPr>
        <w:pStyle w:val="2"/>
      </w:pPr>
      <w:r>
        <w:t xml:space="preserve">Section 3 Summary: The Yilan Model’s</w:t>
      </w:r>
      <w:r>
        <w:t xml:space="preserve"> </w:t>
      </w:r>
      <w:r>
        <w:t xml:space="preserve">“</w:t>
      </w:r>
      <w:r>
        <w:t xml:space="preserve">Low-Separation Baseline</w:t>
      </w:r>
      <w:r>
        <w:t xml:space="preserve">”</w:t>
      </w:r>
    </w:p>
    <w:p>
      <w:pPr>
        <w:pStyle w:val="FirstParagraph"/>
      </w:pPr>
      <w:r>
        <w:t xml:space="preserve">The examination of the three hard indicators above shows that, at the level of publicly verifiable hard indicators, the Yilan Branch case exhibits characteristics of low structural separation and can serve as an exploratory reference point for a low-separation baseline: through the participation of internal statisticians in variable definition and data cleaning, and a deployment approach tending toward localization, the agency shows no clear sign of external technical lock-in across all three hard indicators—contractual power, model control, and infrastructure dependency.</w:t>
      </w:r>
    </w:p>
    <w:p>
      <w:pPr>
        <w:pStyle w:val="BodyText"/>
      </w:pPr>
      <w:r>
        <w:t xml:space="preserve">It must again be emphasized that this paper’s characterization of a</w:t>
      </w:r>
      <w:r>
        <w:t xml:space="preserve"> </w:t>
      </w:r>
      <w:r>
        <w:t xml:space="preserve">“</w:t>
      </w:r>
      <w:r>
        <w:t xml:space="preserve">tendency toward low separation</w:t>
      </w:r>
      <w:r>
        <w:t xml:space="preserve">”</w:t>
      </w:r>
      <w:r>
        <w:t xml:space="preserve"> </w:t>
      </w:r>
      <w:r>
        <w:t xml:space="preserve">means only that</w:t>
      </w:r>
      <w:r>
        <w:t xml:space="preserve"> </w:t>
      </w:r>
      <w:r>
        <w:t xml:space="preserve">“</w:t>
      </w:r>
      <w:r>
        <w:t xml:space="preserve">the public data show no sign of external lock-in,</w:t>
      </w:r>
      <w:r>
        <w:t xml:space="preserve">”</w:t>
      </w:r>
      <w:r>
        <w:t xml:space="preserve"> </w:t>
      </w:r>
      <w:r>
        <w:t xml:space="preserve">not an affirmative demonstration that the Yilan Branch has fully achieved technological sovereignty. This study’s determinations are strictly based on public data and do not extend to an inspection of source code, the full contract text, or the internal system architecture; any extrapolation from its conclusions should proceed with caution.</w:t>
      </w:r>
    </w:p>
    <w:bookmarkEnd w:id="41"/>
    <w:bookmarkEnd w:id="42"/>
    <w:bookmarkStart w:id="47" w:name="Xc012cfc4251f7fe7fa6db6c6e01bef1e7890852"/>
    <w:p>
      <w:pPr>
        <w:pStyle w:val="1"/>
      </w:pPr>
      <w:r>
        <w:t xml:space="preserve">Chapter 4 Discussion: From Hard Indicators to the State’s Substantive Control Capability</w:t>
      </w:r>
    </w:p>
    <w:bookmarkStart w:id="43" w:name="Xe0ae3a479ab0569826bdf9db5c238f56169da47"/>
    <w:p>
      <w:pPr>
        <w:pStyle w:val="2"/>
      </w:pPr>
      <w:r>
        <w:t xml:space="preserve">Section 1 Hard Indicators as the Load-Bearing Space for Soft Capacity</w:t>
      </w:r>
    </w:p>
    <w:p>
      <w:pPr>
        <w:pStyle w:val="FirstParagraph"/>
      </w:pPr>
      <w:r>
        <w:t xml:space="preserve">Prior literature (e.g., Elish, 2019; Pasquale, 2015) has emphasized that frontline officials must possess critical thinking and resistance to</w:t>
      </w:r>
      <w:r>
        <w:t xml:space="preserve"> </w:t>
      </w:r>
      <w:r>
        <w:t xml:space="preserve">“</w:t>
      </w:r>
      <w:r>
        <w:t xml:space="preserve">automation bias</w:t>
      </w:r>
      <w:r>
        <w:t xml:space="preserve">”</w:t>
      </w:r>
      <w:r>
        <w:t xml:space="preserve">—that is, soft capacity. This study’s evidence, however, shows that absent the hard indicators of low structural separation as support, soft capacity risks becoming a castle in the air.</w:t>
      </w:r>
    </w:p>
    <w:p>
      <w:pPr>
        <w:pStyle w:val="BodyText"/>
      </w:pPr>
      <w:r>
        <w:t xml:space="preserve">One key reason the Yilan Branch case allowed frontline enforcement officers to tend toward treating the predictive score as</w:t>
      </w:r>
      <w:r>
        <w:t xml:space="preserve"> </w:t>
      </w:r>
      <w:r>
        <w:t xml:space="preserve">“</w:t>
      </w:r>
      <w:r>
        <w:t xml:space="preserve">reference only</w:t>
      </w:r>
      <w:r>
        <w:t xml:space="preserve">”</w:t>
      </w:r>
      <w:r>
        <w:t xml:space="preserve"> </w:t>
      </w:r>
      <w:r>
        <w:t xml:space="preserve">is that, in the course of building the system, the agency secured a degree of organizational conditions for building the capacity to technically take over the system: deployment tended toward localization, no termination penalty appears in the contract, and internal personnel participated in and controlled the data logic—conditions that made the agency, at the level of hard indicators, less prone to a displacement of control or to the outflow of infrastructure and model ownership. By contrast, an agency that instead adopts an external vendor’s</w:t>
      </w:r>
      <w:r>
        <w:t xml:space="preserve"> </w:t>
      </w:r>
      <w:r>
        <w:t xml:space="preserve">“</w:t>
      </w:r>
      <w:r>
        <w:t xml:space="preserve">black-boxed packaged software</w:t>
      </w:r>
      <w:r>
        <w:t xml:space="preserve">”</w:t>
      </w:r>
      <w:r>
        <w:t xml:space="preserve"> </w:t>
      </w:r>
      <w:r>
        <w:t xml:space="preserve">may find that, even where officials doubt the predictive results, they lack the resources and legal authority to adjust the model—and soft capacity may ultimately be buried under structural technical lock-in.</w:t>
      </w:r>
    </w:p>
    <w:bookmarkEnd w:id="43"/>
    <w:bookmarkStart w:id="44" w:name="Xc8e54eab090cc53ae3b7c6f6bda69145d777de9"/>
    <w:p>
      <w:pPr>
        <w:pStyle w:val="2"/>
      </w:pPr>
      <w:r>
        <w:t xml:space="preserve">Section 2 Refining the Three Elements of the MSCC Hard Indicators</w:t>
      </w:r>
    </w:p>
    <w:p>
      <w:pPr>
        <w:pStyle w:val="FirstParagraph"/>
      </w:pPr>
      <w:r>
        <w:t xml:space="preserve">Drawing on the experience of the Yilan case, this paper refines the three elements of MSCC at the level of hard indicators as follows:</w:t>
      </w:r>
    </w:p>
    <w:p>
      <w:pPr>
        <w:numPr>
          <w:ilvl w:val="0"/>
          <w:numId w:val="1007"/>
        </w:numPr>
      </w:pPr>
      <w:r>
        <w:rPr>
          <w:bCs/>
          <w:b/>
        </w:rPr>
        <w:t xml:space="preserve">Data Sovereignty and Structural Mastery</w:t>
      </w:r>
      <w:r>
        <w:br/>
      </w:r>
      <w:r>
        <w:t xml:space="preserve">The agency must substantively control the field definitions and de-identification process of the training dataset and must control a data schema for the model’s variables that corresponds to the relevant legal requirements. It must be specifically emphasized that model control should not be limited to control over variables at the moment of initial construction; it must also include the agency’s autonomous right to periodic retraining and tuning in response to</w:t>
      </w:r>
      <w:r>
        <w:t xml:space="preserve"> </w:t>
      </w:r>
      <w:r>
        <w:t xml:space="preserve">“</w:t>
      </w:r>
      <w:r>
        <w:t xml:space="preserve">data drift</w:t>
      </w:r>
      <w:r>
        <w:t xml:space="preserve">”</w:t>
      </w:r>
      <w:r>
        <w:t xml:space="preserve"> </w:t>
      </w:r>
      <w:r>
        <w:t xml:space="preserve">or</w:t>
      </w:r>
      <w:r>
        <w:t xml:space="preserve"> </w:t>
      </w:r>
      <w:r>
        <w:t xml:space="preserve">“</w:t>
      </w:r>
      <w:r>
        <w:t xml:space="preserve">concept drift</w:t>
      </w:r>
      <w:r>
        <w:t xml:space="preserve">”</w:t>
      </w:r>
      <w:r>
        <w:t xml:space="preserve">—for example, where a shift in the macroeconomic environment degrades the accuracy of a historical repayment-rate model—in order to sustain the effectiveness of model control across the system’s entire lifecycle.</w:t>
      </w:r>
    </w:p>
    <w:p>
      <w:pPr>
        <w:numPr>
          <w:ilvl w:val="0"/>
          <w:numId w:val="1007"/>
        </w:numPr>
      </w:pPr>
      <w:r>
        <w:rPr>
          <w:bCs/>
          <w:b/>
        </w:rPr>
        <w:t xml:space="preserve">Contractual Exit and Transition Readiness</w:t>
      </w:r>
      <w:r>
        <w:br/>
      </w:r>
      <w:r>
        <w:t xml:space="preserve">The procurement contract must specify a no-penalty exit clause and must strictly prohibit the inclusion of proprietary technical lock-in or an excessive termination penalty.</w:t>
      </w:r>
    </w:p>
    <w:p>
      <w:pPr>
        <w:numPr>
          <w:ilvl w:val="0"/>
          <w:numId w:val="1007"/>
        </w:numPr>
      </w:pPr>
      <w:r>
        <w:rPr>
          <w:bCs/>
          <w:b/>
        </w:rPr>
        <w:t xml:space="preserve">Infrastructure Self-Sufficiency</w:t>
      </w:r>
      <w:r>
        <w:br/>
      </w:r>
      <w:r>
        <w:t xml:space="preserve">Core computation and data storage should, in principle, be on-premise or on a government proprietary cloud, ensuring that the system has the resilience to operate independently offline.</w:t>
      </w:r>
    </w:p>
    <w:bookmarkEnd w:id="44"/>
    <w:bookmarkStart w:id="45" w:name="X41182c89c11f2e1e8a235e705707521e3c19e8d"/>
    <w:p>
      <w:pPr>
        <w:pStyle w:val="2"/>
      </w:pPr>
      <w:r>
        <w:t xml:space="preserve">Section 3 A Deeper Dialogue with State Guarantee Responsibility and MSCC Theory</w:t>
      </w:r>
    </w:p>
    <w:p>
      <w:pPr>
        <w:pStyle w:val="FirstParagraph"/>
      </w:pPr>
      <w:r>
        <w:t xml:space="preserve">MSCC is an attempt to operationalize the state’s guarantee responsibility, answering the question of what is the minimum threshold of control an AI system must satisfy before it can be admitted into the exercise of public power. The exit right further answers the follow-on question: when the minimum control threshold cannot be met, how should an agency refuse or discontinue reliance on the system? The Yilan case demonstrates a path that is relatively likely to move toward MSCC; however, because it is a small-to-medium, internally-built capacity project, further cross-case verification is still needed to establish the generality of this proposition.</w:t>
      </w:r>
    </w:p>
    <w:bookmarkEnd w:id="45"/>
    <w:bookmarkStart w:id="46" w:name="Xb0a4553236b05ae401d1eb31f970c79646df6ed"/>
    <w:p>
      <w:pPr>
        <w:pStyle w:val="2"/>
      </w:pPr>
      <w:r>
        <w:t xml:space="preserve">Section 4 Policy Implications: Which Procurement and Technology Choices Most Readily Induce a Displacement of Control?</w:t>
      </w:r>
    </w:p>
    <w:p>
      <w:pPr>
        <w:pStyle w:val="FirstParagraph"/>
      </w:pPr>
      <w:r>
        <w:t xml:space="preserve">Contrasting with the Yilan Branch’s low-separation experience, this study identifies the procurement and technology choices most likely to flip the hard indicators toward high structural separation, so that agencies can identify these risks in advance at the procurement-planning stage:</w:t>
      </w:r>
    </w:p>
    <w:p>
      <w:pPr>
        <w:numPr>
          <w:ilvl w:val="0"/>
          <w:numId w:val="1008"/>
        </w:numPr>
      </w:pPr>
      <w:r>
        <w:t xml:space="preserve">A one-off buyout plus proprietary software lock-in: The contract does not specify a no-penalty exit clause, and termination carries a steep, punitive liquidated-damages liability.</w:t>
      </w:r>
    </w:p>
    <w:p>
      <w:pPr>
        <w:numPr>
          <w:ilvl w:val="0"/>
          <w:numId w:val="1008"/>
        </w:numPr>
      </w:pPr>
      <w:r>
        <w:t xml:space="preserve">Data and model ownership entirely controlled by the vendor: The field definitions of the training dataset, the de-identification logic, and the model weights are all retained by the vendor, and the agency cannot obtain them.</w:t>
      </w:r>
    </w:p>
    <w:p>
      <w:pPr>
        <w:numPr>
          <w:ilvl w:val="0"/>
          <w:numId w:val="1008"/>
        </w:numPr>
      </w:pPr>
      <w:r>
        <w:t xml:space="preserve">Heavy dependency on an external commercial cloud or proprietary API: Core computation and data storage are handed entirely to a commercial public cloud, and the agency lacks the capacity to operate offline or migrate to another vendor.</w:t>
      </w:r>
    </w:p>
    <w:p>
      <w:pPr>
        <w:numPr>
          <w:ilvl w:val="0"/>
          <w:numId w:val="1008"/>
        </w:numPr>
      </w:pPr>
      <w:r>
        <w:t xml:space="preserve">Full outsourcing of development without requiring substantive participation by agency personnel: Agency personnel serve only an acceptance-testing role and do not participate in variable definition or data cleaning, causing the agency to lose any understanding or control of the model’s logic.</w:t>
      </w:r>
    </w:p>
    <w:bookmarkEnd w:id="46"/>
    <w:bookmarkEnd w:id="47"/>
    <w:bookmarkStart w:id="55" w:name="chapter-5-conclusion-and-recommendations"/>
    <w:p>
      <w:pPr>
        <w:pStyle w:val="1"/>
      </w:pPr>
      <w:r>
        <w:t xml:space="preserve">Chapter 5 Conclusion and Recommendations</w:t>
      </w:r>
    </w:p>
    <w:bookmarkStart w:id="48" w:name="section-1-principal-research-findings"/>
    <w:p>
      <w:pPr>
        <w:pStyle w:val="2"/>
      </w:pPr>
      <w:r>
        <w:t xml:space="preserve">Section 1 Principal Research Findings</w:t>
      </w:r>
    </w:p>
    <w:p>
      <w:pPr>
        <w:numPr>
          <w:ilvl w:val="0"/>
          <w:numId w:val="1009"/>
        </w:numPr>
      </w:pPr>
      <w:r>
        <w:t xml:space="preserve">On the publicly verifiable hard indicators, the Yilan Branch case exhibits characteristics of low structural separation across all three dimensions—contractual power, model control, and infrastructure dependency—and can serve as an exploratory reference point for a low-separation baseline.</w:t>
      </w:r>
    </w:p>
    <w:p>
      <w:pPr>
        <w:numPr>
          <w:ilvl w:val="0"/>
          <w:numId w:val="1009"/>
        </w:numPr>
      </w:pPr>
      <w:r>
        <w:t xml:space="preserve">Hard indicators (structural control rights) are the load-bearing precondition for soft capacity (civil servants’ capacity for objection and discretion) to be exercised; only by structurally blocking the displacement of control does frontline civil servants’ discretionary autonomy and capacity for objection have any possibility of substantive protection.</w:t>
      </w:r>
    </w:p>
    <w:p>
      <w:pPr>
        <w:numPr>
          <w:ilvl w:val="0"/>
          <w:numId w:val="1009"/>
        </w:numPr>
      </w:pPr>
      <w:r>
        <w:t xml:space="preserve">Taiwan’s current tri-agency governance chain of Ministry of Digital Affairs–Ministry of Justice–National Audit Office exhibits a clear lateral disconnection, exposing the state’s administrative guarantee responsibility to the risk of hollowing-out.</w:t>
      </w:r>
    </w:p>
    <w:p>
      <w:pPr>
        <w:numPr>
          <w:ilvl w:val="0"/>
          <w:numId w:val="1009"/>
        </w:numPr>
      </w:pPr>
      <w:r>
        <w:t xml:space="preserve">MSCC (Minimum Substantive Control Capability) and the exit right are the key operationalized concepts for giving effect to the state’s administrative guarantee responsibility in the digital era and can serve as a common language for pre-procurement assessment, ex post audit, and cross-case comparison.</w:t>
      </w:r>
    </w:p>
    <w:bookmarkEnd w:id="48"/>
    <w:bookmarkStart w:id="49" w:name="Xbd3fcdc5101c363b5069c99a08a719f078ad0ab"/>
    <w:p>
      <w:pPr>
        <w:pStyle w:val="2"/>
      </w:pPr>
      <w:r>
        <w:t xml:space="preserve">Section 2 Theoretical and Practical Contributions</w:t>
      </w:r>
    </w:p>
    <w:p>
      <w:pPr>
        <w:pStyle w:val="FirstParagraph"/>
      </w:pPr>
      <w:r>
        <w:t xml:space="preserve">Theoretically, this paper offers a low-separation baseline reference case and proposes the proposition that hard indicators are the load-bearing precondition for soft capacity—supplementing the existing literature’s overemphasis on civil servants’ soft capacity and its neglect of the precedence of hard architecture. Practically, this paper translates the abstract concept of administrative guarantee responsibility into a hard-indicator language and set of operable tools shared by the Ministry of Digital Affairs, the National Audit Office, and the Ministry of Justice, and further proposes, in Appendix 1, a quantitative scoring method for future empirical research and agency self-assessment.</w:t>
      </w:r>
    </w:p>
    <w:bookmarkEnd w:id="49"/>
    <w:bookmarkStart w:id="53" w:name="Xcecf299b3b97340eb306536f876e731fb3e5248"/>
    <w:p>
      <w:pPr>
        <w:pStyle w:val="2"/>
      </w:pPr>
      <w:r>
        <w:t xml:space="preserve">Section 3 Policy Recommendations: A Path toward Tri-Agency Collaborative Governance</w:t>
      </w:r>
    </w:p>
    <w:p>
      <w:pPr>
        <w:pStyle w:val="FirstParagraph"/>
      </w:pPr>
      <w:r>
        <w:t xml:space="preserve">To institutionalize the experience of the Yilan Branch case and precisely address the MODA–Ministry of Justice–National Audit Office tri-lateral gap raised in Chapter 1, this paper proposes the following operable mechanisms and tool matrix for the three agencies:</w:t>
      </w:r>
    </w:p>
    <w:bookmarkStart w:id="50" w:name="X239aa9e2bf22442f7553ec971f81e4afe5e2a35"/>
    <w:p>
      <w:pPr>
        <w:pStyle w:val="3"/>
      </w:pPr>
      <w:r>
        <w:t xml:space="preserve">I. Ministry of Digital Affairs: Building an</w:t>
      </w:r>
      <w:r>
        <w:t xml:space="preserve"> </w:t>
      </w:r>
      <w:r>
        <w:t xml:space="preserve">“</w:t>
      </w:r>
      <w:r>
        <w:t xml:space="preserve">MSCC Pre-Procurement Assessment and Defense Threshold</w:t>
      </w:r>
      <w:r>
        <w:t xml:space="preserve">”</w:t>
      </w:r>
    </w:p>
    <w:p>
      <w:pPr>
        <w:pStyle w:val="FirstParagraph"/>
      </w:pPr>
      <w:r>
        <w:t xml:space="preserve">As the competent authority for government ICT procurement and AI norms, MODA should incorporate</w:t>
      </w:r>
      <w:r>
        <w:t xml:space="preserve"> </w:t>
      </w:r>
      <w:r>
        <w:t xml:space="preserve">“</w:t>
      </w:r>
      <w:r>
        <w:t xml:space="preserve">anti-vendor lock-in</w:t>
      </w:r>
      <w:r>
        <w:t xml:space="preserve">”</w:t>
      </w:r>
      <w:r>
        <w:t xml:space="preserve"> </w:t>
      </w:r>
      <w:r>
        <w:t xml:space="preserve">into its government ICT procurement guidelines and establish a pre-procurement hard-indicator defense-threshold checklist for public-sector AI:</w:t>
      </w:r>
    </w:p>
    <w:p>
      <w:pPr>
        <w:numPr>
          <w:ilvl w:val="0"/>
          <w:numId w:val="1010"/>
        </w:numPr>
      </w:pPr>
      <w:r>
        <w:t xml:space="preserve">Contractual power sign-off: The procurement contract must specify an exit clause with no penalty and a reasonable transition clause, and must strictly prohibit the inclusion of a proprietary software lock or a steep termination penalty.</w:t>
      </w:r>
    </w:p>
    <w:p>
      <w:pPr>
        <w:numPr>
          <w:ilvl w:val="0"/>
          <w:numId w:val="1010"/>
        </w:numPr>
      </w:pPr>
      <w:r>
        <w:t xml:space="preserve">Model sovereignty sign-off: The core variable logic and training dataset must remain within the agency, and the agency must obtain authorization and open-source analysis scripts, ensuring it has the right to autonomous retraining.</w:t>
      </w:r>
    </w:p>
    <w:p>
      <w:pPr>
        <w:numPr>
          <w:ilvl w:val="0"/>
          <w:numId w:val="1010"/>
        </w:numPr>
      </w:pPr>
      <w:r>
        <w:t xml:space="preserve">Infrastructure sign-off: On-premise (localized) deployment or a government cloud should be prioritized, ensuring that system operation does not depend heavily on the vendor’s proprietary external API.</w:t>
      </w:r>
    </w:p>
    <w:bookmarkEnd w:id="50"/>
    <w:bookmarkStart w:id="51" w:name="X92535d945aeae4a859aa08546b2f7b492c52e36"/>
    <w:p>
      <w:pPr>
        <w:pStyle w:val="3"/>
      </w:pPr>
      <w:r>
        <w:t xml:space="preserve">II. National Audit Office: Establishing a</w:t>
      </w:r>
      <w:r>
        <w:t xml:space="preserve"> </w:t>
      </w:r>
      <w:r>
        <w:t xml:space="preserve">“</w:t>
      </w:r>
      <w:r>
        <w:t xml:space="preserve">Three-Step Procedural Audit Method for Algorithmic Control Rights</w:t>
      </w:r>
      <w:r>
        <w:t xml:space="preserve">”</w:t>
      </w:r>
    </w:p>
    <w:p>
      <w:pPr>
        <w:pStyle w:val="FirstParagraph"/>
      </w:pPr>
      <w:r>
        <w:t xml:space="preserve">In response to the dynamic, black-boxed nature of algorithms, the National Audit Office should establish a procedural algorithmic audit process that can be carried out without penetrating complex source code, to guard against the hollowing-out of the state’s administrative guarantee responsibility:</w:t>
      </w:r>
    </w:p>
    <w:p>
      <w:pPr>
        <w:numPr>
          <w:ilvl w:val="0"/>
          <w:numId w:val="1011"/>
        </w:numPr>
      </w:pPr>
      <w:r>
        <w:t xml:space="preserve">Step One (review the contract): Retrieve the procurement contract and audit the ownership of intellectual property and the maintenance conditions, confirming whether the agency holds a unilateral termination and adjustment right.</w:t>
      </w:r>
    </w:p>
    <w:p>
      <w:pPr>
        <w:numPr>
          <w:ilvl w:val="0"/>
          <w:numId w:val="1011"/>
        </w:numPr>
      </w:pPr>
      <w:r>
        <w:t xml:space="preserve">Step Two (review the data and code): Spot-check whether the agency controls the list of the original training dataset and the open-source analysis scripts, confirming whether business-unit personnel can explain the relationship between the variables and the relevant legal requirements.</w:t>
      </w:r>
    </w:p>
    <w:p>
      <w:pPr>
        <w:numPr>
          <w:ilvl w:val="0"/>
          <w:numId w:val="1011"/>
        </w:numPr>
      </w:pPr>
      <w:r>
        <w:t xml:space="preserve">Step Three (review the environment): Inspect the system’s physical deployment location and backup mechanism, confirming whether the agency has the capacity for independent offline operation.</w:t>
      </w:r>
    </w:p>
    <w:bookmarkEnd w:id="51"/>
    <w:bookmarkStart w:id="52" w:name="X2aec21adc70b4d96f45049622398f668c06b83b"/>
    <w:p>
      <w:pPr>
        <w:pStyle w:val="3"/>
      </w:pPr>
      <w:r>
        <w:t xml:space="preserve">III. Ministry of Justice (including the Administrative Enforcement Agency): Implementing a</w:t>
      </w:r>
      <w:r>
        <w:t xml:space="preserve"> </w:t>
      </w:r>
      <w:r>
        <w:t xml:space="preserve">“</w:t>
      </w:r>
      <w:r>
        <w:t xml:space="preserve">Low-Separation Predictive-Administration SOP and Frontline Protection against Objection</w:t>
      </w:r>
      <w:r>
        <w:t xml:space="preserve">”</w:t>
      </w:r>
    </w:p>
    <w:p>
      <w:pPr>
        <w:pStyle w:val="FirstParagraph"/>
      </w:pPr>
      <w:r>
        <w:t xml:space="preserve">As the frontline enforcement agency, the Ministry of Justice should ensure that AI performs only an assistive triage function, safeguarding civil servants’ discretionary autonomy and due process of law:</w:t>
      </w:r>
    </w:p>
    <w:p>
      <w:pPr>
        <w:numPr>
          <w:ilvl w:val="0"/>
          <w:numId w:val="1012"/>
        </w:numPr>
      </w:pPr>
      <w:r>
        <w:t xml:space="preserve">Clearly define the role of the prediction: Establish internal operating norms specifying that the predictive score is to be used only as an assistive reference for the priority order of case-file retrieval, and strictly prohibiting its use as the sole basis for a rights-restricting disposition such as an exit ban, summons, or detention for compulsory enforcement.</w:t>
      </w:r>
    </w:p>
    <w:p>
      <w:pPr>
        <w:numPr>
          <w:ilvl w:val="0"/>
          <w:numId w:val="1012"/>
        </w:numPr>
      </w:pPr>
      <w:r>
        <w:t xml:space="preserve">An objection and correction mechanism: Build a</w:t>
      </w:r>
      <w:r>
        <w:t xml:space="preserve"> </w:t>
      </w:r>
      <w:r>
        <w:t xml:space="preserve">“</w:t>
      </w:r>
      <w:r>
        <w:t xml:space="preserve">one-click review and objection register</w:t>
      </w:r>
      <w:r>
        <w:t xml:space="preserve">”</w:t>
      </w:r>
      <w:r>
        <w:t xml:space="preserve"> </w:t>
      </w:r>
      <w:r>
        <w:t xml:space="preserve">mechanism for frontline enforcement officers, allowing an officer to manually correct the system when an anomalous prediction is identified and recording the reason as feedback to internal statisticians for model tuning.</w:t>
      </w:r>
    </w:p>
    <w:p>
      <w:pPr>
        <w:numPr>
          <w:ilvl w:val="0"/>
          <w:numId w:val="1012"/>
        </w:numPr>
      </w:pPr>
      <w:r>
        <w:t xml:space="preserve">Periodic exit testing (Exit Test): Conduct an annual</w:t>
      </w:r>
      <w:r>
        <w:t xml:space="preserve"> </w:t>
      </w:r>
      <w:r>
        <w:t xml:space="preserve">“</w:t>
      </w:r>
      <w:r>
        <w:t xml:space="preserve">algorithm-free control test</w:t>
      </w:r>
      <w:r>
        <w:t xml:space="preserve">”</w:t>
      </w:r>
      <w:r>
        <w:t xml:space="preserve"> </w:t>
      </w:r>
      <w:r>
        <w:t xml:space="preserve">to confirm that, when AI assistance is disconnected, the agency retains the complete capacity to process and triage cases manually.</w:t>
      </w:r>
    </w:p>
    <w:p>
      <w:pPr>
        <w:pStyle w:val="FirstParagraph"/>
      </w:pPr>
      <w:r>
        <w:rPr>
          <w:bCs/>
          <w:b/>
        </w:rPr>
        <w:t xml:space="preserve">Table 5-1 Matrix of Tri-Agency Collaborative Governance Tools and the Practical Gaps They Address</w:t>
      </w:r>
    </w:p>
    <w:tbl>
      <w:tblPr>
        <w:tblStyle w:val="Table"/>
        <w:tblW w:type="pct" w:w="500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Agency</w:t>
            </w:r>
          </w:p>
        </w:tc>
        <w:tc>
          <w:tcPr/>
          <w:p>
            <w:pPr>
              <w:pStyle w:val="Compact"/>
              <w:jc w:val="left"/>
            </w:pPr>
            <w:r>
              <w:t xml:space="preserve">Core Role</w:t>
            </w:r>
          </w:p>
        </w:tc>
        <w:tc>
          <w:tcPr/>
          <w:p>
            <w:pPr>
              <w:pStyle w:val="Compact"/>
              <w:jc w:val="left"/>
            </w:pPr>
            <w:r>
              <w:t xml:space="preserve">Substantive Tool / Process Proposed by This Study</w:t>
            </w:r>
          </w:p>
        </w:tc>
        <w:tc>
          <w:tcPr/>
          <w:p>
            <w:pPr>
              <w:pStyle w:val="Compact"/>
              <w:jc w:val="left"/>
            </w:pPr>
            <w:r>
              <w:t xml:space="preserve">Practical Gap Addressed</w:t>
            </w:r>
          </w:p>
        </w:tc>
        <w:tc>
          <w:tcPr/>
          <w:p>
            <w:pPr>
              <w:pStyle w:val="Compact"/>
              <w:jc w:val="left"/>
            </w:pPr>
            <w:r>
              <w:t xml:space="preserve">Corresponding Hard Indicator</w:t>
            </w:r>
          </w:p>
        </w:tc>
      </w:tr>
      <w:tr>
        <w:tc>
          <w:tcPr/>
          <w:p>
            <w:pPr>
              <w:pStyle w:val="Compact"/>
              <w:jc w:val="left"/>
            </w:pPr>
            <w:r>
              <w:t xml:space="preserve">Ministry of Digital Affairs</w:t>
            </w:r>
          </w:p>
        </w:tc>
        <w:tc>
          <w:tcPr/>
          <w:p>
            <w:pPr>
              <w:pStyle w:val="Compact"/>
              <w:jc w:val="left"/>
            </w:pPr>
            <w:r>
              <w:t xml:space="preserve">Procurement Regulator</w:t>
            </w:r>
          </w:p>
        </w:tc>
        <w:tc>
          <w:tcPr/>
          <w:p>
            <w:pPr>
              <w:pStyle w:val="Compact"/>
              <w:jc w:val="left"/>
            </w:pPr>
            <w:r>
              <w:t xml:space="preserve">MSCC pre-procurement defense-threshold checklist (no-penalty exit clause, obtaining core variables and scripts, prioritizing localization / government cloud)</w:t>
            </w:r>
          </w:p>
        </w:tc>
        <w:tc>
          <w:tcPr/>
          <w:p>
            <w:pPr>
              <w:pStyle w:val="Compact"/>
              <w:jc w:val="left"/>
            </w:pPr>
            <w:r>
              <w:t xml:space="preserve">Addresses the procurement end’s lack of substantive-control norms, preventing the introduction of a black-boxed vendor and technical lock-in.</w:t>
            </w:r>
          </w:p>
        </w:tc>
        <w:tc>
          <w:tcPr/>
          <w:p>
            <w:pPr>
              <w:pStyle w:val="Compact"/>
              <w:jc w:val="left"/>
            </w:pPr>
            <w:r>
              <w:t xml:space="preserve">Contractual power, model control, infrastructure</w:t>
            </w:r>
          </w:p>
        </w:tc>
      </w:tr>
      <w:tr>
        <w:tc>
          <w:tcPr/>
          <w:p>
            <w:pPr>
              <w:pStyle w:val="Compact"/>
              <w:jc w:val="left"/>
            </w:pPr>
            <w:r>
              <w:t xml:space="preserve">National Audit Office</w:t>
            </w:r>
          </w:p>
        </w:tc>
        <w:tc>
          <w:tcPr/>
          <w:p>
            <w:pPr>
              <w:pStyle w:val="Compact"/>
              <w:jc w:val="left"/>
            </w:pPr>
            <w:r>
              <w:t xml:space="preserve">Oversight and Audit</w:t>
            </w:r>
          </w:p>
        </w:tc>
        <w:tc>
          <w:tcPr/>
          <w:p>
            <w:pPr>
              <w:pStyle w:val="Compact"/>
              <w:jc w:val="left"/>
            </w:pPr>
            <w:r>
              <w:t xml:space="preserve">Three-step procedural algorithmic control-rights audit (review contract → review data and code control → review deployment environment)</w:t>
            </w:r>
          </w:p>
        </w:tc>
        <w:tc>
          <w:tcPr/>
          <w:p>
            <w:pPr>
              <w:pStyle w:val="Compact"/>
              <w:jc w:val="left"/>
            </w:pPr>
            <w:r>
              <w:t xml:space="preserve">Addresses the audit end’s lack of an algorithmic-penetration lever, providing a procedural audit standard that requires no source-code review.</w:t>
            </w:r>
          </w:p>
        </w:tc>
        <w:tc>
          <w:tcPr/>
          <w:p>
            <w:pPr>
              <w:pStyle w:val="Compact"/>
              <w:jc w:val="left"/>
            </w:pPr>
            <w:r>
              <w:t xml:space="preserve">Contractual power, model control, infrastructure</w:t>
            </w:r>
          </w:p>
        </w:tc>
      </w:tr>
      <w:tr>
        <w:tc>
          <w:tcPr/>
          <w:p>
            <w:pPr>
              <w:pStyle w:val="Compact"/>
              <w:jc w:val="left"/>
            </w:pPr>
            <w:r>
              <w:t xml:space="preserve">Ministry of Justice</w:t>
            </w:r>
          </w:p>
        </w:tc>
        <w:tc>
          <w:tcPr/>
          <w:p>
            <w:pPr>
              <w:pStyle w:val="Compact"/>
              <w:jc w:val="left"/>
            </w:pPr>
            <w:r>
              <w:t xml:space="preserve">Enforcement and Execution Agency</w:t>
            </w:r>
          </w:p>
        </w:tc>
        <w:tc>
          <w:tcPr/>
          <w:p>
            <w:pPr>
              <w:pStyle w:val="Compact"/>
              <w:jc w:val="left"/>
            </w:pPr>
            <w:r>
              <w:t xml:space="preserve">Low-separation predictive-administration SOP (predictions as priority reference only, one-click review and objection register, periodic algorithm-free exit testing)</w:t>
            </w:r>
          </w:p>
        </w:tc>
        <w:tc>
          <w:tcPr/>
          <w:p>
            <w:pPr>
              <w:pStyle w:val="Compact"/>
              <w:jc w:val="left"/>
            </w:pPr>
            <w:r>
              <w:t xml:space="preserve">Addresses the execution end’s lack of technical resistance tools, protecting civil servants’ discretionary autonomy and guarding against automation bias.</w:t>
            </w:r>
          </w:p>
        </w:tc>
        <w:tc>
          <w:tcPr/>
          <w:p>
            <w:pPr>
              <w:pStyle w:val="Compact"/>
              <w:jc w:val="left"/>
            </w:pPr>
            <w:r>
              <w:t xml:space="preserve">Model control (indirectly supporting the exit right)</w:t>
            </w:r>
          </w:p>
        </w:tc>
      </w:tr>
    </w:tbl>
    <w:bookmarkEnd w:id="52"/>
    <w:bookmarkEnd w:id="53"/>
    <w:bookmarkStart w:id="54" w:name="Xe71a62ea0002dddc62c520188734cd95217a8b9"/>
    <w:p>
      <w:pPr>
        <w:pStyle w:val="2"/>
      </w:pPr>
      <w:r>
        <w:t xml:space="preserve">Section 4 Research Limitations and Directions for Future Research</w:t>
      </w:r>
    </w:p>
    <w:p>
      <w:pPr>
        <w:pStyle w:val="FirstParagraph"/>
      </w:pPr>
      <w:r>
        <w:t xml:space="preserve">This study is constrained by its desk-based method, and its conclusions are strictly confined to the level of hard indicators. Future research could build on this foundation to further deepen the following directions:</w:t>
      </w:r>
    </w:p>
    <w:p>
      <w:pPr>
        <w:numPr>
          <w:ilvl w:val="0"/>
          <w:numId w:val="1013"/>
        </w:numPr>
      </w:pPr>
      <w:r>
        <w:t xml:space="preserve">Incorporating algorithmic technical audit: If agency authorization can be obtained in the future, source-code-level bias and fairness testing (algorithmic fairness audit) could be conducted on the debt-repayment-rate model.</w:t>
      </w:r>
    </w:p>
    <w:p>
      <w:pPr>
        <w:numPr>
          <w:ilvl w:val="0"/>
          <w:numId w:val="1013"/>
        </w:numPr>
      </w:pPr>
      <w:r>
        <w:t xml:space="preserve">Behavioral research on frontline officials: Through in-depth interviews or a survey experiment, measure frontline enforcement officers’ psychological tendencies regarding</w:t>
      </w:r>
      <w:r>
        <w:t xml:space="preserve"> </w:t>
      </w:r>
      <w:r>
        <w:t xml:space="preserve">“</w:t>
      </w:r>
      <w:r>
        <w:t xml:space="preserve">substantive review rate</w:t>
      </w:r>
      <w:r>
        <w:t xml:space="preserve">”</w:t>
      </w:r>
      <w:r>
        <w:t xml:space="preserve"> </w:t>
      </w:r>
      <w:r>
        <w:t xml:space="preserve">and</w:t>
      </w:r>
      <w:r>
        <w:t xml:space="preserve"> </w:t>
      </w:r>
      <w:r>
        <w:t xml:space="preserve">“</w:t>
      </w:r>
      <w:r>
        <w:t xml:space="preserve">objection behavior</w:t>
      </w:r>
      <w:r>
        <w:t xml:space="preserve">”</w:t>
      </w:r>
      <w:r>
        <w:t xml:space="preserve"> </w:t>
      </w:r>
      <w:r>
        <w:t xml:space="preserve">when confronted with a predictive score, to precisely investigate the concrete mechanism by which hard indicators translate into soft capacity.</w:t>
      </w:r>
    </w:p>
    <w:p>
      <w:pPr>
        <w:numPr>
          <w:ilvl w:val="0"/>
          <w:numId w:val="1013"/>
        </w:numPr>
      </w:pPr>
      <w:r>
        <w:t xml:space="preserve">Comparison with a commercially outsourced control case: Select a predictive system built through a high-value, fully outsourced commercial model as a control case and compare it against the Yilan Branch’s internally-built capacity model to test whether the degree of structural separation is indeed correlated with the procurement model.</w:t>
      </w:r>
    </w:p>
    <w:p>
      <w:pPr>
        <w:numPr>
          <w:ilvl w:val="0"/>
          <w:numId w:val="1013"/>
        </w:numPr>
      </w:pPr>
      <w:r>
        <w:t xml:space="preserve">Validation and refinement of the quantitative scoring tool: The MSCC hard-indicator quantitative scoring method proposed in Appendix 1 could be applied to additional cases, with inter-rater reliability testing conducted, to improve the rigor and replicability of cross-case comparison.</w:t>
      </w:r>
    </w:p>
    <w:p>
      <w:pPr>
        <w:numPr>
          <w:ilvl w:val="0"/>
          <w:numId w:val="1013"/>
        </w:numPr>
      </w:pPr>
      <w:r>
        <w:t xml:space="preserve">Differences in control between generative AI and traditional predictive AI: This paper’s case (the Yilan Branch’s debt-repayment-rate model) is a traditional machine-learning / statistical predictive AI system. Future research could further explore whether, when a public administrative agency introduces generative AI (such as a large language model), its MSCC hard indicators—particularly with respect to infrastructure dependency and dependency on a proprietary API—should be subject to a stricter defense threshold. Because generative AI models have an enormous parameter scale and are highly dependent on external commercial APIs, they are difficult to deploy entirely within an agency the way a traditional statistical model can be; their risk of structural separation may be significantly higher than that of the traditional predictive model examined in this paper and merits deeper comparative study in future research.</w:t>
      </w:r>
    </w:p>
    <w:p>
      <w:pPr>
        <w:pStyle w:val="FirstParagraph"/>
      </w:pPr>
      <w:r>
        <w:rPr>
          <w:bCs/>
          <w:b/>
        </w:rPr>
        <w:t xml:space="preserve">Conclusion</w:t>
      </w:r>
    </w:p>
    <w:p>
      <w:pPr>
        <w:pStyle w:val="BodyText"/>
      </w:pPr>
      <w:r>
        <w:t xml:space="preserve">Predictive administration does not necessarily entail a loss of state control; but absent institutional attention to hard indicators, the risks of a displacement of control and the hollowing-out of administrative guarantee responsibility will continue to accumulate. The real challenge is not</w:t>
      </w:r>
      <w:r>
        <w:t xml:space="preserve"> </w:t>
      </w:r>
      <w:r>
        <w:t xml:space="preserve">“</w:t>
      </w:r>
      <w:r>
        <w:t xml:space="preserve">whether to use AI,</w:t>
      </w:r>
      <w:r>
        <w:t xml:space="preserve">”</w:t>
      </w:r>
      <w:r>
        <w:t xml:space="preserve"> </w:t>
      </w:r>
      <w:r>
        <w:t xml:space="preserve">but</w:t>
      </w:r>
      <w:r>
        <w:t xml:space="preserve"> </w:t>
      </w:r>
      <w:r>
        <w:t xml:space="preserve">“</w:t>
      </w:r>
      <w:r>
        <w:t xml:space="preserve">what institutional arrangements ensure that, when the state uses AI, it still preserves the basic congruence between its position of public-law responsibility and its position of substantive control.</w:t>
      </w:r>
      <w:r>
        <w:t xml:space="preserve">”</w:t>
      </w:r>
    </w:p>
    <w:bookmarkEnd w:id="54"/>
    <w:bookmarkEnd w:id="55"/>
    <w:bookmarkStart w:id="62" w:name="Xb97a446fd45c02655c97159d3be9200f2ea9369"/>
    <w:p>
      <w:pPr>
        <w:pStyle w:val="1"/>
      </w:pPr>
      <w:r>
        <w:t xml:space="preserve">Appendix 1 A Proposed Quantitative Scoring Method for the Minimum Substantive Control Capability (MSCC) Hard Indicators</w:t>
      </w:r>
    </w:p>
    <w:p>
      <w:pPr>
        <w:pStyle w:val="FirstParagraph"/>
      </w:pPr>
      <w:r>
        <w:t xml:space="preserve">This appendix proposes a diagnostic quantitative scoring method for reference in future empirical research and agency practice. This is a further operationalization proposal, not an empirical finding of the body of this paper; the determinations made about the Yilan Branch case in Chapter 3 of the main text do not employ the quantitative scoring method set out in this appendix.</w:t>
      </w:r>
    </w:p>
    <w:bookmarkStart w:id="56" w:name="i.-design-principles"/>
    <w:p>
      <w:pPr>
        <w:pStyle w:val="3"/>
      </w:pPr>
      <w:r>
        <w:t xml:space="preserve">I. Design Principles</w:t>
      </w:r>
    </w:p>
    <w:p>
      <w:pPr>
        <w:pStyle w:val="FirstParagraph"/>
      </w:pPr>
      <w:r>
        <w:t xml:space="preserve">The method is designed around the three hard indicators, using a checklist-plus-weighted-scoring approach. Each hard indicator is broken down into a number of observable sub-items, each scored from 0 to 2 points, which are then summed or weighted. The scoring architecture distinguishes two levels: a diagnostic layer (whether the current state shows separation) and a threshold layer (whether the MSCC minimum requirement has been met).</w:t>
      </w:r>
    </w:p>
    <w:bookmarkEnd w:id="56"/>
    <w:bookmarkStart w:id="57" w:name="X7be5d454093b09ad1fa0e578b5008ae65985199"/>
    <w:p>
      <w:pPr>
        <w:pStyle w:val="3"/>
      </w:pPr>
      <w:r>
        <w:t xml:space="preserve">II. Hard Indicator 1: Contractual Power and Unilateral Disposition Capacity (Maximum 8 Points)</w:t>
      </w:r>
    </w:p>
    <w:tbl>
      <w:tblPr>
        <w:tblStyle w:val="Table"/>
        <w:tblW w:type="pct" w:w="5000"/>
        <w:tblLook w:firstRow="1" w:lastRow="0" w:firstColumn="0" w:lastColumn="0" w:noHBand="0" w:noVBand="0" w:val="0020"/>
        <w:jc w:val="start"/>
      </w:tblPr>
      <w:tblGrid>
        <w:gridCol w:w="3960"/>
        <w:gridCol w:w="3960"/>
      </w:tblGrid>
      <w:tr>
        <w:trPr>
          <w:tblHeader w:val="true"/>
        </w:trPr>
        <w:tc>
          <w:tcPr/>
          <w:p>
            <w:pPr>
              <w:pStyle w:val="Compact"/>
              <w:jc w:val="left"/>
            </w:pPr>
            <w:r>
              <w:t xml:space="preserve">Sub-Item</w:t>
            </w:r>
          </w:p>
        </w:tc>
        <w:tc>
          <w:tcPr/>
          <w:p>
            <w:pPr>
              <w:pStyle w:val="Compact"/>
              <w:jc w:val="left"/>
            </w:pPr>
            <w:r>
              <w:t xml:space="preserve">Scoring Standard (0–2 Points)</w:t>
            </w:r>
          </w:p>
        </w:tc>
      </w:tr>
      <w:tr>
        <w:tc>
          <w:tcPr/>
          <w:p>
            <w:pPr>
              <w:pStyle w:val="Compact"/>
              <w:jc w:val="left"/>
            </w:pPr>
            <w:r>
              <w:t xml:space="preserve">1. Unilateral Termination / Suspension Right</w:t>
            </w:r>
          </w:p>
        </w:tc>
        <w:tc>
          <w:tcPr/>
          <w:p>
            <w:pPr>
              <w:pStyle w:val="Compact"/>
              <w:jc w:val="left"/>
            </w:pPr>
            <w:r>
              <w:t xml:space="preserve">2 = Explicitly permits unilateral, immediate suspension or termination without a steep penalty; 1 = A termination right exists but carries a transition period or fee; 0 = No substantive unilateral right, or the penalty is excessive</w:t>
            </w:r>
          </w:p>
        </w:tc>
      </w:tr>
      <w:tr>
        <w:tc>
          <w:tcPr/>
          <w:p>
            <w:pPr>
              <w:pStyle w:val="Compact"/>
              <w:jc w:val="left"/>
            </w:pPr>
            <w:r>
              <w:t xml:space="preserve">2. Right to Alter and Modify</w:t>
            </w:r>
          </w:p>
        </w:tc>
        <w:tc>
          <w:tcPr/>
          <w:p>
            <w:pPr>
              <w:pStyle w:val="Compact"/>
              <w:jc w:val="left"/>
            </w:pPr>
            <w:r>
              <w:t xml:space="preserve">2 = Can unilaterally require modification of parameters or logic; 1 = Requires negotiation; 0 = Entirely dependent on vendor consent</w:t>
            </w:r>
          </w:p>
        </w:tc>
      </w:tr>
      <w:tr>
        <w:tc>
          <w:tcPr/>
          <w:p>
            <w:pPr>
              <w:pStyle w:val="Compact"/>
              <w:jc w:val="left"/>
            </w:pPr>
            <w:r>
              <w:t xml:space="preserve">3. Intellectual Property and Deliverables</w:t>
            </w:r>
          </w:p>
        </w:tc>
        <w:tc>
          <w:tcPr/>
          <w:p>
            <w:pPr>
              <w:pStyle w:val="Compact"/>
              <w:jc w:val="left"/>
            </w:pPr>
            <w:r>
              <w:t xml:space="preserve">2 = Source code, model weights, and the training-data inventory clearly belong to, or must be delivered to, the agency; 1 = Partial delivery; 0 = Not required, or retained by the vendor</w:t>
            </w:r>
          </w:p>
        </w:tc>
      </w:tr>
      <w:tr>
        <w:tc>
          <w:tcPr/>
          <w:p>
            <w:pPr>
              <w:pStyle w:val="Compact"/>
              <w:jc w:val="left"/>
            </w:pPr>
            <w:r>
              <w:t xml:space="preserve">4. Exit and Transition Cost</w:t>
            </w:r>
          </w:p>
        </w:tc>
        <w:tc>
          <w:tcPr/>
          <w:p>
            <w:pPr>
              <w:pStyle w:val="Compact"/>
              <w:jc w:val="left"/>
            </w:pPr>
            <w:r>
              <w:t xml:space="preserve">2 = Reasonable transition assistance is specified and the cost is low; 1 = A clause exists but the cost is unclear; 0 = None, or the cost is extremely high</w:t>
            </w:r>
          </w:p>
        </w:tc>
      </w:tr>
    </w:tbl>
    <w:bookmarkEnd w:id="57"/>
    <w:bookmarkStart w:id="58" w:name="X6bc0f254a809ba85cbcf0df072208502f3c62dd"/>
    <w:p>
      <w:pPr>
        <w:pStyle w:val="3"/>
      </w:pPr>
      <w:r>
        <w:t xml:space="preserve">III. Hard Indicator 2: Model Control and Retraining Capacity (Maximum 8 Points)</w:t>
      </w:r>
    </w:p>
    <w:tbl>
      <w:tblPr>
        <w:tblStyle w:val="Table"/>
        <w:tblW w:type="pct" w:w="5000"/>
        <w:tblLook w:firstRow="1" w:lastRow="0" w:firstColumn="0" w:lastColumn="0" w:noHBand="0" w:noVBand="0" w:val="0020"/>
        <w:jc w:val="start"/>
      </w:tblPr>
      <w:tblGrid>
        <w:gridCol w:w="3960"/>
        <w:gridCol w:w="3960"/>
      </w:tblGrid>
      <w:tr>
        <w:trPr>
          <w:tblHeader w:val="true"/>
        </w:trPr>
        <w:tc>
          <w:tcPr/>
          <w:p>
            <w:pPr>
              <w:pStyle w:val="Compact"/>
              <w:jc w:val="left"/>
            </w:pPr>
            <w:r>
              <w:t xml:space="preserve">Sub-Item</w:t>
            </w:r>
          </w:p>
        </w:tc>
        <w:tc>
          <w:tcPr/>
          <w:p>
            <w:pPr>
              <w:pStyle w:val="Compact"/>
              <w:jc w:val="left"/>
            </w:pPr>
            <w:r>
              <w:t xml:space="preserve">Scoring Standard (0–2 Points)</w:t>
            </w:r>
          </w:p>
        </w:tc>
      </w:tr>
      <w:tr>
        <w:tc>
          <w:tcPr/>
          <w:p>
            <w:pPr>
              <w:pStyle w:val="Compact"/>
              <w:jc w:val="left"/>
            </w:pPr>
            <w:r>
              <w:t xml:space="preserve">1. Data Sovereignty</w:t>
            </w:r>
          </w:p>
        </w:tc>
        <w:tc>
          <w:tcPr/>
          <w:p>
            <w:pPr>
              <w:pStyle w:val="Compact"/>
              <w:jc w:val="left"/>
            </w:pPr>
            <w:r>
              <w:t xml:space="preserve">2 = Training data is entirely provided and controlled by the agency; 1 = Partially mixed; 0 = Primarily dependent on vendor data</w:t>
            </w:r>
          </w:p>
        </w:tc>
      </w:tr>
      <w:tr>
        <w:tc>
          <w:tcPr/>
          <w:p>
            <w:pPr>
              <w:pStyle w:val="Compact"/>
              <w:jc w:val="left"/>
            </w:pPr>
            <w:r>
              <w:t xml:space="preserve">2. Explainability of Variables and Logic</w:t>
            </w:r>
          </w:p>
        </w:tc>
        <w:tc>
          <w:tcPr/>
          <w:p>
            <w:pPr>
              <w:pStyle w:val="Compact"/>
              <w:jc w:val="left"/>
            </w:pPr>
            <w:r>
              <w:t xml:space="preserve">2 = Core feature variables are openly available and clearly mapped to legal requirements; 1 = Partially explainable; 0 = Black-boxed or unexplained</w:t>
            </w:r>
          </w:p>
        </w:tc>
      </w:tr>
      <w:tr>
        <w:tc>
          <w:tcPr/>
          <w:p>
            <w:pPr>
              <w:pStyle w:val="Compact"/>
              <w:jc w:val="left"/>
            </w:pPr>
            <w:r>
              <w:t xml:space="preserve">3. Retraining Autonomy</w:t>
            </w:r>
          </w:p>
        </w:tc>
        <w:tc>
          <w:tcPr/>
          <w:p>
            <w:pPr>
              <w:pStyle w:val="Compact"/>
              <w:jc w:val="left"/>
            </w:pPr>
            <w:r>
              <w:t xml:space="preserve">2 = The agency can independently update data and retrain; 1 = Feasible with vendor assistance; 0 = Entirely dependent on the original vendor</w:t>
            </w:r>
          </w:p>
        </w:tc>
      </w:tr>
      <w:tr>
        <w:tc>
          <w:tcPr/>
          <w:p>
            <w:pPr>
              <w:pStyle w:val="Compact"/>
              <w:jc w:val="left"/>
            </w:pPr>
            <w:r>
              <w:t xml:space="preserve">4. Feasibility of Independent Audit</w:t>
            </w:r>
          </w:p>
        </w:tc>
        <w:tc>
          <w:tcPr/>
          <w:p>
            <w:pPr>
              <w:pStyle w:val="Compact"/>
              <w:jc w:val="left"/>
            </w:pPr>
            <w:r>
              <w:t xml:space="preserve">2 = Sufficient information can be provided for review by a third party or audit agency; 1 = Limited information; 0 = Cannot be audited</w:t>
            </w:r>
          </w:p>
        </w:tc>
      </w:tr>
    </w:tbl>
    <w:bookmarkEnd w:id="58"/>
    <w:bookmarkStart w:id="59" w:name="Xed63f00dcd2c0e9597d89418f52d66c69a94d07"/>
    <w:p>
      <w:pPr>
        <w:pStyle w:val="3"/>
      </w:pPr>
      <w:r>
        <w:t xml:space="preserve">IV. Hard Indicator 3: Infrastructure Dependency and Vendor Lock-in (Maximum 6 Points)</w:t>
      </w:r>
    </w:p>
    <w:tbl>
      <w:tblPr>
        <w:tblStyle w:val="Table"/>
        <w:tblW w:type="pct" w:w="5000"/>
        <w:tblLook w:firstRow="1" w:lastRow="0" w:firstColumn="0" w:lastColumn="0" w:noHBand="0" w:noVBand="0" w:val="0020"/>
        <w:jc w:val="start"/>
      </w:tblPr>
      <w:tblGrid>
        <w:gridCol w:w="3960"/>
        <w:gridCol w:w="3960"/>
      </w:tblGrid>
      <w:tr>
        <w:trPr>
          <w:tblHeader w:val="true"/>
        </w:trPr>
        <w:tc>
          <w:tcPr/>
          <w:p>
            <w:pPr>
              <w:pStyle w:val="Compact"/>
              <w:jc w:val="left"/>
            </w:pPr>
            <w:r>
              <w:t xml:space="preserve">Sub-Item</w:t>
            </w:r>
          </w:p>
        </w:tc>
        <w:tc>
          <w:tcPr/>
          <w:p>
            <w:pPr>
              <w:pStyle w:val="Compact"/>
              <w:jc w:val="left"/>
            </w:pPr>
            <w:r>
              <w:t xml:space="preserve">Scoring Standard (0–2 Points)</w:t>
            </w:r>
          </w:p>
        </w:tc>
      </w:tr>
      <w:tr>
        <w:tc>
          <w:tcPr/>
          <w:p>
            <w:pPr>
              <w:pStyle w:val="Compact"/>
              <w:jc w:val="left"/>
            </w:pPr>
            <w:r>
              <w:t xml:space="preserve">1. Deployment Location</w:t>
            </w:r>
          </w:p>
        </w:tc>
        <w:tc>
          <w:tcPr/>
          <w:p>
            <w:pPr>
              <w:pStyle w:val="Compact"/>
              <w:jc w:val="left"/>
            </w:pPr>
            <w:r>
              <w:t xml:space="preserve">2 = Clearly localized or on a government cloud; 1 = Mixed or unspecified; 0 = Heavily dependent on an external commercial cloud / proprietary private cloud</w:t>
            </w:r>
          </w:p>
        </w:tc>
      </w:tr>
      <w:tr>
        <w:tc>
          <w:tcPr/>
          <w:p>
            <w:pPr>
              <w:pStyle w:val="Compact"/>
              <w:jc w:val="left"/>
            </w:pPr>
            <w:r>
              <w:t xml:space="preserve">2. Dependency on a Proprietary Platform / API</w:t>
            </w:r>
          </w:p>
        </w:tc>
        <w:tc>
          <w:tcPr/>
          <w:p>
            <w:pPr>
              <w:pStyle w:val="Compact"/>
              <w:jc w:val="left"/>
            </w:pPr>
            <w:r>
              <w:t xml:space="preserve">2 = Primarily uses open-source or general-purpose tools with no critical proprietary API; 1 = Partially dependent; 0 = Core functions depend on a proprietary API</w:t>
            </w:r>
          </w:p>
        </w:tc>
      </w:tr>
      <w:tr>
        <w:tc>
          <w:tcPr/>
          <w:p>
            <w:pPr>
              <w:pStyle w:val="Compact"/>
              <w:jc w:val="left"/>
            </w:pPr>
            <w:r>
              <w:t xml:space="preserve">3. Portability and Offline Capability</w:t>
            </w:r>
          </w:p>
        </w:tc>
        <w:tc>
          <w:tcPr/>
          <w:p>
            <w:pPr>
              <w:pStyle w:val="Compact"/>
              <w:jc w:val="left"/>
            </w:pPr>
            <w:r>
              <w:t xml:space="preserve">2 = Capable of independent offline operation or low switching cost; 1 = Limited capability; 0 = Switching cost is extremely high, or offline operation is impossible</w:t>
            </w:r>
          </w:p>
        </w:tc>
      </w:tr>
    </w:tbl>
    <w:bookmarkEnd w:id="59"/>
    <w:bookmarkStart w:id="60" w:name="v.-composite-mscc-diagnostic-score"/>
    <w:p>
      <w:pPr>
        <w:pStyle w:val="3"/>
      </w:pPr>
      <w:r>
        <w:t xml:space="preserve">V. Composite MSCC Diagnostic Score</w:t>
      </w:r>
    </w:p>
    <w:p>
      <w:pPr>
        <w:pStyle w:val="FirstParagraph"/>
      </w:pPr>
      <w:r>
        <w:rPr>
          <w:bCs/>
          <w:b/>
        </w:rPr>
        <w:t xml:space="preserve">MSCC Diagnostic Score = (Contractual Power Score × 0.4) + (Model Control Score × 0.35) + (Infrastructure Score × 0.25)</w:t>
      </w:r>
    </w:p>
    <w:p>
      <w:pPr>
        <w:pStyle w:val="BodyText"/>
      </w:pPr>
      <w:r>
        <w:t xml:space="preserve">The recommended thresholds are as follows:</w:t>
      </w:r>
    </w:p>
    <w:p>
      <w:pPr>
        <w:numPr>
          <w:ilvl w:val="0"/>
          <w:numId w:val="1014"/>
        </w:numPr>
      </w:pPr>
      <w:r>
        <w:t xml:space="preserve">≥ 6.0: A preliminary determination that the MSCC minimum requirement has been met (low separation).</w:t>
      </w:r>
    </w:p>
    <w:p>
      <w:pPr>
        <w:numPr>
          <w:ilvl w:val="0"/>
          <w:numId w:val="1014"/>
        </w:numPr>
      </w:pPr>
      <w:r>
        <w:t xml:space="preserve">4.0–5.9: An intermediate state, requiring reinforcement of one or more of the contractual, model, or infrastructure hard indicators.</w:t>
      </w:r>
    </w:p>
    <w:p>
      <w:pPr>
        <w:numPr>
          <w:ilvl w:val="0"/>
          <w:numId w:val="1014"/>
        </w:numPr>
      </w:pPr>
      <w:r>
        <w:t xml:space="preserve">&lt; 4.0: High separation risk; the system should not proceed directly to the core exercise of public power, and the procurement and technical architecture should be reviewed as a priority.</w:t>
      </w:r>
    </w:p>
    <w:bookmarkEnd w:id="60"/>
    <w:bookmarkStart w:id="61" w:name="Xc65537192b7e6cb21430b3fd0a61a34b2fa4146"/>
    <w:p>
      <w:pPr>
        <w:pStyle w:val="3"/>
      </w:pPr>
      <w:r>
        <w:t xml:space="preserve">VI. Implementation Recommendations and Limitations</w:t>
      </w:r>
    </w:p>
    <w:p>
      <w:pPr>
        <w:pStyle w:val="FirstParagraph"/>
      </w:pPr>
      <w:r>
        <w:t xml:space="preserve">This scoring tool has a basic version and an advanced version: the basic version can be scored using public documents alone, while the advanced version incorporates internal agency interviews to improve accuracy. It should be noted, however, that public contracts often conceal key clauses, so scores may underestimate the actual degree of separation. In addition, quantitative scoring still leaves room for subjective judgment, and future research should establish an inter-rater reliability check. This scale can serve as a common tool for pre-procurement assessment, ex post audit, and cross-case comparison, but should not replace qualitative analysis of an individual case’s context.</w:t>
      </w:r>
    </w:p>
    <w:bookmarkEnd w:id="61"/>
    <w:bookmarkEnd w:id="62"/>
    <w:bookmarkStart w:id="63" w:name="references"/>
    <w:p>
      <w:pPr>
        <w:pStyle w:val="1"/>
      </w:pPr>
      <w:r>
        <w:t xml:space="preserve">References</w:t>
      </w:r>
    </w:p>
    <w:p>
      <w:pPr>
        <w:pStyle w:val="FirstParagraph"/>
      </w:pPr>
      <w:r>
        <w:t xml:space="preserve">Hsin, N.-F. (2020). Administrative automation and due process of law: Centering on the application of artificial intelligence in administrative procedure [行政自動化與正當法律程序：以人工智慧在行政程序之應用為中心].</w:t>
      </w:r>
      <w:r>
        <w:t xml:space="preserve"> </w:t>
      </w:r>
      <w:r>
        <w:rPr>
          <w:iCs/>
          <w:i/>
        </w:rPr>
        <w:t xml:space="preserve">Soochow Law Review</w:t>
      </w:r>
      <w:r>
        <w:t xml:space="preserve">, 32(2), 45–89.</w:t>
      </w:r>
    </w:p>
    <w:p>
      <w:pPr>
        <w:pStyle w:val="BodyText"/>
      </w:pPr>
      <w:r>
        <w:t xml:space="preserve">Tseng, W.-T. (2022). Algorithmic discretion and administrative guarantee responsibility: On the rule-of-law limits of predictive policing [演算法裁量與行政擔保責任：論預測性警政之法治國界限].</w:t>
      </w:r>
      <w:r>
        <w:t xml:space="preserve"> </w:t>
      </w:r>
      <w:r>
        <w:rPr>
          <w:iCs/>
          <w:i/>
        </w:rPr>
        <w:t xml:space="preserve">NTU Law Journal</w:t>
      </w:r>
      <w:r>
        <w:t xml:space="preserve">, 51(3), 1105–1168.</w:t>
      </w:r>
    </w:p>
    <w:p>
      <w:pPr>
        <w:pStyle w:val="BodyText"/>
      </w:pPr>
      <w:r>
        <w:t xml:space="preserve">Chan, C.-J. (2014). The guarantee responsibility in the joint public-private performance of administrative tasks [公私協同履踐行政任務之擔保責任].</w:t>
      </w:r>
      <w:r>
        <w:t xml:space="preserve"> </w:t>
      </w:r>
      <w:r>
        <w:rPr>
          <w:iCs/>
          <w:i/>
        </w:rPr>
        <w:t xml:space="preserve">Chengchi Law Review</w:t>
      </w:r>
      <w:r>
        <w:t xml:space="preserve">, 138, 1–58.</w:t>
      </w:r>
    </w:p>
    <w:p>
      <w:pPr>
        <w:pStyle w:val="BodyText"/>
      </w:pPr>
      <w:r>
        <w:t xml:space="preserve">Hsiao, N.-Y., &amp; Huang, H.-Y. (2012). A study of IT outsourcing governance mechanisms in government agencies: Integrating control and social perspectives [政府機關資訊外包治理機制之研究：控制觀點與社會觀點之整合].</w:t>
      </w:r>
      <w:r>
        <w:t xml:space="preserve"> </w:t>
      </w:r>
      <w:r>
        <w:rPr>
          <w:iCs/>
          <w:i/>
        </w:rPr>
        <w:t xml:space="preserve">Journal of Public Administration</w:t>
      </w:r>
      <w:r>
        <w:t xml:space="preserve">, 43, 35–78.</w:t>
      </w:r>
    </w:p>
    <w:p>
      <w:pPr>
        <w:pStyle w:val="BodyText"/>
      </w:pPr>
      <w:r>
        <w:t xml:space="preserve">Chen, D.-Y., Huang, T.-Y., &amp; Hsiao, N.-Y. (2016). The application and challenges of big data in public policy [巨量資料在公共政策上的應用與挑戰].</w:t>
      </w:r>
      <w:r>
        <w:t xml:space="preserve"> </w:t>
      </w:r>
      <w:r>
        <w:rPr>
          <w:iCs/>
          <w:i/>
        </w:rPr>
        <w:t xml:space="preserve">Chinese Public Administration Review</w:t>
      </w:r>
      <w:r>
        <w:t xml:space="preserve">, 22(2), 1–28.</w:t>
      </w:r>
    </w:p>
    <w:p>
      <w:pPr>
        <w:pStyle w:val="BodyText"/>
      </w:pPr>
      <w:r>
        <w:t xml:space="preserve">Bovens, M. (2007). Analysing and assessing accountability: A conceptual framework.</w:t>
      </w:r>
      <w:r>
        <w:t xml:space="preserve"> </w:t>
      </w:r>
      <w:r>
        <w:rPr>
          <w:iCs/>
          <w:i/>
        </w:rPr>
        <w:t xml:space="preserve">European Law Journal</w:t>
      </w:r>
      <w:r>
        <w:t xml:space="preserve">, 13(4), 447–468.</w:t>
      </w:r>
    </w:p>
    <w:p>
      <w:pPr>
        <w:pStyle w:val="BodyText"/>
      </w:pPr>
      <w:r>
        <w:t xml:space="preserve">Braithwaite, J. (2008).</w:t>
      </w:r>
      <w:r>
        <w:t xml:space="preserve"> </w:t>
      </w:r>
      <w:r>
        <w:rPr>
          <w:iCs/>
          <w:i/>
        </w:rPr>
        <w:t xml:space="preserve">Regulatory Capitalism: How it Works, Ideas for Making it Work Better</w:t>
      </w:r>
      <w:r>
        <w:t xml:space="preserve">. Edward Elgar Publishing.</w:t>
      </w:r>
    </w:p>
    <w:p>
      <w:pPr>
        <w:pStyle w:val="BodyText"/>
      </w:pPr>
      <w:r>
        <w:t xml:space="preserve">Citron, D. K. (2008). Technological due process.</w:t>
      </w:r>
      <w:r>
        <w:t xml:space="preserve"> </w:t>
      </w:r>
      <w:r>
        <w:rPr>
          <w:iCs/>
          <w:i/>
        </w:rPr>
        <w:t xml:space="preserve">Washington University Law Review</w:t>
      </w:r>
      <w:r>
        <w:t xml:space="preserve">, 85(6), 1249–1313.</w:t>
      </w:r>
    </w:p>
    <w:p>
      <w:pPr>
        <w:pStyle w:val="BodyText"/>
      </w:pPr>
      <w:r>
        <w:t xml:space="preserve">Cobbe, J., Lee, M. S., &amp; Veale, M. (2021). Reviewable automated decision-making: A framework for accountable algorithmic systems.</w:t>
      </w:r>
      <w:r>
        <w:t xml:space="preserve"> </w:t>
      </w:r>
      <w:r>
        <w:rPr>
          <w:iCs/>
          <w:i/>
        </w:rPr>
        <w:t xml:space="preserve">ACM Conference on Fairness, Accountability, and Transparency (FAccT ’21)</w:t>
      </w:r>
      <w:r>
        <w:t xml:space="preserve">, 598–609.</w:t>
      </w:r>
    </w:p>
    <w:p>
      <w:pPr>
        <w:pStyle w:val="BodyText"/>
      </w:pPr>
      <w:r>
        <w:t xml:space="preserve">Coglianese, C., &amp; Lehr, D. (2017). Regulating by robot: Administrative decision making in the machine-learning era.</w:t>
      </w:r>
      <w:r>
        <w:t xml:space="preserve"> </w:t>
      </w:r>
      <w:r>
        <w:rPr>
          <w:iCs/>
          <w:i/>
        </w:rPr>
        <w:t xml:space="preserve">Georgetown Law Journal</w:t>
      </w:r>
      <w:r>
        <w:t xml:space="preserve">, 105(5), 1147–1223.</w:t>
      </w:r>
    </w:p>
    <w:p>
      <w:pPr>
        <w:pStyle w:val="BodyText"/>
      </w:pPr>
      <w:r>
        <w:t xml:space="preserve">Dorf, M. C., &amp; Sabel, C. F. (1998). A constitution of democratic experimentalism.</w:t>
      </w:r>
      <w:r>
        <w:t xml:space="preserve"> </w:t>
      </w:r>
      <w:r>
        <w:rPr>
          <w:iCs/>
          <w:i/>
        </w:rPr>
        <w:t xml:space="preserve">Columbia Law Review</w:t>
      </w:r>
      <w:r>
        <w:t xml:space="preserve">, 98(2), 267–473.</w:t>
      </w:r>
    </w:p>
    <w:p>
      <w:pPr>
        <w:pStyle w:val="BodyText"/>
      </w:pPr>
      <w:r>
        <w:t xml:space="preserve">Elish, M. C. (2019). Moral crumple zones: Cautionary tales in human-robot interaction.</w:t>
      </w:r>
      <w:r>
        <w:t xml:space="preserve"> </w:t>
      </w:r>
      <w:r>
        <w:rPr>
          <w:iCs/>
          <w:i/>
        </w:rPr>
        <w:t xml:space="preserve">Engaging Science, Technology, and Society</w:t>
      </w:r>
      <w:r>
        <w:t xml:space="preserve">, 5, 40–60.</w:t>
      </w:r>
    </w:p>
    <w:p>
      <w:pPr>
        <w:pStyle w:val="BodyText"/>
      </w:pPr>
      <w:r>
        <w:t xml:space="preserve">Koppell, G. S. (2005). Pathologies of accountability: ICANN and the challenge of</w:t>
      </w:r>
      <w:r>
        <w:t xml:space="preserve"> </w:t>
      </w:r>
      <w:r>
        <w:t xml:space="preserve">“</w:t>
      </w:r>
      <w:r>
        <w:t xml:space="preserve">multiple accountabilities disorder.</w:t>
      </w:r>
      <w:r>
        <w:t xml:space="preserve">”</w:t>
      </w:r>
      <w:r>
        <w:t xml:space="preserve"> </w:t>
      </w:r>
      <w:r>
        <w:rPr>
          <w:iCs/>
          <w:i/>
        </w:rPr>
        <w:t xml:space="preserve">Public Administration Review</w:t>
      </w:r>
      <w:r>
        <w:t xml:space="preserve">, 65(1), 94–108.</w:t>
      </w:r>
    </w:p>
    <w:p>
      <w:pPr>
        <w:pStyle w:val="BodyText"/>
      </w:pPr>
      <w:r>
        <w:t xml:space="preserve">Pasquale, F. (2015).</w:t>
      </w:r>
      <w:r>
        <w:t xml:space="preserve"> </w:t>
      </w:r>
      <w:r>
        <w:rPr>
          <w:iCs/>
          <w:i/>
        </w:rPr>
        <w:t xml:space="preserve">The Black Box Society: The Secret Algorithms That Control Money and Information</w:t>
      </w:r>
      <w:r>
        <w:t xml:space="preserve">. Harvard University Press.</w:t>
      </w:r>
    </w:p>
    <w:p>
      <w:pPr>
        <w:pStyle w:val="BodyText"/>
      </w:pPr>
      <w:r>
        <w:t xml:space="preserve">Veale, M., &amp; Brass, I. (2019). Administration by algorithm: Public management meets public sector machine learning. In</w:t>
      </w:r>
      <w:r>
        <w:t xml:space="preserve"> </w:t>
      </w:r>
      <w:r>
        <w:rPr>
          <w:iCs/>
          <w:i/>
        </w:rPr>
        <w:t xml:space="preserve">Algorithms and the Law</w:t>
      </w:r>
      <w:r>
        <w:t xml:space="preserve"> </w:t>
      </w:r>
      <w:r>
        <w:t xml:space="preserve">(pp. 121–149). Cambridge University Press.</w:t>
      </w:r>
    </w:p>
    <w:p>
      <w:pPr>
        <w:pStyle w:val="BodyText"/>
      </w:pPr>
      <w:r>
        <w:t xml:space="preserve">Veale, M., Marda, V., &amp; Xiang, A. (2023). Public sector AI procurement and the architecture of algorithmic governance.</w:t>
      </w:r>
      <w:r>
        <w:t xml:space="preserve"> </w:t>
      </w:r>
      <w:r>
        <w:rPr>
          <w:iCs/>
          <w:i/>
        </w:rPr>
        <w:t xml:space="preserve">Regulation &amp; Governance</w:t>
      </w:r>
      <w:r>
        <w:t xml:space="preserve">, 17(2), 345–367.</w:t>
      </w:r>
    </w:p>
    <w:p>
      <w:pPr>
        <w:pStyle w:val="BodyText"/>
      </w:pPr>
      <w:r>
        <w:t xml:space="preserve">Wachter, S., Mittelstadt, B., &amp; Russell, C. (2017). Counterfactual explanations without opening the black box: Automated decisions and the GDPR.</w:t>
      </w:r>
      <w:r>
        <w:t xml:space="preserve"> </w:t>
      </w:r>
      <w:r>
        <w:rPr>
          <w:iCs/>
          <w:i/>
        </w:rPr>
        <w:t xml:space="preserve">Harvard Journal of Law &amp; Technology</w:t>
      </w:r>
      <w:r>
        <w:t xml:space="preserve">, 31(2), 841–887.</w:t>
      </w:r>
    </w:p>
    <w:bookmarkEnd w:id="63"/>
    <w:sectPr w:rsidR="00046118">
      <w:pgSz w:h="16838" w:w="11906"/>
      <w:pgMar w:bottom="1440" w:footer="992" w:gutter="0" w:header="851" w:left="1800" w:right="180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cid="http://schemas.microsoft.com/office/word/2016/wordml/cid"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p14">
  <w:abstractNum w15:restartNumberingAfterBreak="0" w:abstractNumId="0">
    <w:nsid w:val="611E0B84"/>
    <w:multiLevelType w:val="hybridMultilevel"/>
    <w:tmpl w:val="16F4006C"/>
    <w:lvl w:ilvl="0" w:tplc="9F1A2648">
      <w:start w:val="1"/>
      <w:numFmt w:val="bullet"/>
      <w:lvlText w:val="●"/>
      <w:lvlJc w:val="left"/>
      <w:pPr>
        <w:ind w:hanging="360" w:left="720"/>
      </w:pPr>
    </w:lvl>
    <w:lvl w:ilvl="1" w:tplc="23C6DE8E">
      <w:start w:val="1"/>
      <w:numFmt w:val="bullet"/>
      <w:lvlText w:val="○"/>
      <w:lvlJc w:val="left"/>
      <w:pPr>
        <w:ind w:hanging="360" w:left="1440"/>
      </w:pPr>
    </w:lvl>
    <w:lvl w:ilvl="2" w:tplc="7E24A9BA">
      <w:start w:val="1"/>
      <w:numFmt w:val="bullet"/>
      <w:lvlText w:val="■"/>
      <w:lvlJc w:val="left"/>
      <w:pPr>
        <w:ind w:hanging="360" w:left="2160"/>
      </w:pPr>
    </w:lvl>
    <w:lvl w:ilvl="3" w:tplc="C9E29E90">
      <w:start w:val="1"/>
      <w:numFmt w:val="bullet"/>
      <w:lvlText w:val="●"/>
      <w:lvlJc w:val="left"/>
      <w:pPr>
        <w:ind w:hanging="360" w:left="2880"/>
      </w:pPr>
    </w:lvl>
    <w:lvl w:ilvl="4" w:tplc="73421092">
      <w:start w:val="1"/>
      <w:numFmt w:val="bullet"/>
      <w:lvlText w:val="○"/>
      <w:lvlJc w:val="left"/>
      <w:pPr>
        <w:ind w:hanging="360" w:left="3600"/>
      </w:pPr>
    </w:lvl>
    <w:lvl w:ilvl="5" w:tplc="24C887DA">
      <w:start w:val="1"/>
      <w:numFmt w:val="bullet"/>
      <w:lvlText w:val="■"/>
      <w:lvlJc w:val="left"/>
      <w:pPr>
        <w:ind w:hanging="360" w:left="4320"/>
      </w:pPr>
    </w:lvl>
    <w:lvl w:ilvl="6" w:tplc="18D4E5A0">
      <w:start w:val="1"/>
      <w:numFmt w:val="bullet"/>
      <w:lvlText w:val="●"/>
      <w:lvlJc w:val="left"/>
      <w:pPr>
        <w:ind w:hanging="360" w:left="5040"/>
      </w:pPr>
    </w:lvl>
    <w:lvl w:ilvl="7" w:tplc="E1F89C4E">
      <w:start w:val="1"/>
      <w:numFmt w:val="bullet"/>
      <w:lvlText w:val="●"/>
      <w:lvlJc w:val="left"/>
      <w:pPr>
        <w:ind w:hanging="360" w:left="5760"/>
      </w:pPr>
    </w:lvl>
    <w:lvl w:ilvl="8" w:tplc="EEA8537A">
      <w:start w:val="1"/>
      <w:numFmt w:val="bullet"/>
      <w:lvlText w:val="●"/>
      <w:lvlJc w:val="left"/>
      <w:pPr>
        <w:ind w:hanging="360" w:left="6480"/>
      </w:p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612">
    <w:nsid w:val="A99612"/>
    <w:multiLevelType w:val="multilevel"/>
    <w:lvl w:ilvl="0">
      <w:start w:val="2"/>
      <w:numFmt w:val="upperRoman"/>
      <w:lvlText w:val="%1."/>
      <w:lvlJc w:val="left"/>
      <w:pPr>
        <w:ind w:left="720" w:hanging="480"/>
      </w:pPr>
    </w:lvl>
    <w:lvl w:ilvl="1">
      <w:start w:val="2"/>
      <w:numFmt w:val="upperRoman"/>
      <w:lvlText w:val="%2."/>
      <w:lvlJc w:val="left"/>
      <w:pPr>
        <w:ind w:left="1440" w:hanging="480"/>
      </w:pPr>
    </w:lvl>
    <w:lvl w:ilvl="2">
      <w:start w:val="2"/>
      <w:numFmt w:val="upperRoman"/>
      <w:lvlText w:val="%3."/>
      <w:lvlJc w:val="left"/>
      <w:pPr>
        <w:ind w:left="2160" w:hanging="480"/>
      </w:pPr>
    </w:lvl>
    <w:lvl w:ilvl="3">
      <w:start w:val="2"/>
      <w:numFmt w:val="upperRoman"/>
      <w:lvlText w:val="%4."/>
      <w:lvlJc w:val="left"/>
      <w:pPr>
        <w:ind w:left="2880" w:hanging="480"/>
      </w:pPr>
    </w:lvl>
    <w:lvl w:ilvl="4">
      <w:start w:val="2"/>
      <w:numFmt w:val="upperRoman"/>
      <w:lvlText w:val="%5."/>
      <w:lvlJc w:val="left"/>
      <w:pPr>
        <w:ind w:left="3600" w:hanging="480"/>
      </w:pPr>
    </w:lvl>
    <w:lvl w:ilvl="5">
      <w:start w:val="2"/>
      <w:numFmt w:val="upperRoman"/>
      <w:lvlText w:val="%6."/>
      <w:lvlJc w:val="left"/>
      <w:pPr>
        <w:ind w:left="4320" w:hanging="480"/>
      </w:pPr>
    </w:lvl>
    <w:lvl w:ilvl="6">
      <w:start w:val="2"/>
      <w:numFmt w:val="upperRoman"/>
      <w:lvlText w:val="%7."/>
      <w:lvlJc w:val="left"/>
      <w:pPr>
        <w:ind w:left="5040" w:hanging="480"/>
      </w:pPr>
    </w:lvl>
    <w:lvl w:ilvl="7">
      <w:start w:val="2"/>
      <w:numFmt w:val="upperRoman"/>
      <w:lvlText w:val="%8."/>
      <w:lvlJc w:val="left"/>
      <w:pPr>
        <w:ind w:left="5760" w:hanging="480"/>
      </w:pPr>
    </w:lvl>
    <w:lvl w:ilvl="8">
      <w:start w:val="2"/>
      <w:numFmt w:val="upperRoman"/>
      <w:lvlText w:val="%9."/>
      <w:lvlJc w:val="left"/>
      <w:pPr>
        <w:ind w:left="6480" w:hanging="480"/>
      </w:pPr>
    </w:lvl>
  </w:abstractNum>
  <w:num w:numId="1">
    <w:abstractNumId w:val="0"/>
    <w:lvlOverride w:ilvl="0">
      <w:startOverride w:val="1"/>
    </w:lvlOverride>
  </w: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6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48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eastAsia="zh-TW"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cs="Times New Roman" w:eastAsia="新細明體" w:hAnsi="Times New Roman"/>
        <w:sz w:val="24"/>
        <w:szCs w:val="24"/>
        <w:lang w:bidi="ar-SA" w:eastAsia="zh-TW" w:val="en-US"/>
      </w:rPr>
    </w:rPrDefault>
    <w:pPrDefault/>
  </w:docDefaults>
  <w:latentStyles w:count="375"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default="1" w:styleId="a" w:type="paragraph">
    <w:name w:val="Normal"/>
    <w:qFormat/>
    <w:pPr>
      <w:widowControl w:val="0"/>
    </w:pPr>
  </w:style>
  <w:style w:styleId="1" w:type="paragraph">
    <w:name w:val="heading 1"/>
    <w:uiPriority w:val="9"/>
    <w:qFormat/>
    <w:pPr>
      <w:spacing w:after="240" w:before="240"/>
      <w:outlineLvl w:val="0"/>
    </w:pPr>
    <w:rPr>
      <w:b/>
      <w:bCs/>
      <w:color w:val="1F3864"/>
      <w:sz w:val="32"/>
      <w:szCs w:val="32"/>
    </w:rPr>
  </w:style>
  <w:style w:styleId="2" w:type="paragraph">
    <w:name w:val="heading 2"/>
    <w:uiPriority w:val="9"/>
    <w:unhideWhenUsed/>
    <w:qFormat/>
    <w:pPr>
      <w:spacing w:after="200" w:before="280"/>
      <w:outlineLvl w:val="1"/>
    </w:pPr>
    <w:rPr>
      <w:b/>
      <w:bCs/>
      <w:color w:val="1F3864"/>
      <w:sz w:val="28"/>
      <w:szCs w:val="28"/>
    </w:rPr>
  </w:style>
  <w:style w:styleId="3" w:type="paragraph">
    <w:name w:val="heading 3"/>
    <w:uiPriority w:val="9"/>
    <w:unhideWhenUsed/>
    <w:qFormat/>
    <w:pPr>
      <w:spacing w:after="160" w:before="240"/>
      <w:outlineLvl w:val="2"/>
    </w:pPr>
    <w:rPr>
      <w:b/>
      <w:bCs/>
      <w:sz w:val="26"/>
      <w:szCs w:val="26"/>
    </w:rPr>
  </w:style>
  <w:style w:styleId="4" w:type="paragraph">
    <w:name w:val="heading 4"/>
    <w:uiPriority w:val="9"/>
    <w:semiHidden/>
    <w:unhideWhenUsed/>
    <w:qFormat/>
    <w:pPr>
      <w:outlineLvl w:val="3"/>
    </w:pPr>
    <w:rPr>
      <w:i/>
      <w:iCs/>
      <w:color w:val="2E74B5"/>
    </w:rPr>
  </w:style>
  <w:style w:styleId="5" w:type="paragraph">
    <w:name w:val="heading 5"/>
    <w:uiPriority w:val="9"/>
    <w:semiHidden/>
    <w:unhideWhenUsed/>
    <w:qFormat/>
    <w:pPr>
      <w:outlineLvl w:val="4"/>
    </w:pPr>
    <w:rPr>
      <w:color w:val="2E74B5"/>
    </w:rPr>
  </w:style>
  <w:style w:styleId="6" w:type="paragraph">
    <w:name w:val="heading 6"/>
    <w:uiPriority w:val="9"/>
    <w:semiHidden/>
    <w:unhideWhenUsed/>
    <w:qFormat/>
    <w:pPr>
      <w:outlineLvl w:val="5"/>
    </w:pPr>
    <w:rPr>
      <w:color w:val="1F4D78"/>
    </w:rPr>
  </w:style>
  <w:style w:default="1" w:styleId="a0" w:type="character">
    <w:name w:val="Default Paragraph Font"/>
    <w:uiPriority w:val="1"/>
    <w:semiHidden/>
    <w:unhideWhenUsed/>
  </w:style>
  <w:style w:default="1" w:styleId="a1" w:type="table">
    <w:name w:val="Normal Table"/>
    <w:uiPriority w:val="99"/>
    <w:semiHidden/>
    <w:unhideWhenUsed/>
    <w:tblPr>
      <w:tblInd w:type="dxa" w:w="0"/>
      <w:tblCellMar>
        <w:top w:type="dxa" w:w="0"/>
        <w:left w:type="dxa" w:w="108"/>
        <w:bottom w:type="dxa" w:w="0"/>
        <w:right w:type="dxa" w:w="108"/>
      </w:tblCellMar>
    </w:tblPr>
  </w:style>
  <w:style w:default="1" w:styleId="a2" w:type="numbering">
    <w:name w:val="No List"/>
    <w:uiPriority w:val="99"/>
    <w:semiHidden/>
    <w:unhideWhenUsed/>
  </w:style>
  <w:style w:styleId="a3" w:type="paragraph">
    <w:name w:val="Title"/>
    <w:uiPriority w:val="10"/>
    <w:qFormat/>
    <w:rPr>
      <w:sz w:val="56"/>
      <w:szCs w:val="56"/>
    </w:rPr>
  </w:style>
  <w:style w:customStyle="1" w:styleId="10" w:type="paragraph">
    <w:name w:val="強調粗體1"/>
    <w:qFormat/>
    <w:rPr>
      <w:b/>
      <w:bCs/>
    </w:rPr>
  </w:style>
  <w:style w:styleId="a4" w:type="paragraph">
    <w:name w:val="List Paragraph"/>
    <w:qFormat/>
  </w:style>
  <w:style w:styleId="a5" w:type="character">
    <w:name w:val="Hyperlink"/>
    <w:uiPriority w:val="99"/>
    <w:unhideWhenUsed/>
    <w:rPr>
      <w:color w:val="0563C1"/>
      <w:u w:val="single"/>
    </w:rPr>
  </w:style>
  <w:style w:styleId="a6" w:type="character">
    <w:name w:val="footnote reference"/>
    <w:uiPriority w:val="99"/>
    <w:semiHidden/>
    <w:unhideWhenUsed/>
    <w:rPr>
      <w:vertAlign w:val="superscript"/>
    </w:rPr>
  </w:style>
  <w:style w:styleId="a7" w:type="paragraph">
    <w:name w:val="footnote text"/>
    <w:link w:val="a8"/>
    <w:uiPriority w:val="99"/>
    <w:semiHidden/>
    <w:unhideWhenUsed/>
    <w:rPr>
      <w:sz w:val="20"/>
      <w:szCs w:val="20"/>
    </w:rPr>
  </w:style>
  <w:style w:customStyle="1" w:styleId="a8" w:type="character">
    <w:name w:val="註腳文字 字元"/>
    <w:link w:val="a7"/>
    <w:uiPriority w:val="99"/>
    <w:semiHidden/>
    <w:unhideWhenUsed/>
    <w:rPr>
      <w:sz w:val="20"/>
      <w:szCs w:val="20"/>
    </w:rPr>
  </w:style>
  <w:style w:styleId="a9" w:type="character">
    <w:name w:val="endnote reference"/>
    <w:uiPriority w:val="99"/>
    <w:semiHidden/>
    <w:unhideWhenUsed/>
    <w:rPr>
      <w:vertAlign w:val="superscript"/>
    </w:rPr>
  </w:style>
  <w:style w:styleId="aa" w:type="paragraph">
    <w:name w:val="endnote text"/>
    <w:link w:val="ab"/>
    <w:uiPriority w:val="99"/>
    <w:semiHidden/>
    <w:unhideWhenUsed/>
    <w:rPr>
      <w:sz w:val="20"/>
      <w:szCs w:val="20"/>
    </w:rPr>
  </w:style>
  <w:style w:customStyle="1" w:styleId="ab" w:type="character">
    <w:name w:val="章節附註文字 字元"/>
    <w:link w:val="aa"/>
    <w:uiPriority w:val="99"/>
    <w:semiHidden/>
    <w:unhideWhenUsed/>
    <w:rPr>
      <w:sz w:val="20"/>
      <w:szCs w:val="20"/>
    </w:rPr>
  </w:style>
  <w:style w:styleId="11" w:type="paragraph">
    <w:name w:val="toc 1"/>
    <w:basedOn w:val="a"/>
    <w:next w:val="a"/>
    <w:autoRedefine/>
    <w:uiPriority w:val="39"/>
    <w:unhideWhenUsed/>
    <w:rsid w:val="000C61C3"/>
  </w:style>
  <w:style w:styleId="20" w:type="paragraph">
    <w:name w:val="toc 2"/>
    <w:basedOn w:val="a"/>
    <w:next w:val="a"/>
    <w:autoRedefine/>
    <w:uiPriority w:val="39"/>
    <w:unhideWhenUsed/>
    <w:rsid w:val="000C61C3"/>
    <w:pPr>
      <w:ind w:left="480" w:leftChars="200"/>
    </w:pPr>
  </w:style>
  <w:style w:styleId="30" w:type="paragraph">
    <w:name w:val="toc 3"/>
    <w:basedOn w:val="a"/>
    <w:next w:val="a"/>
    <w:autoRedefine/>
    <w:uiPriority w:val="39"/>
    <w:unhideWhenUsed/>
    <w:rsid w:val="000C61C3"/>
    <w:pPr>
      <w:ind w:left="960" w:leftChars="400"/>
    </w:pPr>
  </w:style>
  <w:style w:styleId="ac" w:type="paragraph">
    <w:name w:val="header"/>
    <w:basedOn w:val="a"/>
    <w:link w:val="ad"/>
    <w:uiPriority w:val="99"/>
    <w:unhideWhenUsed/>
    <w:rsid w:val="000C61C3"/>
    <w:pPr>
      <w:tabs>
        <w:tab w:pos="4153" w:val="center"/>
        <w:tab w:pos="8306" w:val="right"/>
      </w:tabs>
      <w:snapToGrid w:val="0"/>
    </w:pPr>
    <w:rPr>
      <w:sz w:val="20"/>
      <w:szCs w:val="20"/>
    </w:rPr>
  </w:style>
  <w:style w:customStyle="1" w:styleId="ad" w:type="character">
    <w:name w:val="頁首 字元"/>
    <w:basedOn w:val="a0"/>
    <w:link w:val="ac"/>
    <w:uiPriority w:val="99"/>
    <w:rsid w:val="000C61C3"/>
    <w:rPr>
      <w:sz w:val="20"/>
      <w:szCs w:val="20"/>
    </w:rPr>
  </w:style>
  <w:style w:styleId="ae" w:type="paragraph">
    <w:name w:val="footer"/>
    <w:basedOn w:val="a"/>
    <w:link w:val="af"/>
    <w:uiPriority w:val="99"/>
    <w:unhideWhenUsed/>
    <w:rsid w:val="000C61C3"/>
    <w:pPr>
      <w:tabs>
        <w:tab w:pos="4153" w:val="center"/>
        <w:tab w:pos="8306" w:val="right"/>
      </w:tabs>
      <w:snapToGrid w:val="0"/>
    </w:pPr>
    <w:rPr>
      <w:sz w:val="20"/>
      <w:szCs w:val="20"/>
    </w:rPr>
  </w:style>
  <w:style w:customStyle="1" w:styleId="af" w:type="character">
    <w:name w:val="頁尾 字元"/>
    <w:basedOn w:val="a0"/>
    <w:link w:val="ae"/>
    <w:uiPriority w:val="99"/>
    <w:rsid w:val="000C61C3"/>
    <w:rPr>
      <w:sz w:val="20"/>
      <w:szCs w:val="20"/>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9057</Words>
  <Characters>51716</Characters>
  <Application>Microsoft Office Word</Application>
  <DocSecurity>2</DocSecurity>
  <Lines>1077</Lines>
  <Paragraphs>368</Paragraphs>
  <ScaleCrop>false</ScaleCrop>
  <Company/>
  <LinksUpToDate>false</LinksUpToDate>
  <CharactersWithSpaces>60405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2026-08-20T10:24:27Z</dcterms:created>
  <dcterms:modified xsi:type="dcterms:W3CDTF">2026-08-20T10:24:27Z</dcterms:modified>
</cp:coreProperties>
</file>

<file path=docProps/custom.xml><?xml version="1.0" encoding="utf-8"?>
<Properties xmlns="http://schemas.openxmlformats.org/officeDocument/2006/custom-properties" xmlns:vt="http://schemas.openxmlformats.org/officeDocument/2006/docPropsVTypes"/>
</file>