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3C4" w:rsidRDefault="003542FA">
      <w:pPr>
        <w:spacing w:after="80"/>
        <w:jc w:val="center"/>
      </w:pPr>
      <w:bookmarkStart w:id="0" w:name="_GoBack"/>
      <w:proofErr w:type="spellStart"/>
      <w:r>
        <w:rPr>
          <w:rFonts w:eastAsia="Times New Roman"/>
          <w:b/>
          <w:bCs/>
          <w:sz w:val="32"/>
          <w:szCs w:val="32"/>
        </w:rPr>
        <w:t>公共行政學如何吸收技術變遷</w:t>
      </w:r>
      <w:proofErr w:type="spellEnd"/>
      <w:r>
        <w:rPr>
          <w:rFonts w:eastAsia="Times New Roman"/>
          <w:b/>
          <w:bCs/>
          <w:sz w:val="32"/>
          <w:szCs w:val="32"/>
        </w:rPr>
        <w:t>：</w:t>
      </w:r>
    </w:p>
    <w:p w:rsidR="002C53C4" w:rsidRDefault="003542FA">
      <w:pPr>
        <w:spacing w:after="360"/>
        <w:jc w:val="center"/>
        <w:rPr>
          <w:rFonts w:eastAsia="Times New Roman"/>
          <w:b/>
          <w:bCs/>
          <w:sz w:val="32"/>
          <w:szCs w:val="32"/>
        </w:rPr>
      </w:pPr>
      <w:proofErr w:type="spellStart"/>
      <w:r>
        <w:rPr>
          <w:rFonts w:eastAsia="Times New Roman"/>
          <w:b/>
          <w:bCs/>
          <w:sz w:val="32"/>
          <w:szCs w:val="32"/>
        </w:rPr>
        <w:t>典範文獻、壓力測試與未吸收的異常</w:t>
      </w:r>
      <w:proofErr w:type="spellEnd"/>
    </w:p>
    <w:bookmarkEnd w:id="0"/>
    <w:p w:rsidR="00CE2D92" w:rsidRDefault="00CE2D92">
      <w:pPr>
        <w:spacing w:after="360"/>
        <w:jc w:val="center"/>
        <w:rPr>
          <w:rFonts w:hint="eastAsia"/>
        </w:rPr>
      </w:pPr>
      <w:r>
        <w:rPr>
          <w:rFonts w:hint="eastAsia"/>
        </w:rPr>
        <w:t>盧建旭</w:t>
      </w:r>
      <w:r>
        <w:rPr>
          <w:rFonts w:hint="eastAsia"/>
        </w:rPr>
        <w:t xml:space="preserve"> </w:t>
      </w:r>
      <w:proofErr w:type="spellStart"/>
      <w:r>
        <w:rPr>
          <w:rFonts w:hint="eastAsia"/>
        </w:rPr>
        <w:t>lancelot</w:t>
      </w:r>
      <w:proofErr w:type="spellEnd"/>
      <w:r>
        <w:t xml:space="preserve"> </w:t>
      </w:r>
      <w:r>
        <w:rPr>
          <w:rFonts w:hint="eastAsia"/>
        </w:rPr>
        <w:t>Lu</w:t>
      </w:r>
    </w:p>
    <w:p w:rsidR="002C53C4" w:rsidRDefault="003542FA">
      <w:pPr>
        <w:spacing w:after="120" w:line="360" w:lineRule="auto"/>
        <w:jc w:val="both"/>
      </w:pPr>
      <w:proofErr w:type="spellStart"/>
      <w:r>
        <w:rPr>
          <w:rFonts w:eastAsia="Times New Roman"/>
          <w:b/>
          <w:bCs/>
        </w:rPr>
        <w:t>摘要</w:t>
      </w:r>
      <w:proofErr w:type="spellEnd"/>
    </w:p>
    <w:p w:rsidR="002C53C4" w:rsidRDefault="003542FA">
      <w:pPr>
        <w:spacing w:after="120" w:line="360" w:lineRule="auto"/>
        <w:jc w:val="both"/>
      </w:pPr>
      <w:r>
        <w:rPr>
          <w:rFonts w:eastAsia="Times New Roman"/>
        </w:rPr>
        <w:t xml:space="preserve">公共行政學一直是靠層級節制、契約、組織重組與人類監督，把技術複雜性收編進既有的控制架構裡。本文系統回顧三個主要行政典範——古典公共行政、新公共管理（NPM）、數位時代治理（Digital-Era Governance, </w:t>
      </w:r>
      <w:r>
        <w:rPr>
          <w:rFonts w:eastAsia="Times New Roman"/>
        </w:rPr>
        <w:t>DEG）——加上當代演算法治理研究，看它們怎麼處理技術、外包、數位系統與演算法進入行政體系這件事。分析顯示：這些理論全都預設「公法責任位置」和「實質控制位置」本來就該重合，就算分開了，也能靠治理工具重新對齊。本文對這四套文獻做同一套壓力測試：當兩個位置結構性分離時，既有機制真的能讓公共權威恢復實質控制嗎？結果是：不能，頂多修一半。每一套理論都只能提供部分修復，沒有一套講清楚實質控制要恢復到什麼程度才算數。當前的治理困境，不是演算法黑箱造成的技術問題，而是制度設計本身的「權威與能力斷裂」——公法體系要求政府對</w:t>
      </w:r>
      <w:r>
        <w:rPr>
          <w:rFonts w:eastAsia="Times New Roman"/>
        </w:rPr>
        <w:t>行政處分負最終責任，但技術運作的實質控制權早已下沉、鎖進外部的演算法基礎設施裡。本文因此定位兩個由未吸收異常所逼出的理論缺口，但不提出解答。</w:t>
      </w:r>
    </w:p>
    <w:p w:rsidR="002C53C4" w:rsidRDefault="003542FA">
      <w:pPr>
        <w:spacing w:after="120" w:line="360" w:lineRule="auto"/>
        <w:jc w:val="both"/>
      </w:pPr>
      <w:proofErr w:type="spellStart"/>
      <w:r>
        <w:rPr>
          <w:rFonts w:eastAsia="Times New Roman"/>
          <w:b/>
          <w:bCs/>
        </w:rPr>
        <w:t>關鍵詞：</w:t>
      </w:r>
      <w:r>
        <w:rPr>
          <w:rFonts w:eastAsia="Times New Roman"/>
        </w:rPr>
        <w:t>公共行政典範、新公共管理、數位時代治理、演算法治理、公法責任、責任位置、控制位置、結構性分離、實質控制、理論異常</w:t>
      </w:r>
      <w:proofErr w:type="spellEnd"/>
    </w:p>
    <w:p w:rsidR="002C53C4" w:rsidRDefault="003542FA">
      <w:pPr>
        <w:pStyle w:val="1"/>
      </w:pPr>
      <w:proofErr w:type="spellStart"/>
      <w:r>
        <w:t>一、引言</w:t>
      </w:r>
      <w:proofErr w:type="spellEnd"/>
    </w:p>
    <w:p w:rsidR="002C53C4" w:rsidRDefault="003542FA">
      <w:pPr>
        <w:spacing w:after="120" w:line="360" w:lineRule="auto"/>
        <w:jc w:val="both"/>
      </w:pPr>
      <w:r>
        <w:rPr>
          <w:rFonts w:eastAsia="Times New Roman"/>
        </w:rPr>
        <w:t>公共行政學的核心問題一直沒變：國家要如何組織權力，讓行政行動可以被指揮、監督、課責。技術變遷——從檔案系統、資訊科技、外包契約到演算法決策——不斷在挑戰這個問題的答案。既有文獻大多強調技術怎麼提升效率、怎麼重組流程，卻很少回頭問：各套理論</w:t>
      </w:r>
      <w:r>
        <w:rPr>
          <w:rFonts w:eastAsia="Times New Roman"/>
        </w:rPr>
        <w:t>對「技術進入行政體系後，控制與責任該如何重新配置」，到底抱持哪些從沒被檢驗過的基本假定？</w:t>
      </w:r>
    </w:p>
    <w:p w:rsidR="002C53C4" w:rsidRDefault="003542FA">
      <w:pPr>
        <w:spacing w:after="120" w:line="360" w:lineRule="auto"/>
        <w:jc w:val="both"/>
      </w:pPr>
      <w:proofErr w:type="spellStart"/>
      <w:r>
        <w:rPr>
          <w:rFonts w:eastAsia="Times New Roman"/>
        </w:rPr>
        <w:t>本文不預設「AI已經造成典範轉移</w:t>
      </w:r>
      <w:proofErr w:type="spellEnd"/>
      <w:r>
        <w:rPr>
          <w:rFonts w:eastAsia="Times New Roman"/>
        </w:rPr>
        <w:t>」，</w:t>
      </w:r>
      <w:proofErr w:type="spellStart"/>
      <w:r>
        <w:rPr>
          <w:rFonts w:eastAsia="Times New Roman"/>
        </w:rPr>
        <w:t>也不急著提出新概念。任務嚴格限定在這條路</w:t>
      </w:r>
      <w:r>
        <w:rPr>
          <w:rFonts w:eastAsia="Times New Roman"/>
        </w:rPr>
        <w:lastRenderedPageBreak/>
        <w:t>徑上</w:t>
      </w:r>
      <w:proofErr w:type="spellEnd"/>
      <w:r>
        <w:rPr>
          <w:rFonts w:eastAsia="Times New Roman"/>
        </w:rPr>
        <w:t>：</w:t>
      </w:r>
    </w:p>
    <w:p w:rsidR="002C53C4" w:rsidRDefault="003542FA">
      <w:pPr>
        <w:spacing w:after="120" w:line="360" w:lineRule="auto"/>
        <w:jc w:val="both"/>
      </w:pPr>
      <w:proofErr w:type="spellStart"/>
      <w:r>
        <w:rPr>
          <w:rFonts w:eastAsia="Times New Roman"/>
          <w:b/>
          <w:bCs/>
        </w:rPr>
        <w:t>典範文獻</w:t>
      </w:r>
      <w:proofErr w:type="spellEnd"/>
      <w:r>
        <w:rPr>
          <w:rFonts w:eastAsia="Times New Roman"/>
          <w:b/>
          <w:bCs/>
        </w:rPr>
        <w:t xml:space="preserve"> → </w:t>
      </w:r>
      <w:proofErr w:type="spellStart"/>
      <w:r>
        <w:rPr>
          <w:rFonts w:eastAsia="Times New Roman"/>
          <w:b/>
          <w:bCs/>
        </w:rPr>
        <w:t>典範壓力測試</w:t>
      </w:r>
      <w:proofErr w:type="spellEnd"/>
      <w:r>
        <w:rPr>
          <w:rFonts w:eastAsia="Times New Roman"/>
          <w:b/>
          <w:bCs/>
        </w:rPr>
        <w:t xml:space="preserve"> → </w:t>
      </w:r>
      <w:proofErr w:type="spellStart"/>
      <w:r>
        <w:rPr>
          <w:rFonts w:eastAsia="Times New Roman"/>
          <w:b/>
          <w:bCs/>
        </w:rPr>
        <w:t>未吸收的異常</w:t>
      </w:r>
      <w:proofErr w:type="spellEnd"/>
      <w:r>
        <w:rPr>
          <w:rFonts w:eastAsia="Times New Roman"/>
          <w:b/>
          <w:bCs/>
        </w:rPr>
        <w:t xml:space="preserve"> → </w:t>
      </w:r>
      <w:proofErr w:type="spellStart"/>
      <w:r>
        <w:rPr>
          <w:rFonts w:eastAsia="Times New Roman"/>
          <w:b/>
          <w:bCs/>
        </w:rPr>
        <w:t>理論缺口</w:t>
      </w:r>
      <w:proofErr w:type="spellEnd"/>
    </w:p>
    <w:p w:rsidR="002C53C4" w:rsidRDefault="003542FA">
      <w:pPr>
        <w:spacing w:after="120" w:line="360" w:lineRule="auto"/>
        <w:jc w:val="both"/>
      </w:pPr>
      <w:proofErr w:type="spellStart"/>
      <w:r>
        <w:rPr>
          <w:rFonts w:eastAsia="Times New Roman"/>
        </w:rPr>
        <w:t>先紮實回顧典範文獻，再進行壓力測試，精確定位既有理論吃不下去的異常，最後指出理論缺口。新概念的建構，留給後續研究</w:t>
      </w:r>
      <w:proofErr w:type="spellEnd"/>
      <w:r>
        <w:rPr>
          <w:rFonts w:eastAsia="Times New Roman"/>
        </w:rPr>
        <w:t>。</w:t>
      </w:r>
    </w:p>
    <w:p w:rsidR="002C53C4" w:rsidRDefault="003542FA">
      <w:pPr>
        <w:spacing w:after="120" w:line="360" w:lineRule="auto"/>
        <w:jc w:val="both"/>
      </w:pPr>
      <w:r>
        <w:rPr>
          <w:rFonts w:eastAsia="Times New Roman"/>
        </w:rPr>
        <w:t>全文結構如下：第二節到第五節分別梳理古典公共行政、NPM、DEG與當代演算法治理研究；第六節做統一標準的壓力測試，說明操作方法；第七節指出未吸收的異常與理論缺口，</w:t>
      </w:r>
      <w:r>
        <w:rPr>
          <w:rFonts w:eastAsia="Times New Roman"/>
        </w:rPr>
        <w:t>並釐清機制缺口與理論問題之間怎麼對應。</w:t>
      </w:r>
    </w:p>
    <w:p w:rsidR="002C53C4" w:rsidRDefault="003542FA">
      <w:pPr>
        <w:pStyle w:val="1"/>
      </w:pPr>
      <w:proofErr w:type="spellStart"/>
      <w:r>
        <w:t>二、古典公共行政：權威、層級與人類責任</w:t>
      </w:r>
      <w:proofErr w:type="spellEnd"/>
    </w:p>
    <w:p w:rsidR="002C53C4" w:rsidRDefault="003542FA">
      <w:pPr>
        <w:spacing w:after="120" w:line="360" w:lineRule="auto"/>
        <w:jc w:val="both"/>
      </w:pPr>
      <w:proofErr w:type="spellStart"/>
      <w:r>
        <w:rPr>
          <w:rFonts w:eastAsia="Times New Roman"/>
        </w:rPr>
        <w:t>公共行政學最早的理論基礎，建立在合法權威、層級控制、規則與人類行政行為之上，不是技術能力</w:t>
      </w:r>
      <w:proofErr w:type="spellEnd"/>
      <w:r>
        <w:rPr>
          <w:rFonts w:eastAsia="Times New Roman"/>
        </w:rPr>
        <w:t>。</w:t>
      </w:r>
    </w:p>
    <w:p w:rsidR="002C53C4" w:rsidRDefault="003542FA">
      <w:pPr>
        <w:spacing w:after="120" w:line="360" w:lineRule="auto"/>
        <w:jc w:val="both"/>
      </w:pPr>
      <w:r>
        <w:rPr>
          <w:rFonts w:eastAsia="Times New Roman"/>
        </w:rPr>
        <w:t>Weber（1978）的合法—理性權威與官僚制，把行政權力建立在法定權限、職務分工、層級監督與規則化程序上；Wilson（1887）的政治—行政區分，加上Gulick（1937）的組織原則，分別從政治控制與組織設計的角度，處理行政行動要怎麼被組織、指揮、協調。Waldo（1948）進一步凸顯行政國家的政治理論面向，但分析單位仍然是人類組織</w:t>
      </w:r>
      <w:r>
        <w:rPr>
          <w:rFonts w:eastAsia="Times New Roman"/>
        </w:rPr>
        <w:t>。Simon（1947/1997）對「行政原則」的批判，雖然把研究重心轉向決策與有限理性，分析單位還是作判斷、做選擇的組織與人類決策者。也就是說，古典公共行政從來沒發展出一套專門的「技術治理理論」；本文拿它當比較起點，是因為它的控制結構到現在都還是：法定權威—組織職位—人類決策—責任追溯。</w:t>
      </w:r>
    </w:p>
    <w:p w:rsidR="002C53C4" w:rsidRDefault="003542FA">
      <w:pPr>
        <w:spacing w:after="120" w:line="360" w:lineRule="auto"/>
        <w:jc w:val="both"/>
      </w:pPr>
      <w:proofErr w:type="spellStart"/>
      <w:r>
        <w:rPr>
          <w:rFonts w:eastAsia="Times New Roman"/>
        </w:rPr>
        <w:t>古典公共行政的基本結構可概括為</w:t>
      </w:r>
      <w:proofErr w:type="spellEnd"/>
      <w:r>
        <w:rPr>
          <w:rFonts w:eastAsia="Times New Roman"/>
        </w:rPr>
        <w:t>：</w:t>
      </w:r>
    </w:p>
    <w:p w:rsidR="002C53C4" w:rsidRDefault="003542FA">
      <w:pPr>
        <w:spacing w:after="120" w:line="360" w:lineRule="auto"/>
        <w:jc w:val="both"/>
      </w:pPr>
      <w:proofErr w:type="spellStart"/>
      <w:r>
        <w:rPr>
          <w:rFonts w:eastAsia="Times New Roman"/>
          <w:b/>
          <w:bCs/>
        </w:rPr>
        <w:t>法律權威</w:t>
      </w:r>
      <w:proofErr w:type="spellEnd"/>
      <w:r>
        <w:rPr>
          <w:rFonts w:eastAsia="Times New Roman"/>
          <w:b/>
          <w:bCs/>
        </w:rPr>
        <w:t xml:space="preserve"> → </w:t>
      </w:r>
      <w:proofErr w:type="spellStart"/>
      <w:r>
        <w:rPr>
          <w:rFonts w:eastAsia="Times New Roman"/>
          <w:b/>
          <w:bCs/>
        </w:rPr>
        <w:t>人類官員</w:t>
      </w:r>
      <w:proofErr w:type="spellEnd"/>
      <w:r>
        <w:rPr>
          <w:rFonts w:eastAsia="Times New Roman"/>
          <w:b/>
          <w:bCs/>
        </w:rPr>
        <w:t xml:space="preserve"> → </w:t>
      </w:r>
      <w:proofErr w:type="spellStart"/>
      <w:r>
        <w:rPr>
          <w:rFonts w:eastAsia="Times New Roman"/>
          <w:b/>
          <w:bCs/>
        </w:rPr>
        <w:t>行政決定</w:t>
      </w:r>
      <w:proofErr w:type="spellEnd"/>
      <w:r>
        <w:rPr>
          <w:rFonts w:eastAsia="Times New Roman"/>
          <w:b/>
          <w:bCs/>
        </w:rPr>
        <w:t xml:space="preserve"> → </w:t>
      </w:r>
      <w:proofErr w:type="spellStart"/>
      <w:r>
        <w:rPr>
          <w:rFonts w:eastAsia="Times New Roman"/>
          <w:b/>
          <w:bCs/>
        </w:rPr>
        <w:t>責任</w:t>
      </w:r>
      <w:proofErr w:type="spellEnd"/>
    </w:p>
    <w:p w:rsidR="002C53C4" w:rsidRDefault="003542FA">
      <w:pPr>
        <w:spacing w:after="120" w:line="360" w:lineRule="auto"/>
        <w:jc w:val="both"/>
      </w:pPr>
      <w:r>
        <w:rPr>
          <w:rFonts w:eastAsia="Times New Roman"/>
        </w:rPr>
        <w:t>古典公共行政的限制，不在於它忽略技術，而在於它從來不必處理「技術本身變成實質決定形成位置」這個問題。技術是行政能力的延伸，不是權力形成機制</w:t>
      </w:r>
      <w:r>
        <w:rPr>
          <w:rFonts w:eastAsia="Times New Roman"/>
        </w:rPr>
        <w:t>本身。就算行政工具愈來愈複雜，理論還是假定：掌握法定權力、作行政決定、扛行政責任的核心位置，說到底都能追溯回人類組織與人類行動者。</w:t>
      </w:r>
    </w:p>
    <w:p w:rsidR="002C53C4" w:rsidRDefault="003542FA">
      <w:pPr>
        <w:pStyle w:val="2"/>
      </w:pPr>
      <w:proofErr w:type="spellStart"/>
      <w:r>
        <w:lastRenderedPageBreak/>
        <w:t>兩個核心位置的界定</w:t>
      </w:r>
      <w:proofErr w:type="spellEnd"/>
    </w:p>
    <w:p w:rsidR="002C53C4" w:rsidRDefault="003542FA">
      <w:pPr>
        <w:spacing w:after="120" w:line="360" w:lineRule="auto"/>
        <w:jc w:val="both"/>
      </w:pPr>
      <w:proofErr w:type="spellStart"/>
      <w:r>
        <w:rPr>
          <w:rFonts w:eastAsia="Times New Roman"/>
        </w:rPr>
        <w:t>為了讓後面的壓力測試做得更精準，這裡先界定兩個核心位置</w:t>
      </w:r>
      <w:proofErr w:type="spellEnd"/>
      <w:r>
        <w:rPr>
          <w:rFonts w:eastAsia="Times New Roman"/>
        </w:rPr>
        <w:t>：</w:t>
      </w:r>
    </w:p>
    <w:p w:rsidR="002C53C4" w:rsidRDefault="003542FA">
      <w:pPr>
        <w:spacing w:after="120" w:line="360" w:lineRule="auto"/>
        <w:jc w:val="both"/>
      </w:pPr>
      <w:proofErr w:type="spellStart"/>
      <w:r>
        <w:rPr>
          <w:rFonts w:eastAsia="Times New Roman"/>
          <w:b/>
          <w:bCs/>
        </w:rPr>
        <w:t>公法責任位置（Locus</w:t>
      </w:r>
      <w:proofErr w:type="spellEnd"/>
      <w:r>
        <w:rPr>
          <w:rFonts w:eastAsia="Times New Roman"/>
          <w:b/>
          <w:bCs/>
        </w:rPr>
        <w:t xml:space="preserve"> of Public Responsibility）</w:t>
      </w:r>
      <w:r>
        <w:rPr>
          <w:rFonts w:eastAsia="Times New Roman"/>
        </w:rPr>
        <w:t>：</w:t>
      </w:r>
      <w:proofErr w:type="spellStart"/>
      <w:r>
        <w:rPr>
          <w:rFonts w:eastAsia="Times New Roman"/>
        </w:rPr>
        <w:t>指在憲政與行政法架構下，法定要承擔行政處分後果、國家賠償、政治責任與正當法律程序（Due</w:t>
      </w:r>
      <w:proofErr w:type="spellEnd"/>
      <w:r>
        <w:rPr>
          <w:rFonts w:eastAsia="Times New Roman"/>
        </w:rPr>
        <w:t xml:space="preserve"> </w:t>
      </w:r>
      <w:proofErr w:type="spellStart"/>
      <w:r>
        <w:rPr>
          <w:rFonts w:eastAsia="Times New Roman"/>
        </w:rPr>
        <w:t>Process）義務的機關或人類官員</w:t>
      </w:r>
      <w:proofErr w:type="spellEnd"/>
      <w:r>
        <w:rPr>
          <w:rFonts w:eastAsia="Times New Roman"/>
        </w:rPr>
        <w:t>。</w:t>
      </w:r>
    </w:p>
    <w:p w:rsidR="002C53C4" w:rsidRDefault="003542FA">
      <w:pPr>
        <w:spacing w:after="120" w:line="360" w:lineRule="auto"/>
        <w:jc w:val="both"/>
      </w:pPr>
      <w:proofErr w:type="spellStart"/>
      <w:r>
        <w:rPr>
          <w:rFonts w:eastAsia="Times New Roman"/>
          <w:b/>
          <w:bCs/>
        </w:rPr>
        <w:t>實質控制位置（Locus</w:t>
      </w:r>
      <w:proofErr w:type="spellEnd"/>
      <w:r>
        <w:rPr>
          <w:rFonts w:eastAsia="Times New Roman"/>
          <w:b/>
          <w:bCs/>
        </w:rPr>
        <w:t xml:space="preserve"> of Substantive Control）</w:t>
      </w:r>
      <w:r>
        <w:rPr>
          <w:rFonts w:eastAsia="Times New Roman"/>
        </w:rPr>
        <w:t>：指實際掌握模型開發、</w:t>
      </w:r>
      <w:r>
        <w:rPr>
          <w:rFonts w:eastAsia="Times New Roman"/>
        </w:rPr>
        <w:t>訓練資料選擇、參數調校、系統修改、維護更新，甚至決定系統要不要終止運作的實務能力與資訊專長——這通常散落在私委廠商、演算法架構、第三方平台或分散式技術生態系裡。</w:t>
      </w:r>
    </w:p>
    <w:p w:rsidR="002C53C4" w:rsidRDefault="003542FA">
      <w:pPr>
        <w:spacing w:after="120" w:line="360" w:lineRule="auto"/>
        <w:jc w:val="both"/>
      </w:pPr>
      <w:proofErr w:type="spellStart"/>
      <w:r>
        <w:rPr>
          <w:rFonts w:eastAsia="Times New Roman"/>
        </w:rPr>
        <w:t>當前AI治理的困境，不只是「政府看不懂演算法（黑箱</w:t>
      </w:r>
      <w:proofErr w:type="spellEnd"/>
      <w:r>
        <w:rPr>
          <w:rFonts w:eastAsia="Times New Roman"/>
        </w:rPr>
        <w:t>）」，</w:t>
      </w:r>
      <w:proofErr w:type="spellStart"/>
      <w:r>
        <w:rPr>
          <w:rFonts w:eastAsia="Times New Roman"/>
        </w:rPr>
        <w:t>而是「法律把責任釘在A身上，但改變系統運作命脈的鑰匙全在B手裡</w:t>
      </w:r>
      <w:proofErr w:type="spellEnd"/>
      <w:r>
        <w:rPr>
          <w:rFonts w:eastAsia="Times New Roman"/>
        </w:rPr>
        <w:t>」。</w:t>
      </w:r>
    </w:p>
    <w:p w:rsidR="002C53C4" w:rsidRDefault="003542FA">
      <w:pPr>
        <w:pStyle w:val="2"/>
      </w:pPr>
      <w:proofErr w:type="spellStart"/>
      <w:r>
        <w:t>與既有課責理論的區辨</w:t>
      </w:r>
      <w:proofErr w:type="spellEnd"/>
    </w:p>
    <w:p w:rsidR="002C53C4" w:rsidRDefault="003542FA">
      <w:pPr>
        <w:spacing w:after="120" w:line="360" w:lineRule="auto"/>
        <w:jc w:val="both"/>
      </w:pPr>
      <w:r>
        <w:rPr>
          <w:rFonts w:eastAsia="Times New Roman"/>
        </w:rPr>
        <w:t>「責任位置與控制位置的結構性分離」，跟課責文獻裡既有的委託—代理（principal-agent）理論、Bovens（2007）的多重可歸責性（multiple/many hands accountabi</w:t>
      </w:r>
      <w:r>
        <w:rPr>
          <w:rFonts w:eastAsia="Times New Roman"/>
        </w:rPr>
        <w:t>lity），</w:t>
      </w:r>
      <w:proofErr w:type="spellStart"/>
      <w:r>
        <w:rPr>
          <w:rFonts w:eastAsia="Times New Roman"/>
        </w:rPr>
        <w:t>以及第三節會引用的「國家擔保責任」理論，問題意識相近，但分析焦點跟失效機制不一樣</w:t>
      </w:r>
      <w:proofErr w:type="spellEnd"/>
      <w:r>
        <w:rPr>
          <w:rFonts w:eastAsia="Times New Roman"/>
        </w:rPr>
        <w:t>。</w:t>
      </w:r>
    </w:p>
    <w:p w:rsidR="002C53C4" w:rsidRDefault="003542FA">
      <w:pPr>
        <w:spacing w:after="120" w:line="360" w:lineRule="auto"/>
        <w:jc w:val="both"/>
      </w:pPr>
      <w:r>
        <w:rPr>
          <w:rFonts w:eastAsia="Times New Roman"/>
        </w:rPr>
        <w:t>委託—代理理論關心資訊不對稱下代理人偏離委託人目標的問題，分析單位是契約關係中的誘因與監督成本；多重可歸責性關心責任在複雜組織網絡裡被稀釋、找不到人負責的問題，核心關切是「誰該被問責」；國家擔保責任理論則主張任務私有化後，國家仍須確保服務品質與公共性。</w:t>
      </w:r>
    </w:p>
    <w:p w:rsidR="002C53C4" w:rsidRDefault="003542FA">
      <w:pPr>
        <w:spacing w:after="120" w:line="360" w:lineRule="auto"/>
        <w:jc w:val="both"/>
      </w:pPr>
      <w:r>
        <w:rPr>
          <w:rFonts w:eastAsia="Times New Roman"/>
        </w:rPr>
        <w:t>本文的兩個「位置」概念，跟上述框架的差異在於三點：分析單位不同——本文問的是「責任所在的法律位置」跟「控制所在的實務能力位置」是不是結構性重合，而不是「誰該被問責</w:t>
      </w:r>
      <w:r>
        <w:rPr>
          <w:rFonts w:eastAsia="Times New Roman"/>
        </w:rPr>
        <w:t>」或「怎麼設計誘因」；失效機制不同——既有框架大多假設更好的契約、監督或組織設計就能重新對齊，本文則聚焦「技術鎖定」與「基礎設施依賴」，這兩者讓對齊在結構上變得困難、甚至不可能；也沒處理到「技術本身變成實質決定形成位置」這個維度——當控制權下沉到外部演算法基礎設施時，人類監督與契約工具可能只剩形式意義。不</w:t>
      </w:r>
      <w:r>
        <w:rPr>
          <w:rFonts w:eastAsia="Times New Roman"/>
        </w:rPr>
        <w:lastRenderedPageBreak/>
        <w:t>把這點講清楚，讀者很容易誤以為本文只是把委託—代理問題重新取個名字。</w:t>
      </w:r>
    </w:p>
    <w:p w:rsidR="002C53C4" w:rsidRDefault="003542FA">
      <w:pPr>
        <w:pStyle w:val="2"/>
      </w:pPr>
      <w:r>
        <w:t>「</w:t>
      </w:r>
      <w:proofErr w:type="spellStart"/>
      <w:r>
        <w:t>結構性分離」的可觀察徵象</w:t>
      </w:r>
      <w:proofErr w:type="spellEnd"/>
    </w:p>
    <w:p w:rsidR="002C53C4" w:rsidRDefault="003542FA">
      <w:pPr>
        <w:spacing w:after="120" w:line="360" w:lineRule="auto"/>
        <w:jc w:val="both"/>
      </w:pPr>
      <w:r>
        <w:rPr>
          <w:rFonts w:eastAsia="Times New Roman"/>
        </w:rPr>
        <w:t>「公法責任位置」跟「實質控制位置」的定義雖然清楚，但如果沒有具體指標可以辨識兩者是不是已經結構性分離，後面的理論建構就會找不到立足點。本文先勾勒以下可觀察徵象，作為判斷「結構性分離」是否成立的參考門檻（不是窮盡清單）。這些徵象綜合自基礎設施研究（Plantin et al., 2018）、</w:t>
      </w:r>
      <w:proofErr w:type="spellStart"/>
      <w:r>
        <w:rPr>
          <w:rFonts w:eastAsia="Times New Roman"/>
        </w:rPr>
        <w:t>契約治理與資訊不對稱文獻（Kettl</w:t>
      </w:r>
      <w:proofErr w:type="spellEnd"/>
      <w:r>
        <w:rPr>
          <w:rFonts w:eastAsia="Times New Roman"/>
        </w:rPr>
        <w:t>, 1993, 2002；蕭乃沂與黃心怡，2012），</w:t>
      </w:r>
      <w:proofErr w:type="spellStart"/>
      <w:r>
        <w:rPr>
          <w:rFonts w:eastAsia="Times New Roman"/>
        </w:rPr>
        <w:t>以及人類監督失效的經驗研究（Elish</w:t>
      </w:r>
      <w:proofErr w:type="spellEnd"/>
      <w:r>
        <w:rPr>
          <w:rFonts w:eastAsia="Times New Roman"/>
        </w:rPr>
        <w:t>, 2019），</w:t>
      </w:r>
      <w:proofErr w:type="spellStart"/>
      <w:r>
        <w:rPr>
          <w:rFonts w:eastAsia="Times New Roman"/>
        </w:rPr>
        <w:t>也跟第六節壓力測試的判斷邏輯互相呼應</w:t>
      </w:r>
      <w:proofErr w:type="spellEnd"/>
      <w:r>
        <w:rPr>
          <w:rFonts w:eastAsia="Times New Roman"/>
        </w:rPr>
        <w:t>：</w:t>
      </w:r>
    </w:p>
    <w:p w:rsidR="002C53C4" w:rsidRDefault="003542FA">
      <w:pPr>
        <w:pStyle w:val="a4"/>
        <w:numPr>
          <w:ilvl w:val="0"/>
          <w:numId w:val="2"/>
        </w:numPr>
        <w:spacing w:after="80" w:line="360" w:lineRule="auto"/>
      </w:pPr>
      <w:proofErr w:type="spellStart"/>
      <w:r>
        <w:rPr>
          <w:rFonts w:eastAsia="Times New Roman"/>
        </w:rPr>
        <w:t>契約有沒有賦予政府單方變更、暫停或終止</w:t>
      </w:r>
      <w:r>
        <w:rPr>
          <w:rFonts w:eastAsia="Times New Roman"/>
        </w:rPr>
        <w:t>系統運作的實務能力（不是只有形式上的解約權</w:t>
      </w:r>
      <w:proofErr w:type="spellEnd"/>
      <w:r>
        <w:rPr>
          <w:rFonts w:eastAsia="Times New Roman"/>
        </w:rPr>
        <w:t>）——</w:t>
      </w:r>
      <w:proofErr w:type="spellStart"/>
      <w:r>
        <w:rPr>
          <w:rFonts w:eastAsia="Times New Roman"/>
        </w:rPr>
        <w:t>這是比較容易直接查證的「硬指標</w:t>
      </w:r>
      <w:proofErr w:type="spellEnd"/>
      <w:r>
        <w:rPr>
          <w:rFonts w:eastAsia="Times New Roman"/>
        </w:rPr>
        <w:t>」；</w:t>
      </w:r>
    </w:p>
    <w:p w:rsidR="002C53C4" w:rsidRDefault="003542FA">
      <w:pPr>
        <w:pStyle w:val="a4"/>
        <w:numPr>
          <w:ilvl w:val="0"/>
          <w:numId w:val="2"/>
        </w:numPr>
        <w:spacing w:after="80" w:line="360" w:lineRule="auto"/>
      </w:pPr>
      <w:r>
        <w:rPr>
          <w:rFonts w:eastAsia="Times New Roman"/>
        </w:rPr>
        <w:t>政府有沒有掌握模型再訓練、參數調整或獨立稽核的實務能力，以及必要的資料、原始碼存取權——這可以透過採購與履約文件查證，也是「硬指標」；</w:t>
      </w:r>
    </w:p>
    <w:p w:rsidR="002C53C4" w:rsidRDefault="003542FA">
      <w:pPr>
        <w:pStyle w:val="a4"/>
        <w:numPr>
          <w:ilvl w:val="0"/>
          <w:numId w:val="2"/>
        </w:numPr>
        <w:spacing w:after="80" w:line="360" w:lineRule="auto"/>
      </w:pPr>
      <w:r>
        <w:rPr>
          <w:rFonts w:eastAsia="Times New Roman"/>
        </w:rPr>
        <w:t>核心基礎設施（雲端、基礎模型、專有資料庫）是不是高度依賴單一或少數外部供應商，轉換成本高到構成實質鎖定——這是可觀察的結構性「硬指標」；</w:t>
      </w:r>
    </w:p>
    <w:p w:rsidR="002C53C4" w:rsidRDefault="003542FA">
      <w:pPr>
        <w:pStyle w:val="a4"/>
        <w:numPr>
          <w:ilvl w:val="0"/>
          <w:numId w:val="2"/>
        </w:numPr>
        <w:spacing w:after="80" w:line="360" w:lineRule="auto"/>
      </w:pPr>
      <w:r>
        <w:rPr>
          <w:rFonts w:eastAsia="Times New Roman"/>
        </w:rPr>
        <w:t>第一線官員對系統輸出的實質質疑與否決能力，是不是受限於技術門檻、時間壓力或自動化偏誤——這牽涉行為與組織能力，是「軟指標」，蒐集起來比較難；</w:t>
      </w:r>
    </w:p>
    <w:p w:rsidR="002C53C4" w:rsidRDefault="003542FA">
      <w:pPr>
        <w:pStyle w:val="a4"/>
        <w:numPr>
          <w:ilvl w:val="0"/>
          <w:numId w:val="2"/>
        </w:numPr>
        <w:spacing w:after="120" w:line="360" w:lineRule="auto"/>
      </w:pPr>
      <w:proofErr w:type="spellStart"/>
      <w:r>
        <w:rPr>
          <w:rFonts w:eastAsia="Times New Roman"/>
        </w:rPr>
        <w:t>系統出現異常</w:t>
      </w:r>
      <w:r>
        <w:rPr>
          <w:rFonts w:eastAsia="Times New Roman"/>
        </w:rPr>
        <w:t>或爭議時，政府能不能在合理時間內獨立診斷原因、採取矯正措施，而不是只能依賴原廠商</w:t>
      </w:r>
      <w:proofErr w:type="spellEnd"/>
      <w:r>
        <w:rPr>
          <w:rFonts w:eastAsia="Times New Roman"/>
        </w:rPr>
        <w:t>——</w:t>
      </w:r>
      <w:proofErr w:type="spellStart"/>
      <w:r>
        <w:rPr>
          <w:rFonts w:eastAsia="Times New Roman"/>
        </w:rPr>
        <w:t>這也是牽涉組織能力的「軟指標</w:t>
      </w:r>
      <w:proofErr w:type="spellEnd"/>
      <w:r>
        <w:rPr>
          <w:rFonts w:eastAsia="Times New Roman"/>
        </w:rPr>
        <w:t>」。</w:t>
      </w:r>
    </w:p>
    <w:p w:rsidR="002C53C4" w:rsidRDefault="003542FA">
      <w:pPr>
        <w:spacing w:after="120" w:line="360" w:lineRule="auto"/>
        <w:jc w:val="both"/>
      </w:pPr>
      <w:r>
        <w:rPr>
          <w:rFonts w:eastAsia="Times New Roman"/>
        </w:rPr>
        <w:t>這五項徵象權重不一樣：前三項偏「硬指標」（契約與基礎設施層次，比較容易直接查證），後兩項偏「軟指標」（官員行為與組織能力，需要更多實證觀察）。多數硬指標同時成立，就可以初步認定兩個位置已經結構性分離；只有部分成立，就可能處於中介狀態。這套操作化嘗試，為後面提出「最低實質控制能力」（MSCC）門檻打了初步基礎，也跟第六節壓力測試共用同一套判斷邏輯（原初假定還成不成立）。要說明的是：這五項徵象是經驗層次的診斷工具，用來判斷兩個位置現狀是不是「已經」分離；第七節提出的MSCC則是規範層次的門檻條件，判斷一個系統該</w:t>
      </w:r>
      <w:r>
        <w:rPr>
          <w:rFonts w:eastAsia="Times New Roman"/>
        </w:rPr>
        <w:t>具備什麼最低控制能力，「才有資格」被放進公權力的行使裡。兩者性質不同，但彼此銜接——本節徵象如果一直不滿足，就是第七節論證MSCC門檻不可或缺的經驗基礎。換句話</w:t>
      </w:r>
      <w:r>
        <w:rPr>
          <w:rFonts w:eastAsia="Times New Roman"/>
        </w:rPr>
        <w:lastRenderedPageBreak/>
        <w:t>說，徵象回答的是「分離有沒有發生」的事實問題，MSCC回答的是「多少控制能力才夠格」的規範問題——前者長期不滿足，正是後者不能不被提出的理由。</w:t>
      </w:r>
    </w:p>
    <w:p w:rsidR="002C53C4" w:rsidRDefault="003542FA">
      <w:pPr>
        <w:pStyle w:val="1"/>
      </w:pPr>
      <w:proofErr w:type="spellStart"/>
      <w:r>
        <w:t>三、新公共管理：從組織內部控制轉向契約化控制</w:t>
      </w:r>
      <w:proofErr w:type="spellEnd"/>
    </w:p>
    <w:p w:rsidR="002C53C4" w:rsidRDefault="003542FA">
      <w:pPr>
        <w:spacing w:after="120" w:line="360" w:lineRule="auto"/>
        <w:jc w:val="both"/>
      </w:pPr>
      <w:r>
        <w:rPr>
          <w:rFonts w:eastAsia="Times New Roman"/>
        </w:rPr>
        <w:t>1980年代以後，新公共管理（New Public Management, NPM）改變了公共行政對「誰來執行政府功能」的理解。NPM不是簡單地讓政府放棄控制，而</w:t>
      </w:r>
      <w:r>
        <w:rPr>
          <w:rFonts w:eastAsia="Times New Roman"/>
        </w:rPr>
        <w:t>是把部分控制機制，從組織內部的層級監督，轉向契約規格、績效衡量、競爭與持續性的契約管理。Hood（1991, 1995）整理的NPM改革方向，就包括明確績效標準、產出控制與私部門管理技術。Osborne與Gaebler（1992）進一步推廣「重塑政府」的理念。</w:t>
      </w:r>
    </w:p>
    <w:p w:rsidR="002C53C4" w:rsidRDefault="003542FA">
      <w:pPr>
        <w:spacing w:after="120" w:line="360" w:lineRule="auto"/>
        <w:jc w:val="both"/>
      </w:pPr>
      <w:proofErr w:type="spellStart"/>
      <w:r>
        <w:rPr>
          <w:rFonts w:eastAsia="Times New Roman"/>
        </w:rPr>
        <w:t>但政府愈來愈依賴第三方提供公共服務之後，公共行政研究也開始面對「hollow</w:t>
      </w:r>
      <w:proofErr w:type="spellEnd"/>
      <w:r>
        <w:rPr>
          <w:rFonts w:eastAsia="Times New Roman"/>
        </w:rPr>
        <w:t xml:space="preserve"> state」問題：國家功能雖然可以由外部組織執行，政府還是得靠制度安排、誘因與管理機制，維持對外部提供者的治理能力（Milward &amp; </w:t>
      </w:r>
      <w:proofErr w:type="spellStart"/>
      <w:r>
        <w:rPr>
          <w:rFonts w:eastAsia="Times New Roman"/>
        </w:rPr>
        <w:t>Provan</w:t>
      </w:r>
      <w:proofErr w:type="spellEnd"/>
      <w:r>
        <w:rPr>
          <w:rFonts w:eastAsia="Times New Roman"/>
        </w:rPr>
        <w:t>, 2000）。後續的契</w:t>
      </w:r>
      <w:r>
        <w:rPr>
          <w:rFonts w:eastAsia="Times New Roman"/>
        </w:rPr>
        <w:t>約管理研究進一步指出，複雜服務外包並不會自動產生有效控制，而是高度依賴政府的事前規劃、績效衡量、管理能力與持續協作（Romzek &amp; Johnston, 2002）。所以NPM比較合理的理論假定，不是「契約一定買得到控制」，而是政府可以透過契約化與管理機制，重新建立足夠的引導能力（steering capacity）。</w:t>
      </w:r>
    </w:p>
    <w:p w:rsidR="002C53C4" w:rsidRDefault="003542FA">
      <w:pPr>
        <w:spacing w:after="120" w:line="360" w:lineRule="auto"/>
        <w:jc w:val="both"/>
      </w:pPr>
      <w:r>
        <w:rPr>
          <w:rFonts w:eastAsia="Times New Roman"/>
        </w:rPr>
        <w:t>公共行政的契約轉向不代表政府責任消失，而是重新配置政府用來引導日益碎片化服務提供體系的工具。契約與外包把服務提供跟直接科層生產分開，但政府還是得透過規格、監督、績效衡量與課責安排，保留策略方</w:t>
      </w:r>
      <w:r>
        <w:rPr>
          <w:rFonts w:eastAsia="Times New Roman"/>
        </w:rPr>
        <w:t>向（Kettl, 1993, 2002; Hood, 1991, 1995）。Rhodes（1996）跟Pierre與Peters（2000）進一步指出，從government轉向governance，讓控制機制更網絡化，但公共權威的最終責任並沒有消失。Pollitt與Bouckaert（2017）則系統檢視了各國改革的變異與持續性。</w:t>
      </w:r>
    </w:p>
    <w:p w:rsidR="002C53C4" w:rsidRDefault="003542FA">
      <w:pPr>
        <w:spacing w:after="120" w:line="360" w:lineRule="auto"/>
        <w:jc w:val="both"/>
      </w:pPr>
      <w:r>
        <w:rPr>
          <w:rFonts w:eastAsia="Times New Roman"/>
        </w:rPr>
        <w:t>臺灣公共行政學界在檢視行政機關推動資訊委外與業務委託的實務時，早就注意到這種「契約化治理」帶來的結構性困境。詹鎮榮（2014）就指出，行政任務實質私有化後，國家並沒有因此轉嫁</w:t>
      </w:r>
      <w:r>
        <w:rPr>
          <w:rFonts w:eastAsia="Times New Roman"/>
        </w:rPr>
        <w:t>或解除責任，而是轉化為「擔保責任（Gewährleistungsverantwortung）」——國家還是得確保私部門服務的品質與公共性；但蕭乃沂與黃心怡（2012）在電子化政府採購與委外績效研究中揭示的是，資訊系統的技術門檻極高，公部門在履約管理中</w:t>
      </w:r>
      <w:r>
        <w:rPr>
          <w:rFonts w:eastAsia="Times New Roman"/>
        </w:rPr>
        <w:lastRenderedPageBreak/>
        <w:t>很容易陷入「知識與技術高度依賴廠商」的劣勢，讓契約監督流於形式。這正好印證了：NPM想靠市場契約掌控資訊系統的思路，一旦面對高度複雜的資訊技術，就必然遇上不對稱資訊造成的控制失靈。這裡值得進一步區分：傳統資訊系統委外的規格不完備，大多是「程度」問題——靠更精細的</w:t>
      </w:r>
      <w:r>
        <w:rPr>
          <w:rFonts w:eastAsia="Times New Roman"/>
        </w:rPr>
        <w:t>合約設計與履約管理，理論上可以逐步縮小落差；生成式或動態學習模型帶來的，卻是「性質」不同的落差——它的運作邏輯有湧現性（Emergence），要完整窮盡列舉系統行為，不只實務上做不到，理論上就不可能。這個質變，正是第六節壓力測試判定NPM式契約治理只能「部分修復」、而不是「暫時性落後」的關鍵理由。</w:t>
      </w:r>
    </w:p>
    <w:p w:rsidR="002C53C4" w:rsidRDefault="003542FA">
      <w:pPr>
        <w:spacing w:after="120" w:line="360" w:lineRule="auto"/>
        <w:jc w:val="both"/>
      </w:pPr>
      <w:r>
        <w:rPr>
          <w:rFonts w:eastAsia="Times New Roman"/>
        </w:rPr>
        <w:t>所以這個轉變，理解成控制機制的重新定位，會比理解成公共權威的放棄更準確。核心假定是：就算執行在組織上外部化，引導能力還是可以透過契約與管理工具重新建構。</w:t>
      </w:r>
    </w:p>
    <w:p w:rsidR="002C53C4" w:rsidRDefault="003542FA">
      <w:pPr>
        <w:spacing w:after="120" w:line="360" w:lineRule="auto"/>
        <w:jc w:val="both"/>
      </w:pPr>
      <w:proofErr w:type="spellStart"/>
      <w:r>
        <w:rPr>
          <w:rFonts w:eastAsia="Times New Roman"/>
        </w:rPr>
        <w:t>這個假定，成了後續分析的重要比較基準：當外包對象從人力服務</w:t>
      </w:r>
      <w:r>
        <w:rPr>
          <w:rFonts w:eastAsia="Times New Roman"/>
        </w:rPr>
        <w:t>換成演算法系統，契約治理還撐得住實質控制嗎</w:t>
      </w:r>
      <w:proofErr w:type="spellEnd"/>
      <w:r>
        <w:rPr>
          <w:rFonts w:eastAsia="Times New Roman"/>
        </w:rPr>
        <w:t>？</w:t>
      </w:r>
    </w:p>
    <w:p w:rsidR="002C53C4" w:rsidRDefault="003542FA">
      <w:pPr>
        <w:pStyle w:val="1"/>
      </w:pPr>
      <w:proofErr w:type="spellStart"/>
      <w:r>
        <w:t>四、數位時代治理：技術開始重組行政組織</w:t>
      </w:r>
      <w:proofErr w:type="spellEnd"/>
    </w:p>
    <w:p w:rsidR="002C53C4" w:rsidRDefault="003542FA">
      <w:pPr>
        <w:spacing w:after="120" w:line="360" w:lineRule="auto"/>
        <w:jc w:val="both"/>
      </w:pPr>
      <w:proofErr w:type="spellStart"/>
      <w:r>
        <w:rPr>
          <w:rFonts w:eastAsia="Times New Roman"/>
        </w:rPr>
        <w:t>隨著資訊科技、網際網路與電子化政府的發展，公共行政進入Digital-Era</w:t>
      </w:r>
      <w:proofErr w:type="spellEnd"/>
      <w:r>
        <w:rPr>
          <w:rFonts w:eastAsia="Times New Roman"/>
        </w:rPr>
        <w:t xml:space="preserve"> </w:t>
      </w:r>
      <w:proofErr w:type="spellStart"/>
      <w:r>
        <w:rPr>
          <w:rFonts w:eastAsia="Times New Roman"/>
        </w:rPr>
        <w:t>Governance（DEG）與更廣泛的digital</w:t>
      </w:r>
      <w:proofErr w:type="spellEnd"/>
      <w:r>
        <w:rPr>
          <w:rFonts w:eastAsia="Times New Roman"/>
        </w:rPr>
        <w:t xml:space="preserve"> </w:t>
      </w:r>
      <w:proofErr w:type="spellStart"/>
      <w:r>
        <w:rPr>
          <w:rFonts w:eastAsia="Times New Roman"/>
        </w:rPr>
        <w:t>government討論</w:t>
      </w:r>
      <w:proofErr w:type="spellEnd"/>
      <w:r>
        <w:rPr>
          <w:rFonts w:eastAsia="Times New Roman"/>
        </w:rPr>
        <w:t>。</w:t>
      </w:r>
    </w:p>
    <w:p w:rsidR="002C53C4" w:rsidRDefault="003542FA">
      <w:pPr>
        <w:spacing w:after="120" w:line="360" w:lineRule="auto"/>
        <w:jc w:val="both"/>
      </w:pPr>
      <w:r>
        <w:rPr>
          <w:rFonts w:eastAsia="Times New Roman"/>
        </w:rPr>
        <w:t>數位政府研究讓「資訊科技只是中立行政工具」這個假定變得更複雜。Fountain（2001）的技術實踐（technology enactment）框架顯示，技術系統既受制度安排塑造，同時也在重組組織能力與行動模式。政府跟技術的關係，因此既不是純粹決定論，也不是單純工</w:t>
      </w:r>
      <w:r>
        <w:rPr>
          <w:rFonts w:eastAsia="Times New Roman"/>
        </w:rPr>
        <w:t>具性。後續研究進一步指出，數位轉型牽動的不只是技術部署本身，還包括制度結構、資訊架構、組織協調與公共行政邊界的重新劃定（Bannister &amp; Connolly, 2014; Gil-Garcia, Dawes, &amp; Pardo, 2018）。</w:t>
      </w:r>
    </w:p>
    <w:p w:rsidR="002C53C4" w:rsidRDefault="003542FA">
      <w:pPr>
        <w:spacing w:after="120" w:line="360" w:lineRule="auto"/>
        <w:jc w:val="both"/>
      </w:pPr>
      <w:r>
        <w:rPr>
          <w:rFonts w:eastAsia="Times New Roman"/>
        </w:rPr>
        <w:t xml:space="preserve">Dunleavy等人（2006）的Digital-Era Governance，把這個轉變放進對NPM碎片化更廣泛的批判裡。重新整合（reintegration）、需求導向整體性（needs-based </w:t>
      </w:r>
      <w:proofErr w:type="spellStart"/>
      <w:r>
        <w:rPr>
          <w:rFonts w:eastAsia="Times New Roman"/>
        </w:rPr>
        <w:t>holism）與數位化，被視為政府恢復協調與行政連貫性的機制（</w:t>
      </w:r>
      <w:r>
        <w:rPr>
          <w:rFonts w:eastAsia="Times New Roman"/>
        </w:rPr>
        <w:t>Dunleavy</w:t>
      </w:r>
      <w:proofErr w:type="spellEnd"/>
      <w:r>
        <w:rPr>
          <w:rFonts w:eastAsia="Times New Roman"/>
        </w:rPr>
        <w:t xml:space="preserve"> &amp; Margetts, </w:t>
      </w:r>
      <w:r>
        <w:rPr>
          <w:rFonts w:eastAsia="Times New Roman"/>
        </w:rPr>
        <w:lastRenderedPageBreak/>
        <w:t>2015; Margetts &amp; Dunleavy, 2013）。DEG不假定政府一定擁有或直接操作所有數位基礎設施；更準確地說，它的改革邏輯是：先前改革帶來的組織碎片化，可以靠重新整合、制度再設計與數位能力的策略性重組來對抗。就算數位系統跟外部供應商的關係很複雜，政府還是可以透過重新整合與組織重組，把治理能力拿回來。</w:t>
      </w:r>
    </w:p>
    <w:p w:rsidR="002C53C4" w:rsidRDefault="003542FA">
      <w:pPr>
        <w:spacing w:after="120" w:line="360" w:lineRule="auto"/>
        <w:jc w:val="both"/>
      </w:pPr>
      <w:proofErr w:type="spellStart"/>
      <w:r>
        <w:rPr>
          <w:rFonts w:eastAsia="Times New Roman"/>
        </w:rPr>
        <w:t>這種從「流程自動化」跨進「資料驅動」時遇到的組織與制度阻力，在臺灣電子化政府邁向智慧政府（Smart</w:t>
      </w:r>
      <w:proofErr w:type="spellEnd"/>
      <w:r>
        <w:rPr>
          <w:rFonts w:eastAsia="Times New Roman"/>
        </w:rPr>
        <w:t xml:space="preserve"> Government）的過程中同樣明顯。陳敦源</w:t>
      </w:r>
      <w:r>
        <w:rPr>
          <w:rFonts w:eastAsia="Times New Roman"/>
        </w:rPr>
        <w:t>、黃東益與蕭乃沂（2016）的研究就指出，資訊技術的導入不是純技術中性的過程，而是伴隨著官僚體系內部權力架構、信任機制與組織文化的深度摩擦；跨部會資料連通與系統整合之所以推得很辛苦，核心瓶頸往往不在技術規格，而在既有行政法制對機關權責的分割限制，以及組織內部的抗拒。DEG雖然精準指出了資訊重組的必然趨勢，但如果沒有機關內部行政裁量與組織動力的再造，「整體政府（Joined-up Government）」</w:t>
      </w:r>
      <w:proofErr w:type="spellStart"/>
      <w:r>
        <w:rPr>
          <w:rFonts w:eastAsia="Times New Roman"/>
        </w:rPr>
        <w:t>的願景就很難真正落地</w:t>
      </w:r>
      <w:proofErr w:type="spellEnd"/>
      <w:r>
        <w:rPr>
          <w:rFonts w:eastAsia="Times New Roman"/>
        </w:rPr>
        <w:t>。</w:t>
      </w:r>
    </w:p>
    <w:p w:rsidR="002C53C4" w:rsidRDefault="003542FA">
      <w:pPr>
        <w:spacing w:after="120" w:line="360" w:lineRule="auto"/>
        <w:jc w:val="both"/>
      </w:pPr>
      <w:proofErr w:type="spellStart"/>
      <w:r>
        <w:rPr>
          <w:rFonts w:eastAsia="Times New Roman"/>
        </w:rPr>
        <w:t>不過，就算數位系統深度介入行政流程，既有理論大致還是可以在「政府</w:t>
      </w:r>
      <w:proofErr w:type="spellEnd"/>
      <w:r>
        <w:rPr>
          <w:rFonts w:eastAsia="Times New Roman"/>
        </w:rPr>
        <w:t>—</w:t>
      </w:r>
      <w:proofErr w:type="spellStart"/>
      <w:r>
        <w:rPr>
          <w:rFonts w:eastAsia="Times New Roman"/>
        </w:rPr>
        <w:t>制度</w:t>
      </w:r>
      <w:proofErr w:type="spellEnd"/>
      <w:r>
        <w:rPr>
          <w:rFonts w:eastAsia="Times New Roman"/>
        </w:rPr>
        <w:t>—</w:t>
      </w:r>
      <w:proofErr w:type="spellStart"/>
      <w:r>
        <w:rPr>
          <w:rFonts w:eastAsia="Times New Roman"/>
        </w:rPr>
        <w:t>技術工具」</w:t>
      </w:r>
      <w:r>
        <w:rPr>
          <w:rFonts w:eastAsia="Times New Roman"/>
        </w:rPr>
        <w:t>的架構裡理解。基本結構仍然是</w:t>
      </w:r>
      <w:proofErr w:type="spellEnd"/>
      <w:r>
        <w:rPr>
          <w:rFonts w:eastAsia="Times New Roman"/>
        </w:rPr>
        <w:t>：</w:t>
      </w:r>
    </w:p>
    <w:p w:rsidR="002C53C4" w:rsidRDefault="003542FA">
      <w:pPr>
        <w:spacing w:after="120" w:line="360" w:lineRule="auto"/>
        <w:jc w:val="both"/>
      </w:pPr>
      <w:proofErr w:type="spellStart"/>
      <w:r>
        <w:rPr>
          <w:rFonts w:eastAsia="Times New Roman"/>
          <w:b/>
          <w:bCs/>
        </w:rPr>
        <w:t>政府設計系統</w:t>
      </w:r>
      <w:proofErr w:type="spellEnd"/>
      <w:r>
        <w:rPr>
          <w:rFonts w:eastAsia="Times New Roman"/>
          <w:b/>
          <w:bCs/>
        </w:rPr>
        <w:t xml:space="preserve"> → </w:t>
      </w:r>
      <w:proofErr w:type="spellStart"/>
      <w:r>
        <w:rPr>
          <w:rFonts w:eastAsia="Times New Roman"/>
          <w:b/>
          <w:bCs/>
        </w:rPr>
        <w:t>系統處理資訊</w:t>
      </w:r>
      <w:proofErr w:type="spellEnd"/>
      <w:r>
        <w:rPr>
          <w:rFonts w:eastAsia="Times New Roman"/>
          <w:b/>
          <w:bCs/>
        </w:rPr>
        <w:t xml:space="preserve"> → </w:t>
      </w:r>
      <w:proofErr w:type="spellStart"/>
      <w:r>
        <w:rPr>
          <w:rFonts w:eastAsia="Times New Roman"/>
          <w:b/>
          <w:bCs/>
        </w:rPr>
        <w:t>人類組織仍負責並具備干預能力</w:t>
      </w:r>
      <w:proofErr w:type="spellEnd"/>
    </w:p>
    <w:p w:rsidR="002C53C4" w:rsidRDefault="003542FA">
      <w:pPr>
        <w:spacing w:after="120" w:line="360" w:lineRule="auto"/>
        <w:jc w:val="both"/>
      </w:pPr>
      <w:r>
        <w:rPr>
          <w:rFonts w:eastAsia="Times New Roman"/>
        </w:rPr>
        <w:t>DEG的問題不是「技術很簡單」，而是它還是預設公共權威可以在可辨識的制度架構裡組織數位基礎設施。就算技術複雜，政府理論上還是可以設定制度、修改流程、控制系統、重新設計組織，並對結果負責。</w:t>
      </w:r>
    </w:p>
    <w:p w:rsidR="002C53C4" w:rsidRDefault="003542FA">
      <w:pPr>
        <w:pStyle w:val="1"/>
      </w:pPr>
      <w:proofErr w:type="spellStart"/>
      <w:r>
        <w:t>五、當代演算法治理研究：既有理論開始出現裂縫</w:t>
      </w:r>
      <w:proofErr w:type="spellEnd"/>
    </w:p>
    <w:p w:rsidR="002C53C4" w:rsidRDefault="003542FA">
      <w:pPr>
        <w:spacing w:after="120" w:line="360" w:lineRule="auto"/>
        <w:jc w:val="both"/>
      </w:pPr>
      <w:proofErr w:type="spellStart"/>
      <w:r>
        <w:rPr>
          <w:rFonts w:eastAsia="Times New Roman"/>
        </w:rPr>
        <w:t>真正的轉折，出現在algorithmic</w:t>
      </w:r>
      <w:proofErr w:type="spellEnd"/>
      <w:r>
        <w:rPr>
          <w:rFonts w:eastAsia="Times New Roman"/>
        </w:rPr>
        <w:t xml:space="preserve"> </w:t>
      </w:r>
      <w:proofErr w:type="spellStart"/>
      <w:r>
        <w:rPr>
          <w:rFonts w:eastAsia="Times New Roman"/>
        </w:rPr>
        <w:t>governance、automated</w:t>
      </w:r>
      <w:proofErr w:type="spellEnd"/>
      <w:r>
        <w:rPr>
          <w:rFonts w:eastAsia="Times New Roman"/>
        </w:rPr>
        <w:t xml:space="preserve"> decision-</w:t>
      </w:r>
      <w:proofErr w:type="spellStart"/>
      <w:r>
        <w:rPr>
          <w:rFonts w:eastAsia="Times New Roman"/>
        </w:rPr>
        <w:t>making跟algorithmic</w:t>
      </w:r>
      <w:proofErr w:type="spellEnd"/>
      <w:r>
        <w:rPr>
          <w:rFonts w:eastAsia="Times New Roman"/>
        </w:rPr>
        <w:t xml:space="preserve"> accountability這幾個跨學科</w:t>
      </w:r>
      <w:r>
        <w:rPr>
          <w:rFonts w:eastAsia="Times New Roman"/>
        </w:rPr>
        <w:t>研究領域。跟早期數位政府主要處理資訊處理、服務流程與組織整合不一樣，公共部門機器學習開始直接進入日常行政判斷與公共服務配置，這就引出一個基本問題：它到底是電子化政府的延伸，還是對既有公共行政實踐構成性質不同的挑戰（Veale &amp; Brass, 2019）？Veale與Brass從政府策略、組織方案到第一線服務層次指出，機器學習的部署，對政府既有的技能、能力、程序與行政實踐，造成跨層次的壓力。</w:t>
      </w:r>
    </w:p>
    <w:p w:rsidR="002C53C4" w:rsidRDefault="003542FA">
      <w:pPr>
        <w:spacing w:after="120" w:line="360" w:lineRule="auto"/>
        <w:jc w:val="both"/>
      </w:pPr>
      <w:r>
        <w:rPr>
          <w:rFonts w:eastAsia="Times New Roman"/>
        </w:rPr>
        <w:t>演算法系統也改變了行政裁量被分析的位置。研究顯示，演算法不是單純取代或消除</w:t>
      </w:r>
      <w:r>
        <w:rPr>
          <w:rFonts w:eastAsia="Times New Roman"/>
        </w:rPr>
        <w:lastRenderedPageBreak/>
        <w:t xml:space="preserve">人類裁量；不同程度的自動化與決策支援，會在模型、資料、組織脈絡與第一線使用者之間，重新分配決策影響力（Meijer et al., 2021; Young, Bullock, &amp; </w:t>
      </w:r>
      <w:proofErr w:type="spellStart"/>
      <w:r>
        <w:rPr>
          <w:rFonts w:eastAsia="Times New Roman"/>
        </w:rPr>
        <w:t>Lecy</w:t>
      </w:r>
      <w:proofErr w:type="spellEnd"/>
      <w:r>
        <w:rPr>
          <w:rFonts w:eastAsia="Times New Roman"/>
        </w:rPr>
        <w:t>, 2019; Bullock, 2019; Busch &amp; Henriksen, 2018）。所以行政決策不能再簡單理解成由單一人類官員做出來的，而要分析資料選擇、模型設計、系統部署、第一線使用與組織監督怎麼共同構成決策過程。行政決策逐漸變成「人類</w:t>
      </w:r>
      <w:r>
        <w:rPr>
          <w:rFonts w:eastAsia="Times New Roman"/>
        </w:rPr>
        <w:t>—演算法組裝體」（Human—algorithm assemblage）。這個重新分配的過程，正是第六節壓力測試要追問的起點：當裁量影響力已經下沉到模型設計與資料選擇的層次，第二節的「人類官員」與第四節的「組織重組」，還剩下多少實質置喙的空間？</w:t>
      </w:r>
    </w:p>
    <w:p w:rsidR="002C53C4" w:rsidRDefault="003542FA">
      <w:pPr>
        <w:spacing w:after="120" w:line="360" w:lineRule="auto"/>
        <w:jc w:val="both"/>
      </w:pPr>
      <w:r>
        <w:rPr>
          <w:rFonts w:eastAsia="Times New Roman"/>
        </w:rPr>
        <w:t>面對這個轉變，既有研究主要提出透明度、可解釋性、演算法課責與人類監督這幾種制度回應。但這些機制本身也有限制。Kroll等人（2017）指出，既有監督與法律標準主要是為人類決策者設計的，拿來套自動化系統，未必適用；Ananny與Crawford（2018）進一步指出，</w:t>
      </w:r>
      <w:r>
        <w:rPr>
          <w:rFonts w:eastAsia="Times New Roman"/>
        </w:rPr>
        <w:t xml:space="preserve">透明不等於真正理解或治理演算法系統——「看得到系統」不代表公共權威就有能力去驗證、修正或控制它實際的運作。Elish（2019）的「道德潰縮區」（moral crumple zone）概念直接點出：人類操作者常常在高度自動化系統裡吸收失敗責任，但他實際理解、改變系統行為的能力其實很有限。人類在場，不保證有意義的控制（Santoni de </w:t>
      </w:r>
      <w:proofErr w:type="spellStart"/>
      <w:r>
        <w:rPr>
          <w:rFonts w:eastAsia="Times New Roman"/>
        </w:rPr>
        <w:t>Sio</w:t>
      </w:r>
      <w:proofErr w:type="spellEnd"/>
      <w:r>
        <w:rPr>
          <w:rFonts w:eastAsia="Times New Roman"/>
        </w:rPr>
        <w:t xml:space="preserve"> &amp; van den Hoven, 2018; </w:t>
      </w:r>
      <w:proofErr w:type="spellStart"/>
      <w:r>
        <w:rPr>
          <w:rFonts w:eastAsia="Times New Roman"/>
        </w:rPr>
        <w:t>Selbst</w:t>
      </w:r>
      <w:proofErr w:type="spellEnd"/>
      <w:r>
        <w:rPr>
          <w:rFonts w:eastAsia="Times New Roman"/>
        </w:rPr>
        <w:t xml:space="preserve"> et al., 2019; Wagner, 2019）。</w:t>
      </w:r>
    </w:p>
    <w:p w:rsidR="002C53C4" w:rsidRDefault="003542FA">
      <w:pPr>
        <w:spacing w:after="120" w:line="360" w:lineRule="auto"/>
        <w:jc w:val="both"/>
      </w:pPr>
      <w:r>
        <w:rPr>
          <w:rFonts w:eastAsia="Times New Roman"/>
        </w:rPr>
        <w:t>Roehl（2024）對自動化行政決策的系統性</w:t>
      </w:r>
      <w:r>
        <w:rPr>
          <w:rFonts w:eastAsia="Times New Roman"/>
        </w:rPr>
        <w:t>回顧進一步顯示，AI與自動化決策同時牽涉accountability、transparency、fairness、equality與rule of law這幾個公共行政價值，而這些價值彼此之間會有協同、權衡、限制的關係。Citron（2008）的technological due process、Coglianese與Lehr（2017）的機器學習時代行政決策，也都把自動化決策直接連結到課責、平等、公平、法治與透明這些公共行政價值。</w:t>
      </w:r>
    </w:p>
    <w:p w:rsidR="002C53C4" w:rsidRDefault="003542FA">
      <w:pPr>
        <w:spacing w:after="120" w:line="360" w:lineRule="auto"/>
        <w:jc w:val="both"/>
      </w:pPr>
      <w:r>
        <w:rPr>
          <w:rFonts w:eastAsia="Times New Roman"/>
        </w:rPr>
        <w:t>當前的演算法治理，把「責任與控制分離」這個矛盾推到了極致，也在臺灣公法學與</w:t>
      </w:r>
      <w:r>
        <w:rPr>
          <w:rFonts w:eastAsia="Times New Roman"/>
        </w:rPr>
        <w:t>行政學界引發對正當法律程序與機關課責的集體警惕。辛年豐（2020）與曾為岑（2022）在檢視自動化行政處分與AI輔助決策時都強調：行政機關把事實認定或裁量評估實質交給黑箱演算法引導時，不只違反行政程序法對「可解釋性」與理由說明義務的要求，更會讓第一線文官因為看不懂模型推論邏輯，而出現「形式核章、實質甩鍋」的</w:t>
      </w:r>
      <w:r>
        <w:rPr>
          <w:rFonts w:eastAsia="Times New Roman"/>
        </w:rPr>
        <w:lastRenderedPageBreak/>
        <w:t>卸責現象。這說明：當代智慧政府如果只把AI當工具，忽略「實質控制權」早就移轉到模型開發者與演算法架構身上，公法上機關該承擔的實質課責性，會被徹底掏空。</w:t>
      </w:r>
    </w:p>
    <w:p w:rsidR="002C53C4" w:rsidRDefault="003542FA">
      <w:pPr>
        <w:spacing w:after="120" w:line="360" w:lineRule="auto"/>
        <w:jc w:val="both"/>
      </w:pPr>
      <w:r>
        <w:rPr>
          <w:rFonts w:eastAsia="Times New Roman"/>
        </w:rPr>
        <w:t>所以第五節真正該追問的，已經不只是「有沒有人類在場」</w:t>
      </w:r>
      <w:r>
        <w:rPr>
          <w:rFonts w:eastAsia="Times New Roman"/>
        </w:rPr>
        <w:t xml:space="preserve">，而是：公共權威依法要承擔決策後果，卻對形成決策的資料、模型、基礎設施或技術變更沒有實質影響能力時，human </w:t>
      </w:r>
      <w:proofErr w:type="spellStart"/>
      <w:r>
        <w:rPr>
          <w:rFonts w:eastAsia="Times New Roman"/>
        </w:rPr>
        <w:t>oversight到底能恢復多少控制？典範文獻回顧，就該在這裡停下來</w:t>
      </w:r>
      <w:proofErr w:type="spellEnd"/>
      <w:r>
        <w:rPr>
          <w:rFonts w:eastAsia="Times New Roman"/>
        </w:rPr>
        <w:t>。</w:t>
      </w:r>
    </w:p>
    <w:p w:rsidR="002C53C4" w:rsidRDefault="003542FA">
      <w:pPr>
        <w:pStyle w:val="1"/>
      </w:pPr>
      <w:proofErr w:type="spellStart"/>
      <w:r>
        <w:t>六、典範壓力測試：責任位置與控制位置的結構性分離</w:t>
      </w:r>
      <w:proofErr w:type="spellEnd"/>
    </w:p>
    <w:p w:rsidR="002C53C4" w:rsidRDefault="003542FA">
      <w:pPr>
        <w:spacing w:after="120" w:line="360" w:lineRule="auto"/>
        <w:jc w:val="both"/>
      </w:pPr>
      <w:r>
        <w:rPr>
          <w:rFonts w:eastAsia="Times New Roman"/>
        </w:rPr>
        <w:t>本文不把古典公共行政、NPM、DEG與演算法治理研究，當成四個完全對等的「公共行政典範」。更精確地說：這是三個主要行政典範，加一個當代跨學科研究領域。它們共同構成公共行政吸收技術變遷的歷史敘事（見表1）。</w:t>
      </w:r>
    </w:p>
    <w:p w:rsidR="002C53C4" w:rsidRDefault="003542FA">
      <w:pPr>
        <w:spacing w:after="120" w:line="360" w:lineRule="auto"/>
        <w:jc w:val="both"/>
      </w:pPr>
      <w:r>
        <w:rPr>
          <w:rFonts w:eastAsia="Times New Roman"/>
          <w:b/>
          <w:bCs/>
        </w:rPr>
        <w:t xml:space="preserve">表1 </w:t>
      </w:r>
      <w:proofErr w:type="spellStart"/>
      <w:r>
        <w:rPr>
          <w:rFonts w:eastAsia="Times New Roman"/>
          <w:b/>
          <w:bCs/>
        </w:rPr>
        <w:t>公共行政吸收技術變遷的階段敘事</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513"/>
        <w:gridCol w:w="3513"/>
      </w:tblGrid>
      <w:tr w:rsidR="002C53C4">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階段</w:t>
            </w:r>
            <w:proofErr w:type="spellEnd"/>
          </w:p>
        </w:tc>
        <w:tc>
          <w:tcPr>
            <w:tcW w:w="3513"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技術進入行政後的問題</w:t>
            </w:r>
            <w:proofErr w:type="spellEnd"/>
          </w:p>
        </w:tc>
        <w:tc>
          <w:tcPr>
            <w:tcW w:w="3513"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公共行</w:t>
            </w:r>
            <w:r>
              <w:rPr>
                <w:rFonts w:eastAsia="Times New Roman"/>
                <w:b/>
                <w:bCs/>
                <w:sz w:val="18"/>
                <w:szCs w:val="18"/>
              </w:rPr>
              <w:t>政的回答</w:t>
            </w:r>
            <w:proofErr w:type="spellEnd"/>
          </w:p>
        </w:tc>
      </w:tr>
      <w:tr w:rsidR="002C53C4">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古典公共行政</w:t>
            </w:r>
            <w:proofErr w:type="spellEnd"/>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如何維持行政秩序</w:t>
            </w:r>
            <w:proofErr w:type="spellEnd"/>
            <w:r>
              <w:rPr>
                <w:rFonts w:eastAsia="Times New Roman"/>
                <w:sz w:val="18"/>
                <w:szCs w:val="18"/>
              </w:rPr>
              <w:t>？</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層級與規則</w:t>
            </w:r>
            <w:proofErr w:type="spellEnd"/>
          </w:p>
        </w:tc>
      </w:tr>
      <w:tr w:rsidR="002C53C4">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新公共管理</w:t>
            </w:r>
            <w:proofErr w:type="spellEnd"/>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誰來提供服務</w:t>
            </w:r>
            <w:proofErr w:type="spellEnd"/>
            <w:r>
              <w:rPr>
                <w:rFonts w:eastAsia="Times New Roman"/>
                <w:sz w:val="18"/>
                <w:szCs w:val="18"/>
              </w:rPr>
              <w:t>？</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契約與績效</w:t>
            </w:r>
            <w:proofErr w:type="spellEnd"/>
          </w:p>
        </w:tc>
      </w:tr>
      <w:tr w:rsidR="002C53C4">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數位時代治理</w:t>
            </w:r>
            <w:proofErr w:type="spellEnd"/>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如何整合數位化流程</w:t>
            </w:r>
            <w:proofErr w:type="spellEnd"/>
            <w:r>
              <w:rPr>
                <w:rFonts w:eastAsia="Times New Roman"/>
                <w:sz w:val="18"/>
                <w:szCs w:val="18"/>
              </w:rPr>
              <w:t>？</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組織重組與數位整合</w:t>
            </w:r>
            <w:proofErr w:type="spellEnd"/>
          </w:p>
        </w:tc>
      </w:tr>
      <w:tr w:rsidR="002C53C4">
        <w:tblPrEx>
          <w:tblCellMar>
            <w:top w:w="0" w:type="dxa"/>
            <w:bottom w:w="0" w:type="dxa"/>
          </w:tblCellMar>
        </w:tblPrEx>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演算法治理研究</w:t>
            </w:r>
            <w:proofErr w:type="spellEnd"/>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如何監督演算法</w:t>
            </w:r>
            <w:proofErr w:type="spellEnd"/>
            <w:r>
              <w:rPr>
                <w:rFonts w:eastAsia="Times New Roman"/>
                <w:sz w:val="18"/>
                <w:szCs w:val="18"/>
              </w:rPr>
              <w:t>？</w:t>
            </w:r>
          </w:p>
        </w:tc>
        <w:tc>
          <w:tcPr>
            <w:tcW w:w="351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透明、課責、人類監督</w:t>
            </w:r>
            <w:proofErr w:type="spellEnd"/>
          </w:p>
        </w:tc>
      </w:tr>
    </w:tbl>
    <w:p w:rsidR="002C53C4" w:rsidRDefault="002C53C4">
      <w:pPr>
        <w:spacing w:after="200"/>
      </w:pPr>
    </w:p>
    <w:p w:rsidR="002C53C4" w:rsidRDefault="003542FA">
      <w:pPr>
        <w:spacing w:after="120" w:line="360" w:lineRule="auto"/>
        <w:jc w:val="both"/>
      </w:pPr>
      <w:proofErr w:type="spellStart"/>
      <w:r>
        <w:rPr>
          <w:rFonts w:eastAsia="Times New Roman"/>
        </w:rPr>
        <w:t>既有理論不是「錯的</w:t>
      </w:r>
      <w:proofErr w:type="spellEnd"/>
      <w:r>
        <w:rPr>
          <w:rFonts w:eastAsia="Times New Roman"/>
        </w:rPr>
        <w:t>」，</w:t>
      </w:r>
      <w:proofErr w:type="spellStart"/>
      <w:r>
        <w:rPr>
          <w:rFonts w:eastAsia="Times New Roman"/>
        </w:rPr>
        <w:t>它們都能處理技術複雜性，也都預設：技術最終還是能被收進某種可辨識的行政控制架構裡</w:t>
      </w:r>
      <w:proofErr w:type="spellEnd"/>
      <w:r>
        <w:rPr>
          <w:rFonts w:eastAsia="Times New Roman"/>
        </w:rPr>
        <w:t>。</w:t>
      </w:r>
    </w:p>
    <w:p w:rsidR="002C53C4" w:rsidRDefault="003542FA">
      <w:pPr>
        <w:pStyle w:val="2"/>
      </w:pPr>
      <w:proofErr w:type="spellStart"/>
      <w:r>
        <w:t>壓力測試的方法操作與判準</w:t>
      </w:r>
      <w:proofErr w:type="spellEnd"/>
    </w:p>
    <w:p w:rsidR="002C53C4" w:rsidRDefault="003542FA">
      <w:pPr>
        <w:spacing w:after="120" w:line="360" w:lineRule="auto"/>
        <w:jc w:val="both"/>
      </w:pPr>
      <w:proofErr w:type="spellStart"/>
      <w:r>
        <w:rPr>
          <w:rFonts w:eastAsia="Times New Roman"/>
        </w:rPr>
        <w:t>全文用「壓力測試</w:t>
      </w:r>
      <w:proofErr w:type="spellEnd"/>
      <w:r>
        <w:rPr>
          <w:rFonts w:eastAsia="Times New Roman"/>
        </w:rPr>
        <w:t xml:space="preserve">」（stress </w:t>
      </w:r>
      <w:r>
        <w:rPr>
          <w:rFonts w:eastAsia="Times New Roman"/>
        </w:rPr>
        <w:t>test）當核心方法。這裡的壓力測試不是統計或模擬意義上的那種，而是一種理論診斷程序：把同一個極端情境——「公法責任位置」與「實質控制位置」結構性分離——套用到每一套理論上，看它既有的控制機制能不能讓公共權威恢復實質控制。這套診斷程序跟第二節「結構性分離的可觀察徵象」共用同一組判斷邏輯（原初假定還成不成立），只是分別在「診斷方法」跟「操作指標」兩個層次展開。操作步驟如下：</w:t>
      </w:r>
    </w:p>
    <w:p w:rsidR="002C53C4" w:rsidRDefault="003542FA">
      <w:pPr>
        <w:pStyle w:val="a4"/>
        <w:numPr>
          <w:ilvl w:val="0"/>
          <w:numId w:val="3"/>
        </w:numPr>
        <w:spacing w:after="60" w:line="360" w:lineRule="auto"/>
      </w:pPr>
      <w:proofErr w:type="spellStart"/>
      <w:r>
        <w:rPr>
          <w:rFonts w:eastAsia="Times New Roman"/>
        </w:rPr>
        <w:t>抽出各典範／領域傳統的核心控制機制</w:t>
      </w:r>
      <w:proofErr w:type="spellEnd"/>
      <w:r>
        <w:rPr>
          <w:rFonts w:eastAsia="Times New Roman"/>
        </w:rPr>
        <w:t>；</w:t>
      </w:r>
    </w:p>
    <w:p w:rsidR="002C53C4" w:rsidRDefault="003542FA">
      <w:pPr>
        <w:pStyle w:val="a4"/>
        <w:numPr>
          <w:ilvl w:val="0"/>
          <w:numId w:val="3"/>
        </w:numPr>
        <w:spacing w:after="60" w:line="360" w:lineRule="auto"/>
      </w:pPr>
      <w:proofErr w:type="spellStart"/>
      <w:r>
        <w:rPr>
          <w:rFonts w:eastAsia="Times New Roman"/>
        </w:rPr>
        <w:t>找出AI進入後，這個機制面臨的結構性挑戰（尤其是技術鎖定、資訊不對稱、基礎設施依賴</w:t>
      </w:r>
      <w:proofErr w:type="spellEnd"/>
      <w:r>
        <w:rPr>
          <w:rFonts w:eastAsia="Times New Roman"/>
        </w:rPr>
        <w:t>）；</w:t>
      </w:r>
    </w:p>
    <w:p w:rsidR="002C53C4" w:rsidRDefault="003542FA">
      <w:pPr>
        <w:pStyle w:val="a4"/>
        <w:numPr>
          <w:ilvl w:val="0"/>
          <w:numId w:val="3"/>
        </w:numPr>
        <w:spacing w:after="60" w:line="360" w:lineRule="auto"/>
      </w:pPr>
      <w:proofErr w:type="spellStart"/>
      <w:r>
        <w:rPr>
          <w:rFonts w:eastAsia="Times New Roman"/>
        </w:rPr>
        <w:lastRenderedPageBreak/>
        <w:t>評估既有修</w:t>
      </w:r>
      <w:r>
        <w:rPr>
          <w:rFonts w:eastAsia="Times New Roman"/>
        </w:rPr>
        <w:t>復機制能不能讓責任位置與控制位置重新對齊</w:t>
      </w:r>
      <w:proofErr w:type="spellEnd"/>
      <w:r>
        <w:rPr>
          <w:rFonts w:eastAsia="Times New Roman"/>
        </w:rPr>
        <w:t>；</w:t>
      </w:r>
    </w:p>
    <w:p w:rsidR="002C53C4" w:rsidRDefault="003542FA">
      <w:pPr>
        <w:pStyle w:val="a4"/>
        <w:numPr>
          <w:ilvl w:val="0"/>
          <w:numId w:val="3"/>
        </w:numPr>
        <w:spacing w:after="120" w:line="360" w:lineRule="auto"/>
      </w:pPr>
      <w:proofErr w:type="spellStart"/>
      <w:r>
        <w:rPr>
          <w:rFonts w:eastAsia="Times New Roman"/>
        </w:rPr>
        <w:t>判定結果是「部分修復</w:t>
      </w:r>
      <w:proofErr w:type="spellEnd"/>
      <w:r>
        <w:rPr>
          <w:rFonts w:eastAsia="Times New Roman"/>
        </w:rPr>
        <w:t>」（</w:t>
      </w:r>
      <w:proofErr w:type="spellStart"/>
      <w:r>
        <w:rPr>
          <w:rFonts w:eastAsia="Times New Roman"/>
        </w:rPr>
        <w:t>機制還有緩解作用，但不保證實質控制能恢復）或「修復失效</w:t>
      </w:r>
      <w:proofErr w:type="spellEnd"/>
      <w:r>
        <w:rPr>
          <w:rFonts w:eastAsia="Times New Roman"/>
        </w:rPr>
        <w:t>」（</w:t>
      </w:r>
      <w:proofErr w:type="spellStart"/>
      <w:r>
        <w:rPr>
          <w:rFonts w:eastAsia="Times New Roman"/>
        </w:rPr>
        <w:t>機制在結構性分離下實際上失效</w:t>
      </w:r>
      <w:proofErr w:type="spellEnd"/>
      <w:r>
        <w:rPr>
          <w:rFonts w:eastAsia="Times New Roman"/>
        </w:rPr>
        <w:t>）。</w:t>
      </w:r>
    </w:p>
    <w:p w:rsidR="002C53C4" w:rsidRDefault="003542FA">
      <w:pPr>
        <w:spacing w:after="120" w:line="360" w:lineRule="auto"/>
        <w:jc w:val="both"/>
      </w:pPr>
      <w:r>
        <w:rPr>
          <w:rFonts w:eastAsia="Times New Roman"/>
        </w:rPr>
        <w:t>判準可以先簡化成一句話：機制若在原初假定下被認為足以維持控制，但在「兩個位置結構性分離」的情境裡撐不住那個假定，就判定為失效或僅能部分修復。這個判準來自各典範自己的理論預設，本質上是詮釋性的理論診斷，不是可以完全複製的量化程序；它的可複製性在於把判準來源與分析步驟講清楚，讓其他研究者可以就同一個問題提出不同判斷。</w:t>
      </w:r>
    </w:p>
    <w:p w:rsidR="002C53C4" w:rsidRDefault="003542FA">
      <w:pPr>
        <w:spacing w:after="120" w:line="360" w:lineRule="auto"/>
        <w:jc w:val="both"/>
      </w:pPr>
      <w:r>
        <w:rPr>
          <w:rFonts w:eastAsia="Times New Roman"/>
        </w:rPr>
        <w:t>讓論證更具體一點，可以簡單參照臺灣自</w:t>
      </w:r>
      <w:r>
        <w:rPr>
          <w:rFonts w:eastAsia="Times New Roman"/>
        </w:rPr>
        <w:t>動化行政處分的爭議情境：行政機關把事實認定或裁量評估實質交給演算法引導，第一線官員只能「形式核章」、沒辦法實質質疑模型推論時，古典層級監督、NPM契約監督、DEG組織重組跟演算法治理的人類監督機制，可能同時陷入「形式上有人負責、實質上沒人能改」的狀態（辛年豐，2020；曾為岑，2022）。這類情境示範了結構性分離在實務中怎麼發生、既有機制又是怎麼實際失效的。</w:t>
      </w:r>
    </w:p>
    <w:p w:rsidR="002C53C4" w:rsidRDefault="003542FA">
      <w:pPr>
        <w:pStyle w:val="2"/>
      </w:pPr>
      <w:proofErr w:type="spellStart"/>
      <w:r>
        <w:t>統一的壓力測試問題</w:t>
      </w:r>
      <w:proofErr w:type="spellEnd"/>
    </w:p>
    <w:p w:rsidR="002C53C4" w:rsidRDefault="003542FA">
      <w:pPr>
        <w:spacing w:after="120" w:line="360" w:lineRule="auto"/>
        <w:jc w:val="both"/>
      </w:pPr>
      <w:proofErr w:type="spellStart"/>
      <w:r>
        <w:rPr>
          <w:rFonts w:eastAsia="Times New Roman"/>
        </w:rPr>
        <w:t>現在對這四套文獻問同一個問題：法律責任跟實質控制結構性分離時，這個典範／領域能不能讓公共權威恢復實質控制</w:t>
      </w:r>
      <w:proofErr w:type="spellEnd"/>
      <w:r>
        <w:rPr>
          <w:rFonts w:eastAsia="Times New Roman"/>
        </w:rPr>
        <w:t>？</w:t>
      </w:r>
    </w:p>
    <w:p w:rsidR="002C53C4" w:rsidRDefault="003542FA">
      <w:pPr>
        <w:spacing w:after="120" w:line="360" w:lineRule="auto"/>
        <w:jc w:val="both"/>
      </w:pPr>
      <w:r>
        <w:rPr>
          <w:rFonts w:eastAsia="Times New Roman"/>
          <w:b/>
          <w:bCs/>
        </w:rPr>
        <w:t xml:space="preserve">表2 </w:t>
      </w:r>
      <w:proofErr w:type="spellStart"/>
      <w:r>
        <w:rPr>
          <w:rFonts w:eastAsia="Times New Roman"/>
          <w:b/>
          <w:bCs/>
        </w:rPr>
        <w:t>既有理論的控制修</w:t>
      </w:r>
      <w:r>
        <w:rPr>
          <w:rFonts w:eastAsia="Times New Roman"/>
          <w:b/>
          <w:bCs/>
        </w:rPr>
        <w:t>復機制、結構性挑戰與失效模式</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20"/>
        <w:gridCol w:w="5800"/>
        <w:gridCol w:w="7180"/>
        <w:gridCol w:w="7540"/>
      </w:tblGrid>
      <w:tr w:rsidR="002C53C4">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典範／領域</w:t>
            </w:r>
            <w:proofErr w:type="spellEnd"/>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傳統核心控制機制</w:t>
            </w:r>
            <w:proofErr w:type="spellEnd"/>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AI進入後的結構性挑戰</w:t>
            </w:r>
            <w:proofErr w:type="spellEnd"/>
          </w:p>
        </w:tc>
        <w:tc>
          <w:tcPr>
            <w:tcW w:w="2426"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pPr>
              <w:spacing w:after="40"/>
            </w:pPr>
            <w:proofErr w:type="spellStart"/>
            <w:r>
              <w:rPr>
                <w:rFonts w:eastAsia="Times New Roman"/>
                <w:b/>
                <w:bCs/>
                <w:sz w:val="18"/>
                <w:szCs w:val="18"/>
              </w:rPr>
              <w:t>既有修復機制的盲點／失效模式</w:t>
            </w:r>
            <w:proofErr w:type="spellEnd"/>
          </w:p>
        </w:tc>
      </w:tr>
      <w:tr w:rsidR="002C53C4">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古典公共行政</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科層層級、指揮鏈、規則約束與官員責任</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決策邏輯黑箱化與分散化，人類官員無法即時核實處分依據</w:t>
            </w:r>
            <w:proofErr w:type="spellEnd"/>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r>
              <w:rPr>
                <w:rFonts w:eastAsia="Times New Roman"/>
                <w:sz w:val="18"/>
                <w:szCs w:val="18"/>
              </w:rPr>
              <w:t>「</w:t>
            </w:r>
            <w:proofErr w:type="spellStart"/>
            <w:r>
              <w:rPr>
                <w:rFonts w:eastAsia="Times New Roman"/>
                <w:sz w:val="18"/>
                <w:szCs w:val="18"/>
              </w:rPr>
              <w:t>形式上有人簽名」不等於「實質上做出決定</w:t>
            </w:r>
            <w:proofErr w:type="spellEnd"/>
            <w:r>
              <w:rPr>
                <w:rFonts w:eastAsia="Times New Roman"/>
                <w:sz w:val="18"/>
                <w:szCs w:val="18"/>
              </w:rPr>
              <w:t>」，</w:t>
            </w:r>
            <w:proofErr w:type="spellStart"/>
            <w:r>
              <w:rPr>
                <w:rFonts w:eastAsia="Times New Roman"/>
                <w:sz w:val="18"/>
                <w:szCs w:val="18"/>
              </w:rPr>
              <w:t>科層監督淪為橡皮圖章（判定：修復失效</w:t>
            </w:r>
            <w:proofErr w:type="spellEnd"/>
            <w:r>
              <w:rPr>
                <w:rFonts w:eastAsia="Times New Roman"/>
                <w:sz w:val="18"/>
                <w:szCs w:val="18"/>
              </w:rPr>
              <w:t>）</w:t>
            </w:r>
          </w:p>
        </w:tc>
      </w:tr>
      <w:tr w:rsidR="002C53C4">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新公共管理</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契約條款、規格化定標、績效指標與外部監督；契約管理能力（Romzek</w:t>
            </w:r>
            <w:proofErr w:type="spellEnd"/>
            <w:r>
              <w:rPr>
                <w:rFonts w:eastAsia="Times New Roman"/>
                <w:sz w:val="18"/>
                <w:szCs w:val="18"/>
              </w:rPr>
              <w:t xml:space="preserve"> &amp; Johnston, 2002）</w:t>
            </w:r>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系統更新疊代快、知識極度不對稱，無法事先完備契約規格；多層供應鏈下管理能力受限</w:t>
            </w:r>
            <w:proofErr w:type="spellEnd"/>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不可能將未知的模型湧現行為事先完整寫入契約條款；hollow</w:t>
            </w:r>
            <w:proofErr w:type="spellEnd"/>
            <w:r>
              <w:rPr>
                <w:rFonts w:eastAsia="Times New Roman"/>
                <w:sz w:val="18"/>
                <w:szCs w:val="18"/>
              </w:rPr>
              <w:t xml:space="preserve"> </w:t>
            </w:r>
            <w:proofErr w:type="spellStart"/>
            <w:r>
              <w:rPr>
                <w:rFonts w:eastAsia="Times New Roman"/>
                <w:sz w:val="18"/>
                <w:szCs w:val="18"/>
              </w:rPr>
              <w:t>state下控制能力難以恢復（判定：部分修復</w:t>
            </w:r>
            <w:proofErr w:type="spellEnd"/>
            <w:r>
              <w:rPr>
                <w:rFonts w:eastAsia="Times New Roman"/>
                <w:sz w:val="18"/>
                <w:szCs w:val="18"/>
              </w:rPr>
              <w:t>）</w:t>
            </w:r>
          </w:p>
        </w:tc>
      </w:tr>
      <w:tr w:rsidR="002C53C4">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數位時代治理</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組織重組、資訊系統整合與端到端數位服務架構</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核心模型依賴外部科技巨頭基礎設施（Infrastructure</w:t>
            </w:r>
            <w:proofErr w:type="spellEnd"/>
            <w:r>
              <w:rPr>
                <w:rFonts w:eastAsia="Times New Roman"/>
                <w:sz w:val="18"/>
                <w:szCs w:val="18"/>
              </w:rPr>
              <w:t xml:space="preserve"> Lock-in）</w:t>
            </w:r>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政府無法單靠「組織內部重組」來重建對外部雲端與底層模型的控制力（判定：修復失效</w:t>
            </w:r>
            <w:proofErr w:type="spellEnd"/>
            <w:r>
              <w:rPr>
                <w:rFonts w:eastAsia="Times New Roman"/>
                <w:sz w:val="18"/>
                <w:szCs w:val="18"/>
              </w:rPr>
              <w:t>）</w:t>
            </w:r>
          </w:p>
        </w:tc>
      </w:tr>
      <w:tr w:rsidR="002C53C4">
        <w:tblPrEx>
          <w:tblCellMar>
            <w:top w:w="0" w:type="dxa"/>
            <w:bottom w:w="0" w:type="dxa"/>
          </w:tblCellMar>
        </w:tblPrEx>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演算法治理研究</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透明化、可解釋性與人類監督</w:t>
            </w:r>
            <w:proofErr w:type="spellEnd"/>
          </w:p>
        </w:t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存在「道德潰縮區」與自動化偏誤；監督者缺乏逆轉決策的能力與誘因</w:t>
            </w:r>
            <w:proofErr w:type="spellEnd"/>
          </w:p>
        </w:tc>
        <w:tc>
          <w:tcPr>
            <w:tcW w:w="24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pPr>
              <w:spacing w:after="40"/>
            </w:pPr>
            <w:proofErr w:type="spellStart"/>
            <w:r>
              <w:rPr>
                <w:rFonts w:eastAsia="Times New Roman"/>
                <w:sz w:val="18"/>
                <w:szCs w:val="18"/>
              </w:rPr>
              <w:t>透明不等於能控制</w:t>
            </w:r>
            <w:proofErr w:type="spellEnd"/>
            <w:r>
              <w:rPr>
                <w:rFonts w:eastAsia="Times New Roman"/>
                <w:sz w:val="18"/>
                <w:szCs w:val="18"/>
              </w:rPr>
              <w:t>；「</w:t>
            </w:r>
            <w:proofErr w:type="spellStart"/>
            <w:r>
              <w:rPr>
                <w:rFonts w:eastAsia="Times New Roman"/>
                <w:sz w:val="18"/>
                <w:szCs w:val="18"/>
              </w:rPr>
              <w:t>人在環中」常淪為卸責與合法化工具（判定：修復失效</w:t>
            </w:r>
            <w:proofErr w:type="spellEnd"/>
            <w:r>
              <w:rPr>
                <w:rFonts w:eastAsia="Times New Roman"/>
                <w:sz w:val="18"/>
                <w:szCs w:val="18"/>
              </w:rPr>
              <w:t>）</w:t>
            </w:r>
          </w:p>
        </w:tc>
      </w:tr>
    </w:tbl>
    <w:p w:rsidR="002C53C4" w:rsidRDefault="002C53C4">
      <w:pPr>
        <w:spacing w:after="200"/>
      </w:pPr>
    </w:p>
    <w:p w:rsidR="002C53C4" w:rsidRDefault="003542FA">
      <w:pPr>
        <w:spacing w:after="120" w:line="360" w:lineRule="auto"/>
        <w:jc w:val="both"/>
      </w:pPr>
      <w:r>
        <w:rPr>
          <w:rFonts w:eastAsia="Times New Roman"/>
        </w:rPr>
        <w:t>表2呈現的是結論性判斷。以下只補充表格沒能完全呈現的推理要點：古典公共行政靠層級與人類責任，但如果控制機制埋在外部技術基礎設施裡，人類官員又沒有實質修改與停止的能力，「形式上有人簽名」不等於「實質上做出決定」。NPM靠契約規格與績效監督，但正如第三節指出的，生成式或動態學習模型的湧現行為造成的是「性</w:t>
      </w:r>
      <w:r>
        <w:rPr>
          <w:rFonts w:eastAsia="Times New Roman"/>
        </w:rPr>
        <w:lastRenderedPageBreak/>
        <w:t xml:space="preserve">質」而非「程度」上的落差——不是合約寫得不夠精細，而是窮盡列舉在理論上就不可能，引導能力因此嚴重受損；在hollow </w:t>
      </w:r>
      <w:proofErr w:type="spellStart"/>
      <w:r>
        <w:rPr>
          <w:rFonts w:eastAsia="Times New Roman"/>
        </w:rPr>
        <w:t>state情境下，多層供應鏈跟高度技術不對稱，進一步削弱契約管理能力（Milward</w:t>
      </w:r>
      <w:proofErr w:type="spellEnd"/>
      <w:r>
        <w:rPr>
          <w:rFonts w:eastAsia="Times New Roman"/>
        </w:rPr>
        <w:t xml:space="preserve"> &amp; </w:t>
      </w:r>
      <w:proofErr w:type="spellStart"/>
      <w:r>
        <w:rPr>
          <w:rFonts w:eastAsia="Times New Roman"/>
        </w:rPr>
        <w:t>Provan</w:t>
      </w:r>
      <w:proofErr w:type="spellEnd"/>
      <w:r>
        <w:rPr>
          <w:rFonts w:eastAsia="Times New Roman"/>
        </w:rPr>
        <w:t xml:space="preserve">, 2000; </w:t>
      </w:r>
      <w:proofErr w:type="spellStart"/>
      <w:r>
        <w:rPr>
          <w:rFonts w:eastAsia="Times New Roman"/>
        </w:rPr>
        <w:t>Romzek</w:t>
      </w:r>
      <w:proofErr w:type="spellEnd"/>
      <w:r>
        <w:rPr>
          <w:rFonts w:eastAsia="Times New Roman"/>
        </w:rPr>
        <w:t xml:space="preserve"> &amp; Johnston, 2002）。DEG靠組織重組與數位整合，但如果核心基礎設施的控制權在外部平台手上，組織內部重組沒辦法重建對外部雲端與底層模型的控制力。演算法治理研究靠透明、可解釋性與人類監督，但如果人類只能看結果，沒辦法充分理解、驗證、修正或停止系統，形式化的監督就會淪為合法化機制（Ananny &amp; Crawford, 2018; </w:t>
      </w:r>
      <w:proofErr w:type="spellStart"/>
      <w:r>
        <w:rPr>
          <w:rFonts w:eastAsia="Times New Roman"/>
        </w:rPr>
        <w:t>Elish</w:t>
      </w:r>
      <w:proofErr w:type="spellEnd"/>
      <w:r>
        <w:rPr>
          <w:rFonts w:eastAsia="Times New Roman"/>
        </w:rPr>
        <w:t xml:space="preserve">, 2019; Kroll </w:t>
      </w:r>
      <w:r>
        <w:rPr>
          <w:rFonts w:eastAsia="Times New Roman"/>
        </w:rPr>
        <w:t>et al., 2017）。</w:t>
      </w:r>
    </w:p>
    <w:p w:rsidR="002C53C4" w:rsidRDefault="003542FA">
      <w:pPr>
        <w:pStyle w:val="2"/>
      </w:pPr>
      <w:proofErr w:type="spellStart"/>
      <w:r>
        <w:t>共同結果與對反方立場的回應</w:t>
      </w:r>
      <w:proofErr w:type="spellEnd"/>
    </w:p>
    <w:p w:rsidR="002C53C4" w:rsidRDefault="003542FA">
      <w:pPr>
        <w:spacing w:after="120" w:line="360" w:lineRule="auto"/>
        <w:jc w:val="both"/>
      </w:pPr>
      <w:r>
        <w:rPr>
          <w:rFonts w:eastAsia="Times New Roman"/>
        </w:rPr>
        <w:t>文獻顯示，既有理論確實提供了不少制度資源來緩解技術複雜性。一個合理的反方立場是：現行的人類監督、可解釋性與課責機制雖然不完美，但在多數行政情境中是不是已經「夠用」了，不見得需要在理論上再立一個新的最低控制能力門檻。</w:t>
      </w:r>
    </w:p>
    <w:p w:rsidR="002C53C4" w:rsidRDefault="003542FA">
      <w:pPr>
        <w:spacing w:after="120" w:line="360" w:lineRule="auto"/>
        <w:jc w:val="both"/>
      </w:pPr>
      <w:r>
        <w:rPr>
          <w:rFonts w:eastAsia="Times New Roman"/>
        </w:rPr>
        <w:t>本文正面回應這個立場：規範上，「部分修復」之所以站不住腳，不是因為它「不完美」，而是因為它沒辦法確保公法責任位置跟實質控制位置在結構上重新對齊。當關鍵知識、修改能力、基礎設施與運作依賴，結構性地落在法律責任位置之外，公共權威就算形式上還有</w:t>
      </w:r>
      <w:r>
        <w:rPr>
          <w:rFonts w:eastAsia="Times New Roman"/>
        </w:rPr>
        <w:t>監督管道，實質上也可能沒辦法履行法定義務——包括正當法律程序中的理由說明、有效救濟，以及國家賠償責任的實質承擔。如果「有人在場」只能吸收失敗責任、卻改變不了系統行為，課責本身就淪為道德潰縮區的制度化（Elish, 2019）。這個缺口也不只發生在法治國那一端：結構性分離發生時，政府同樣沒辦法獨立診斷系統異常、即時修正錯誤，NPM式治理原本追求的實質效率，也會因此變成一種新型態的系統性行政風險——效率承諾跟正當法律程序，在同一個結構性分離下一起落空。所以問題不在於既有機制「有沒有用」，而在於它們夠不夠格當公權</w:t>
      </w:r>
      <w:r>
        <w:rPr>
          <w:rFonts w:eastAsia="Times New Roman"/>
        </w:rPr>
        <w:t>力行使的正當性基礎。正是這個規範缺口，讓後面提出「最低實質控制能力」與「退出權」有了理論必要性，而不只是經驗觀察的延伸。</w:t>
      </w:r>
    </w:p>
    <w:p w:rsidR="002C53C4" w:rsidRDefault="003542FA">
      <w:r>
        <w:t>除了「現行機制已經夠用」，還有兩種常見的替代解釋，這裡一併回應。第一種認</w:t>
      </w:r>
      <w:r>
        <w:lastRenderedPageBreak/>
        <w:t>為，責任與控制的分離只是暫時的技術落後</w:t>
      </w:r>
      <w:proofErr w:type="gramStart"/>
      <w:r>
        <w:t>—</w:t>
      </w:r>
      <w:proofErr w:type="gramEnd"/>
      <w:r>
        <w:t>—</w:t>
      </w:r>
      <w:r>
        <w:t>等可解釋</w:t>
      </w:r>
      <w:r>
        <w:t>AI</w:t>
      </w:r>
      <w:r>
        <w:t>與政府的技術能力提升，兩者自然會重新對齊。但本文的壓力測試已經指出，</w:t>
      </w:r>
      <w:proofErr w:type="gramStart"/>
      <w:r>
        <w:t>生成式與動態</w:t>
      </w:r>
      <w:proofErr w:type="gramEnd"/>
      <w:r>
        <w:t>學習模型的落差是「性質」而非「程度」問題：湧現行為在理論上就無法窮盡列舉，這不是政府能力追上就能解決的暫時落差，而是模型運作邏輯本身造成的結構性限制。第二種認為，責任與控制本來就不必完</w:t>
      </w:r>
      <w:r>
        <w:t>全重合，重點在於設計有效</w:t>
      </w:r>
      <w:proofErr w:type="gramStart"/>
      <w:r>
        <w:t>的課責安排</w:t>
      </w:r>
      <w:proofErr w:type="gramEnd"/>
      <w:r>
        <w:t>即可。但如第七節所述，</w:t>
      </w:r>
      <w:proofErr w:type="gramStart"/>
      <w:r>
        <w:t>課責文獻</w:t>
      </w:r>
      <w:proofErr w:type="gramEnd"/>
      <w:r>
        <w:t>本身已區分責任、可控制性、透明與法律後果並非同一概念；一個機關可以在法律上仍是責任主體、也</w:t>
      </w:r>
      <w:proofErr w:type="gramStart"/>
      <w:r>
        <w:t>接受課責審查</w:t>
      </w:r>
      <w:proofErr w:type="gramEnd"/>
      <w:r>
        <w:t>，卻同時不具備理解、驗證、修正或終止系統的實質能力。若</w:t>
      </w:r>
      <w:proofErr w:type="gramStart"/>
      <w:r>
        <w:t>課責只</w:t>
      </w:r>
      <w:proofErr w:type="gramEnd"/>
      <w:r>
        <w:t>剩下「事後究責」而非「事前事中的實質控制」，公法上要求的理由說明、有效救濟與國家賠償責任，仍然可能無法被實質履行。這正是本文堅持「結構性分離」而非「</w:t>
      </w:r>
      <w:proofErr w:type="gramStart"/>
      <w:r>
        <w:t>課責不足</w:t>
      </w:r>
      <w:proofErr w:type="gramEnd"/>
      <w:r>
        <w:t>」才是核心異常的原因。</w:t>
      </w:r>
    </w:p>
    <w:p w:rsidR="002C53C4" w:rsidRDefault="003542FA">
      <w:pPr>
        <w:spacing w:after="120" w:line="360" w:lineRule="auto"/>
        <w:jc w:val="both"/>
      </w:pPr>
      <w:proofErr w:type="spellStart"/>
      <w:r>
        <w:rPr>
          <w:rFonts w:eastAsia="Times New Roman"/>
        </w:rPr>
        <w:t>總結來說，既有理論提供了部分修復機制，但還沒講清楚實質控制要恢復到什麼門檻才算數</w:t>
      </w:r>
      <w:proofErr w:type="spellEnd"/>
      <w:r>
        <w:rPr>
          <w:rFonts w:eastAsia="Times New Roman"/>
        </w:rPr>
        <w:t>。</w:t>
      </w:r>
    </w:p>
    <w:p w:rsidR="002C53C4" w:rsidRDefault="003542FA">
      <w:pPr>
        <w:pStyle w:val="1"/>
      </w:pPr>
      <w:proofErr w:type="spellStart"/>
      <w:r>
        <w:t>七、未吸收的異常與理論</w:t>
      </w:r>
      <w:r>
        <w:t>缺口</w:t>
      </w:r>
      <w:proofErr w:type="spellEnd"/>
    </w:p>
    <w:p w:rsidR="002C53C4" w:rsidRDefault="003542FA">
      <w:pPr>
        <w:spacing w:after="120" w:line="360" w:lineRule="auto"/>
        <w:jc w:val="both"/>
      </w:pPr>
      <w:r>
        <w:rPr>
          <w:rFonts w:eastAsia="Times New Roman"/>
        </w:rPr>
        <w:t>跨古典公共行政、新公共管理、數位時代治理跟當代演算法治理研究，公共行政面對技術複雜性的基本反應模式一直高度一致：靠層級、契約、組織重組、制度設計或人類監督，把技術重新收進某種可辨識的行政控制架構裡。</w:t>
      </w:r>
    </w:p>
    <w:p w:rsidR="002C53C4" w:rsidRDefault="003542FA">
      <w:pPr>
        <w:spacing w:after="120" w:line="360" w:lineRule="auto"/>
        <w:jc w:val="both"/>
      </w:pPr>
      <w:r>
        <w:rPr>
          <w:rFonts w:eastAsia="Times New Roman"/>
        </w:rPr>
        <w:t>但本文的壓力測試顯示：當承擔公法責任的政府機關，跟實際掌握系統關鍵資訊、技術修改能力、運作基礎設施或停止能力的行動者，不再站在同一個治理位置時，既有控制機制不一定能讓兩者重新對齊。</w:t>
      </w:r>
    </w:p>
    <w:p w:rsidR="002C53C4" w:rsidRDefault="003542FA">
      <w:pPr>
        <w:spacing w:after="120" w:line="360" w:lineRule="auto"/>
        <w:jc w:val="both"/>
      </w:pPr>
      <w:proofErr w:type="spellStart"/>
      <w:r>
        <w:rPr>
          <w:rFonts w:eastAsia="Times New Roman"/>
        </w:rPr>
        <w:t>所以真正沒被吸收掉的異常，不是單純的演算法黑箱、偏誤或自動化程度，而是</w:t>
      </w:r>
      <w:proofErr w:type="spellEnd"/>
      <w:r>
        <w:rPr>
          <w:rFonts w:eastAsia="Times New Roman"/>
        </w:rPr>
        <w:t>：</w:t>
      </w:r>
    </w:p>
    <w:p w:rsidR="002C53C4" w:rsidRDefault="003542FA">
      <w:pPr>
        <w:spacing w:after="120" w:line="360" w:lineRule="auto"/>
        <w:jc w:val="both"/>
      </w:pPr>
      <w:proofErr w:type="spellStart"/>
      <w:r>
        <w:rPr>
          <w:rFonts w:eastAsia="Times New Roman"/>
          <w:b/>
          <w:bCs/>
        </w:rPr>
        <w:t>公法責任位置與實質控制位置的結構性分離</w:t>
      </w:r>
      <w:proofErr w:type="spellEnd"/>
      <w:r>
        <w:rPr>
          <w:rFonts w:eastAsia="Times New Roman"/>
          <w:b/>
          <w:bCs/>
        </w:rPr>
        <w:t>。</w:t>
      </w:r>
    </w:p>
    <w:p w:rsidR="002C53C4" w:rsidRDefault="003542FA">
      <w:pPr>
        <w:spacing w:after="120" w:line="360" w:lineRule="auto"/>
        <w:jc w:val="both"/>
      </w:pPr>
      <w:r>
        <w:rPr>
          <w:rFonts w:eastAsia="Times New Roman"/>
        </w:rPr>
        <w:t>公共行政</w:t>
      </w:r>
      <w:r>
        <w:rPr>
          <w:rFonts w:eastAsia="Times New Roman"/>
        </w:rPr>
        <w:t>的accountability文獻本身早就顯示，責任、可控制性、透明與法律後果不是同一個概念。Bovens（2007）把accountability界定為行動者對特定forum負有說明與正當化義務、並可能面臨評價與後果的制度關係；Koppell（2005）則明確區分transparency、liability、controllability、responsibility與responsiveness這些不同面向。所以本文指出的異常，不是簡單的「缺乏accountability」，而是更具體的結構性問題：一個</w:t>
      </w:r>
      <w:r>
        <w:rPr>
          <w:rFonts w:eastAsia="Times New Roman"/>
        </w:rPr>
        <w:t>公共機關可能還是法律上必須說明、承擔後果、接受審查的責任主體，卻不一定同時掌握能理解、驗證、修正或終止系統運作的實質控制能力。</w:t>
      </w:r>
    </w:p>
    <w:p w:rsidR="002C53C4" w:rsidRDefault="003542FA">
      <w:pPr>
        <w:spacing w:after="120" w:line="360" w:lineRule="auto"/>
        <w:jc w:val="both"/>
      </w:pPr>
      <w:r>
        <w:rPr>
          <w:rFonts w:eastAsia="Times New Roman"/>
        </w:rPr>
        <w:t>既有理論提供了不少管理技術複雜性的工具，但沒回答一個更基礎的問題：在什麼條件下，公共權威才算具備足夠的實質控制能力，讓AI系統有資格被放進公權力的行使裡？（這裡刻意用「最低」而非「充分」：本文的目的不是描繪完美控制的樣貌，而</w:t>
      </w:r>
      <w:r>
        <w:rPr>
          <w:rFonts w:eastAsia="Times New Roman"/>
        </w:rPr>
        <w:lastRenderedPageBreak/>
        <w:t>是劃出一條政府若跨不過去、就不該讓AI介入公權力行使的底線——「充分」預設某種理想狀態，「最低」聚焦的是正當性能否成立的臨界點。）這個門檻跟第二節的可觀察徵象性</w:t>
      </w:r>
      <w:r>
        <w:rPr>
          <w:rFonts w:eastAsia="Times New Roman"/>
        </w:rPr>
        <w:t>質不同——徵象診斷的是「分離是否已經發生」，MSCC追問的是「分離發生之前，控制能力得達到什麼最低程度，才能正當化AI介入公權力的行使」。這是第一個理論缺口。</w:t>
      </w:r>
    </w:p>
    <w:p w:rsidR="002C53C4" w:rsidRDefault="003542FA">
      <w:pPr>
        <w:spacing w:after="120" w:line="360" w:lineRule="auto"/>
        <w:jc w:val="both"/>
      </w:pPr>
      <w:r>
        <w:rPr>
          <w:rFonts w:eastAsia="Times New Roman"/>
        </w:rPr>
        <w:t>進一步說，如果政府拿不到履行法定責任所需要的控制能力，公共行政理論還得回答第二個問題：這個最低控制條件拿不到的時候，政府得具備什麼制度能力，才能拒絕、停止或退出對這個系統的依賴？（這裡用「退出權」而非「拒絕權」：問題往往不是政府一開始要不要採用系統，而是系統已經深度嵌入行政流程之後，政府有沒有能力全身而退——「拒絕」處理的是採用前的選擇，「退出」處理</w:t>
      </w:r>
      <w:r>
        <w:rPr>
          <w:rFonts w:eastAsia="Times New Roman"/>
        </w:rPr>
        <w:t>的是依賴形成後的解套。）</w:t>
      </w:r>
    </w:p>
    <w:p w:rsidR="002C53C4" w:rsidRDefault="003542FA">
      <w:pPr>
        <w:pStyle w:val="2"/>
      </w:pPr>
      <w:proofErr w:type="spellStart"/>
      <w:r>
        <w:t>三個支撐性機制缺口</w:t>
      </w:r>
      <w:proofErr w:type="spellEnd"/>
    </w:p>
    <w:p w:rsidR="002C53C4" w:rsidRDefault="003542FA">
      <w:pPr>
        <w:spacing w:after="120" w:line="360" w:lineRule="auto"/>
        <w:jc w:val="both"/>
      </w:pPr>
      <w:proofErr w:type="spellStart"/>
      <w:r>
        <w:rPr>
          <w:rFonts w:eastAsia="Times New Roman"/>
        </w:rPr>
        <w:t>為了徹底封死既有理論的退路，本文指出三個支撐性機制缺口（Mechanism</w:t>
      </w:r>
      <w:proofErr w:type="spellEnd"/>
      <w:r>
        <w:rPr>
          <w:rFonts w:eastAsia="Times New Roman"/>
        </w:rPr>
        <w:t xml:space="preserve"> Gaps）：</w:t>
      </w:r>
    </w:p>
    <w:p w:rsidR="002C53C4" w:rsidRDefault="003542FA">
      <w:pPr>
        <w:pStyle w:val="a4"/>
        <w:numPr>
          <w:ilvl w:val="0"/>
          <w:numId w:val="4"/>
        </w:numPr>
        <w:spacing w:after="80" w:line="360" w:lineRule="auto"/>
      </w:pPr>
      <w:r>
        <w:rPr>
          <w:rFonts w:eastAsia="Times New Roman"/>
          <w:b/>
          <w:bCs/>
        </w:rPr>
        <w:t>「</w:t>
      </w:r>
      <w:proofErr w:type="spellStart"/>
      <w:r>
        <w:rPr>
          <w:rFonts w:eastAsia="Times New Roman"/>
          <w:b/>
          <w:bCs/>
        </w:rPr>
        <w:t>人在環中」的假象與「道德潰縮區</w:t>
      </w:r>
      <w:proofErr w:type="spellEnd"/>
      <w:r>
        <w:rPr>
          <w:rFonts w:eastAsia="Times New Roman"/>
          <w:b/>
          <w:bCs/>
        </w:rPr>
        <w:t>」：</w:t>
      </w:r>
      <w:proofErr w:type="spellStart"/>
      <w:r>
        <w:rPr>
          <w:rFonts w:eastAsia="Times New Roman"/>
        </w:rPr>
        <w:t>現行法規（像EU</w:t>
      </w:r>
      <w:proofErr w:type="spellEnd"/>
      <w:r>
        <w:rPr>
          <w:rFonts w:eastAsia="Times New Roman"/>
        </w:rPr>
        <w:t xml:space="preserve"> AI Act）常把「人類監督」當萬靈丹。但文獻已經證實，面對高複雜度、高速度的演算法時，人類官員很容易產生自動化偏誤。官員沒辦法實質質疑系統時，「人類監督」實質上就變成一種責任轉移機制——讓第一線官員為系統的錯誤扛法律責任，卻沒給他糾正系統的能力（Elish, 2019; Parasuraman &amp; Riley, 199</w:t>
      </w:r>
      <w:r>
        <w:rPr>
          <w:rFonts w:eastAsia="Times New Roman"/>
        </w:rPr>
        <w:t xml:space="preserve">7; </w:t>
      </w:r>
      <w:proofErr w:type="spellStart"/>
      <w:r>
        <w:rPr>
          <w:rFonts w:eastAsia="Times New Roman"/>
        </w:rPr>
        <w:t>Skitka</w:t>
      </w:r>
      <w:proofErr w:type="spellEnd"/>
      <w:r>
        <w:rPr>
          <w:rFonts w:eastAsia="Times New Roman"/>
        </w:rPr>
        <w:t xml:space="preserve"> et al., 1999）。</w:t>
      </w:r>
    </w:p>
    <w:p w:rsidR="002C53C4" w:rsidRDefault="003542FA">
      <w:pPr>
        <w:pStyle w:val="a4"/>
        <w:numPr>
          <w:ilvl w:val="0"/>
          <w:numId w:val="4"/>
        </w:numPr>
        <w:spacing w:after="80" w:line="360" w:lineRule="auto"/>
      </w:pPr>
      <w:r>
        <w:rPr>
          <w:rFonts w:eastAsia="Times New Roman"/>
          <w:b/>
          <w:bCs/>
        </w:rPr>
        <w:t>技術鎖定與基礎設施依賴：</w:t>
      </w:r>
      <w:r>
        <w:rPr>
          <w:rFonts w:eastAsia="Times New Roman"/>
        </w:rPr>
        <w:t>演算法不是獨立運作的軟體，而是建立在巨型算力、專有資料庫與雲端架構之上。DEG假設政府可以「整合與掌控數位架構」，但現在的公營機構在技術生態上早就被私有平台高度鎖定，政府甚至沒有「停止使用」或「更換廠商」的自主權（Plantin et al., 2018; Fountain, 2001）。</w:t>
      </w:r>
    </w:p>
    <w:p w:rsidR="002C53C4" w:rsidRDefault="003542FA">
      <w:pPr>
        <w:pStyle w:val="a4"/>
        <w:numPr>
          <w:ilvl w:val="0"/>
          <w:numId w:val="4"/>
        </w:numPr>
        <w:spacing w:after="120" w:line="360" w:lineRule="auto"/>
      </w:pPr>
      <w:r>
        <w:rPr>
          <w:rFonts w:eastAsia="Times New Roman"/>
          <w:b/>
          <w:bCs/>
        </w:rPr>
        <w:t>契約不完整性與資訊極度不對稱：</w:t>
      </w:r>
      <w:r>
        <w:rPr>
          <w:rFonts w:eastAsia="Times New Roman"/>
        </w:rPr>
        <w:t>NPM依賴契約與規格化監督，但生成式或動態學習模型的運作邏輯有湧現性。政府沒辦法在採購契約中窮盡列舉所有異常情境，也</w:t>
      </w:r>
      <w:r>
        <w:rPr>
          <w:rFonts w:eastAsia="Times New Roman"/>
        </w:rPr>
        <w:t xml:space="preserve">沒辦法靠傳統事後審計即時捕捉演算法漂移（Kettl, 1993, 2002; Milward &amp; </w:t>
      </w:r>
      <w:proofErr w:type="spellStart"/>
      <w:r>
        <w:rPr>
          <w:rFonts w:eastAsia="Times New Roman"/>
        </w:rPr>
        <w:t>Provan</w:t>
      </w:r>
      <w:proofErr w:type="spellEnd"/>
      <w:r>
        <w:rPr>
          <w:rFonts w:eastAsia="Times New Roman"/>
        </w:rPr>
        <w:t xml:space="preserve">, 2000; </w:t>
      </w:r>
      <w:proofErr w:type="spellStart"/>
      <w:r>
        <w:rPr>
          <w:rFonts w:eastAsia="Times New Roman"/>
        </w:rPr>
        <w:t>Romzek</w:t>
      </w:r>
      <w:proofErr w:type="spellEnd"/>
      <w:r>
        <w:rPr>
          <w:rFonts w:eastAsia="Times New Roman"/>
        </w:rPr>
        <w:t xml:space="preserve"> &amp; Johnston, 2002）。</w:t>
      </w:r>
    </w:p>
    <w:p w:rsidR="002C53C4" w:rsidRDefault="003542FA">
      <w:pPr>
        <w:pStyle w:val="2"/>
      </w:pPr>
      <w:proofErr w:type="spellStart"/>
      <w:r>
        <w:lastRenderedPageBreak/>
        <w:t>機制缺口與理論問題的對應關係</w:t>
      </w:r>
      <w:proofErr w:type="spellEnd"/>
    </w:p>
    <w:p w:rsidR="002C53C4" w:rsidRDefault="003542FA">
      <w:pPr>
        <w:spacing w:after="120" w:line="360" w:lineRule="auto"/>
        <w:jc w:val="both"/>
      </w:pPr>
      <w:r>
        <w:rPr>
          <w:rFonts w:eastAsia="Times New Roman"/>
        </w:rPr>
        <w:t xml:space="preserve">上面三個機制缺口跟兩個理論問題的對應關係整理如表3；簡言之，三個機制缺口一起支撐「既有修復機制為什麼不夠」這個診斷，也分別給MSCC與Withdrawal </w:t>
      </w:r>
      <w:proofErr w:type="spellStart"/>
      <w:r>
        <w:rPr>
          <w:rFonts w:eastAsia="Times New Roman"/>
        </w:rPr>
        <w:t>Power兩個理論問題，提供了經驗與規範上的問題意識基礎</w:t>
      </w:r>
      <w:proofErr w:type="spellEnd"/>
      <w:r>
        <w:rPr>
          <w:rFonts w:eastAsia="Times New Roman"/>
        </w:rPr>
        <w:t>。</w:t>
      </w:r>
    </w:p>
    <w:p w:rsidR="002C53C4" w:rsidRDefault="003542FA">
      <w:r>
        <w:rPr>
          <w:b/>
        </w:rPr>
        <w:t>表</w:t>
      </w:r>
      <w:r>
        <w:rPr>
          <w:b/>
        </w:rPr>
        <w:t xml:space="preserve">3 </w:t>
      </w:r>
      <w:r>
        <w:rPr>
          <w:b/>
        </w:rPr>
        <w:t>機制缺口與理論問題對應表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100"/>
        <w:gridCol w:w="4126"/>
      </w:tblGrid>
      <w:tr w:rsidR="002C53C4">
        <w:tblPrEx>
          <w:tblCellMar>
            <w:top w:w="0" w:type="dxa"/>
            <w:bottom w:w="0" w:type="dxa"/>
          </w:tblCellMar>
        </w:tblPrEx>
        <w:tc>
          <w:tcPr>
            <w:tcW w:w="28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r>
              <w:rPr>
                <w:b/>
              </w:rPr>
              <w:t>機制缺口</w:t>
            </w:r>
          </w:p>
        </w:tc>
        <w:tc>
          <w:tcPr>
            <w:tcW w:w="21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r>
              <w:rPr>
                <w:b/>
              </w:rPr>
              <w:t>對應理論問題</w:t>
            </w:r>
          </w:p>
        </w:tc>
        <w:tc>
          <w:tcPr>
            <w:tcW w:w="4126" w:type="dxa"/>
            <w:tcBorders>
              <w:top w:val="single" w:sz="1" w:space="0" w:color="000000"/>
              <w:left w:val="single" w:sz="1" w:space="0" w:color="000000"/>
              <w:bottom w:val="single" w:sz="1" w:space="0" w:color="000000"/>
              <w:right w:val="single" w:sz="1" w:space="0" w:color="000000"/>
            </w:tcBorders>
            <w:shd w:val="clear" w:color="auto" w:fill="D9E2F3"/>
            <w:tcMar>
              <w:top w:w="60" w:type="dxa"/>
              <w:left w:w="80" w:type="dxa"/>
              <w:bottom w:w="60" w:type="dxa"/>
              <w:right w:w="80" w:type="dxa"/>
            </w:tcMar>
          </w:tcPr>
          <w:p w:rsidR="002C53C4" w:rsidRDefault="003542FA">
            <w:r>
              <w:rPr>
                <w:b/>
              </w:rPr>
              <w:t>理由</w:t>
            </w:r>
          </w:p>
        </w:tc>
      </w:tr>
      <w:tr w:rsidR="002C53C4">
        <w:tblPrEx>
          <w:tblCellMar>
            <w:top w:w="0" w:type="dxa"/>
            <w:bottom w:w="0" w:type="dxa"/>
          </w:tblCellMar>
        </w:tblPrEx>
        <w:tc>
          <w:tcPr>
            <w:tcW w:w="2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機制缺口</w:t>
            </w:r>
            <w:r>
              <w:t>1</w:t>
            </w:r>
            <w:r>
              <w:t>：「人在環中」的假象</w:t>
            </w:r>
          </w:p>
        </w:tc>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退出權（</w:t>
            </w:r>
            <w:r>
              <w:t>Withdrawal Power</w:t>
            </w:r>
            <w:r>
              <w:t>）</w:t>
            </w:r>
          </w:p>
        </w:tc>
        <w:tc>
          <w:tcPr>
            <w:tcW w:w="41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人類監督只剩形式意義時，政府必須有拒絕或退出的制度能力，否則責任位置將長期與控制位置分離</w:t>
            </w:r>
          </w:p>
        </w:tc>
      </w:tr>
      <w:tr w:rsidR="002C53C4">
        <w:tblPrEx>
          <w:tblCellMar>
            <w:top w:w="0" w:type="dxa"/>
            <w:bottom w:w="0" w:type="dxa"/>
          </w:tblCellMar>
        </w:tblPrEx>
        <w:tc>
          <w:tcPr>
            <w:tcW w:w="2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機制缺口</w:t>
            </w:r>
            <w:r>
              <w:t>2</w:t>
            </w:r>
            <w:r>
              <w:t>：技術鎖定與基礎設施依賴</w:t>
            </w:r>
          </w:p>
        </w:tc>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退出權（</w:t>
            </w:r>
            <w:r>
              <w:t>Withdrawal Power</w:t>
            </w:r>
            <w:r>
              <w:t>）</w:t>
            </w:r>
          </w:p>
        </w:tc>
        <w:tc>
          <w:tcPr>
            <w:tcW w:w="41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基礎設施高度鎖定時，政府若無退出能力，責任位置同樣無法與控制位置重新對齊</w:t>
            </w:r>
          </w:p>
        </w:tc>
      </w:tr>
      <w:tr w:rsidR="002C53C4">
        <w:tblPrEx>
          <w:tblCellMar>
            <w:top w:w="0" w:type="dxa"/>
            <w:bottom w:w="0" w:type="dxa"/>
          </w:tblCellMar>
        </w:tblPrEx>
        <w:tc>
          <w:tcPr>
            <w:tcW w:w="2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機制缺口</w:t>
            </w:r>
            <w:r>
              <w:t>3</w:t>
            </w:r>
            <w:r>
              <w:t>：契約</w:t>
            </w:r>
            <w:proofErr w:type="gramStart"/>
            <w:r>
              <w:t>不</w:t>
            </w:r>
            <w:proofErr w:type="gramEnd"/>
            <w:r>
              <w:t>完整性與資訊極度不對稱</w:t>
            </w:r>
          </w:p>
        </w:tc>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 xml:space="preserve">MSCC </w:t>
            </w:r>
            <w:r>
              <w:t>與</w:t>
            </w:r>
            <w:r>
              <w:t xml:space="preserve"> </w:t>
            </w:r>
            <w:r>
              <w:t>退出權（同時關聯兩者）</w:t>
            </w:r>
          </w:p>
        </w:tc>
        <w:tc>
          <w:tcPr>
            <w:tcW w:w="4126"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rsidR="002C53C4" w:rsidRDefault="003542FA">
            <w:r>
              <w:t>說明契約工具為何難以確保最低實質控制能力，也說明控制條件拿不到時，為何需要退出機制當後盾</w:t>
            </w:r>
          </w:p>
        </w:tc>
      </w:tr>
    </w:tbl>
    <w:p w:rsidR="002C53C4" w:rsidRDefault="003542FA">
      <w:pPr>
        <w:spacing w:after="120" w:line="360" w:lineRule="auto"/>
        <w:jc w:val="both"/>
      </w:pPr>
      <w:proofErr w:type="spellStart"/>
      <w:r>
        <w:rPr>
          <w:rFonts w:eastAsia="Times New Roman"/>
        </w:rPr>
        <w:t>所以本文的文獻回顧跟典範壓力測試，並不直接提出新的治理模型，而是精確定位兩個既有理論吃不下去、逼出來的理論問題</w:t>
      </w:r>
      <w:proofErr w:type="spellEnd"/>
      <w:r>
        <w:rPr>
          <w:rFonts w:eastAsia="Times New Roman"/>
        </w:rPr>
        <w:t>：</w:t>
      </w:r>
    </w:p>
    <w:p w:rsidR="002C53C4" w:rsidRDefault="003542FA">
      <w:pPr>
        <w:pStyle w:val="a4"/>
        <w:numPr>
          <w:ilvl w:val="0"/>
          <w:numId w:val="5"/>
        </w:numPr>
        <w:spacing w:after="80" w:line="360" w:lineRule="auto"/>
      </w:pPr>
      <w:proofErr w:type="spellStart"/>
      <w:r>
        <w:rPr>
          <w:rFonts w:eastAsia="Times New Roman"/>
          <w:b/>
          <w:bCs/>
        </w:rPr>
        <w:t>最低實質控制能力（Minimum</w:t>
      </w:r>
      <w:proofErr w:type="spellEnd"/>
      <w:r>
        <w:rPr>
          <w:rFonts w:eastAsia="Times New Roman"/>
          <w:b/>
          <w:bCs/>
        </w:rPr>
        <w:t xml:space="preserve"> Substantive Control Capacity, MSCC）：</w:t>
      </w:r>
      <w:proofErr w:type="spellStart"/>
      <w:r>
        <w:rPr>
          <w:rFonts w:eastAsia="Times New Roman"/>
        </w:rPr>
        <w:t>政府必須具備什麼最低限度的實質控制能力，AI才有資格被放進公權力運作裡</w:t>
      </w:r>
      <w:proofErr w:type="spellEnd"/>
      <w:r>
        <w:rPr>
          <w:rFonts w:eastAsia="Times New Roman"/>
        </w:rPr>
        <w:t>？</w:t>
      </w:r>
    </w:p>
    <w:p w:rsidR="002C53C4" w:rsidRDefault="003542FA">
      <w:pPr>
        <w:pStyle w:val="a4"/>
        <w:numPr>
          <w:ilvl w:val="0"/>
          <w:numId w:val="5"/>
        </w:numPr>
        <w:spacing w:after="120" w:line="360" w:lineRule="auto"/>
      </w:pPr>
      <w:proofErr w:type="spellStart"/>
      <w:r>
        <w:rPr>
          <w:rFonts w:eastAsia="Times New Roman"/>
          <w:b/>
          <w:bCs/>
        </w:rPr>
        <w:t>退出權（Withdrawal</w:t>
      </w:r>
      <w:proofErr w:type="spellEnd"/>
      <w:r>
        <w:rPr>
          <w:rFonts w:eastAsia="Times New Roman"/>
          <w:b/>
          <w:bCs/>
        </w:rPr>
        <w:t xml:space="preserve"> Power）：</w:t>
      </w:r>
      <w:proofErr w:type="spellStart"/>
      <w:r>
        <w:rPr>
          <w:rFonts w:eastAsia="Times New Roman"/>
        </w:rPr>
        <w:t>這個最低控制條件拿不到的時候，政府必須具備什麼制度能力，才能拒絕、停止或退出對這個不可充分控制系統的依賴</w:t>
      </w:r>
      <w:proofErr w:type="spellEnd"/>
      <w:r>
        <w:rPr>
          <w:rFonts w:eastAsia="Times New Roman"/>
        </w:rPr>
        <w:t>？</w:t>
      </w:r>
    </w:p>
    <w:p w:rsidR="002C53C4" w:rsidRDefault="003542FA">
      <w:pPr>
        <w:spacing w:after="120" w:line="360" w:lineRule="auto"/>
        <w:jc w:val="both"/>
      </w:pPr>
      <w:proofErr w:type="spellStart"/>
      <w:r>
        <w:rPr>
          <w:rFonts w:eastAsia="Times New Roman"/>
        </w:rPr>
        <w:t>這兩個問題，是後續理論建構的起點，不是本文已經完成的答案</w:t>
      </w:r>
      <w:proofErr w:type="spellEnd"/>
      <w:r>
        <w:rPr>
          <w:rFonts w:eastAsia="Times New Roman"/>
        </w:rPr>
        <w:t>。</w:t>
      </w:r>
    </w:p>
    <w:p w:rsidR="002C53C4" w:rsidRDefault="003542FA">
      <w:pPr>
        <w:pStyle w:val="1"/>
      </w:pPr>
      <w:proofErr w:type="spellStart"/>
      <w:r>
        <w:t>八、結論</w:t>
      </w:r>
      <w:proofErr w:type="spellEnd"/>
    </w:p>
    <w:p w:rsidR="002C53C4" w:rsidRDefault="003542FA">
      <w:pPr>
        <w:spacing w:after="120" w:line="360" w:lineRule="auto"/>
        <w:jc w:val="both"/>
      </w:pPr>
      <w:r>
        <w:rPr>
          <w:rFonts w:eastAsia="Times New Roman"/>
        </w:rPr>
        <w:t>本文完成了公共行政學如何歷史性地吸收技術變遷的典範文獻回顧，也做了統一標準的壓力測試。結論是：既有理論面對「責任位置與控制位置的結構性分離」時，只能提供部分修復機制，沒有講清楚實質控制要恢復到什麼門檻才算數，因此產生理論缺口。</w:t>
      </w:r>
    </w:p>
    <w:p w:rsidR="002C53C4" w:rsidRDefault="003542FA">
      <w:pPr>
        <w:spacing w:after="120" w:line="360" w:lineRule="auto"/>
        <w:jc w:val="both"/>
      </w:pPr>
      <w:proofErr w:type="spellStart"/>
      <w:r>
        <w:rPr>
          <w:rFonts w:eastAsia="Times New Roman"/>
        </w:rPr>
        <w:t>本文的理論鏈條保持乾淨</w:t>
      </w:r>
      <w:proofErr w:type="spellEnd"/>
      <w:r>
        <w:rPr>
          <w:rFonts w:eastAsia="Times New Roman"/>
        </w:rPr>
        <w:t>：</w:t>
      </w:r>
    </w:p>
    <w:p w:rsidR="002C53C4" w:rsidRDefault="003542FA">
      <w:pPr>
        <w:spacing w:after="120" w:line="360" w:lineRule="auto"/>
        <w:jc w:val="both"/>
      </w:pPr>
      <w:proofErr w:type="spellStart"/>
      <w:r>
        <w:rPr>
          <w:rFonts w:eastAsia="Times New Roman"/>
          <w:b/>
          <w:bCs/>
        </w:rPr>
        <w:lastRenderedPageBreak/>
        <w:t>公共行政如何處理技術</w:t>
      </w:r>
      <w:proofErr w:type="spellEnd"/>
      <w:r>
        <w:rPr>
          <w:rFonts w:eastAsia="Times New Roman"/>
          <w:b/>
          <w:bCs/>
        </w:rPr>
        <w:t xml:space="preserve"> → </w:t>
      </w:r>
      <w:proofErr w:type="spellStart"/>
      <w:r>
        <w:rPr>
          <w:rFonts w:eastAsia="Times New Roman"/>
          <w:b/>
          <w:bCs/>
        </w:rPr>
        <w:t>既有理論如何維持控制</w:t>
      </w:r>
      <w:proofErr w:type="spellEnd"/>
      <w:r>
        <w:rPr>
          <w:rFonts w:eastAsia="Times New Roman"/>
          <w:b/>
          <w:bCs/>
        </w:rPr>
        <w:t xml:space="preserve"> → </w:t>
      </w:r>
      <w:proofErr w:type="spellStart"/>
      <w:r>
        <w:rPr>
          <w:rFonts w:eastAsia="Times New Roman"/>
          <w:b/>
          <w:bCs/>
        </w:rPr>
        <w:t>演算法基礎設施造成責任位置與控制位置分離</w:t>
      </w:r>
      <w:proofErr w:type="spellEnd"/>
      <w:r>
        <w:rPr>
          <w:rFonts w:eastAsia="Times New Roman"/>
          <w:b/>
          <w:bCs/>
        </w:rPr>
        <w:t xml:space="preserve"> → </w:t>
      </w:r>
      <w:proofErr w:type="spellStart"/>
      <w:r>
        <w:rPr>
          <w:rFonts w:eastAsia="Times New Roman"/>
          <w:b/>
          <w:bCs/>
        </w:rPr>
        <w:t>既有治理機制都只能部分修復</w:t>
      </w:r>
      <w:proofErr w:type="spellEnd"/>
      <w:r>
        <w:rPr>
          <w:rFonts w:eastAsia="Times New Roman"/>
          <w:b/>
          <w:bCs/>
        </w:rPr>
        <w:t xml:space="preserve"> → </w:t>
      </w:r>
      <w:proofErr w:type="spellStart"/>
      <w:r>
        <w:rPr>
          <w:rFonts w:eastAsia="Times New Roman"/>
          <w:b/>
          <w:bCs/>
        </w:rPr>
        <w:t>未吸收的異常</w:t>
      </w:r>
      <w:proofErr w:type="spellEnd"/>
      <w:r>
        <w:rPr>
          <w:rFonts w:eastAsia="Times New Roman"/>
          <w:b/>
          <w:bCs/>
        </w:rPr>
        <w:t xml:space="preserve"> → </w:t>
      </w:r>
      <w:proofErr w:type="spellStart"/>
      <w:r>
        <w:rPr>
          <w:rFonts w:eastAsia="Times New Roman"/>
          <w:b/>
          <w:bCs/>
        </w:rPr>
        <w:t>理論缺口</w:t>
      </w:r>
      <w:proofErr w:type="spellEnd"/>
    </w:p>
    <w:p w:rsidR="002C53C4" w:rsidRDefault="003542FA">
      <w:pPr>
        <w:spacing w:after="120" w:line="360" w:lineRule="auto"/>
        <w:jc w:val="both"/>
      </w:pPr>
      <w:r>
        <w:rPr>
          <w:rFonts w:eastAsia="Times New Roman"/>
        </w:rPr>
        <w:t>換句話說，MSCC與退出權不是本文預先設定的研究議程，而是既有理論在結構性分離面前「吃不下</w:t>
      </w:r>
      <w:r>
        <w:rPr>
          <w:rFonts w:eastAsia="Times New Roman"/>
        </w:rPr>
        <w:t xml:space="preserve">去」所逼出來的問題——沒有這個異常，這兩個問題本身就不會浮現。只有先證明既有理論真的處理不了，新的理論回應才有正當性。這篇論文定位異常與缺口；後續研究再分別處理MSCC與Withdrawal </w:t>
      </w:r>
      <w:proofErr w:type="spellStart"/>
      <w:r>
        <w:rPr>
          <w:rFonts w:eastAsia="Times New Roman"/>
        </w:rPr>
        <w:t>Power的理論建構</w:t>
      </w:r>
      <w:proofErr w:type="spellEnd"/>
      <w:r>
        <w:rPr>
          <w:rFonts w:eastAsia="Times New Roman"/>
        </w:rPr>
        <w:t>。</w:t>
      </w:r>
    </w:p>
    <w:p w:rsidR="002C53C4" w:rsidRDefault="003542FA">
      <w:pPr>
        <w:pStyle w:val="1"/>
      </w:pPr>
      <w:proofErr w:type="spellStart"/>
      <w:r>
        <w:t>參考文獻</w:t>
      </w:r>
      <w:proofErr w:type="spellEnd"/>
    </w:p>
    <w:p w:rsidR="002C53C4" w:rsidRDefault="003542FA">
      <w:pPr>
        <w:spacing w:after="120" w:line="360" w:lineRule="auto"/>
        <w:jc w:val="both"/>
      </w:pPr>
      <w:proofErr w:type="spellStart"/>
      <w:r>
        <w:rPr>
          <w:rFonts w:eastAsia="Times New Roman"/>
          <w:b/>
          <w:bCs/>
        </w:rPr>
        <w:t>古典公共行政</w:t>
      </w:r>
      <w:proofErr w:type="spellEnd"/>
    </w:p>
    <w:p w:rsidR="002C53C4" w:rsidRDefault="003542FA">
      <w:pPr>
        <w:spacing w:after="120" w:line="360" w:lineRule="auto"/>
        <w:jc w:val="both"/>
      </w:pPr>
      <w:r>
        <w:rPr>
          <w:rFonts w:eastAsia="Times New Roman"/>
        </w:rPr>
        <w:t xml:space="preserve">Gulick, L. (1937). Notes on the theory of organization. In L. Gulick &amp; L. </w:t>
      </w:r>
      <w:proofErr w:type="spellStart"/>
      <w:r>
        <w:rPr>
          <w:rFonts w:eastAsia="Times New Roman"/>
        </w:rPr>
        <w:t>Urwick</w:t>
      </w:r>
      <w:proofErr w:type="spellEnd"/>
      <w:r>
        <w:rPr>
          <w:rFonts w:eastAsia="Times New Roman"/>
        </w:rPr>
        <w:t xml:space="preserve"> (Eds.), Papers on the science of administration (pp. 1–</w:t>
      </w:r>
      <w:r>
        <w:rPr>
          <w:rFonts w:eastAsia="Times New Roman"/>
        </w:rPr>
        <w:t>45). Institute of Public Administration.</w:t>
      </w:r>
    </w:p>
    <w:p w:rsidR="002C53C4" w:rsidRDefault="003542FA">
      <w:pPr>
        <w:spacing w:after="120" w:line="360" w:lineRule="auto"/>
        <w:jc w:val="both"/>
      </w:pPr>
      <w:r>
        <w:rPr>
          <w:rFonts w:eastAsia="Times New Roman"/>
        </w:rPr>
        <w:t>Lipsky, M. (1980). Street-level bureaucracy: Dilemmas of the individual in public services. Russell Sage Foundation.</w:t>
      </w:r>
    </w:p>
    <w:p w:rsidR="002C53C4" w:rsidRDefault="003542FA">
      <w:pPr>
        <w:spacing w:after="120" w:line="360" w:lineRule="auto"/>
        <w:jc w:val="both"/>
      </w:pPr>
      <w:r>
        <w:rPr>
          <w:rFonts w:eastAsia="Times New Roman"/>
        </w:rPr>
        <w:t>Simon, H. A. (1997). Administrative behavior: A study of decision-making processes in administrati</w:t>
      </w:r>
      <w:r>
        <w:rPr>
          <w:rFonts w:eastAsia="Times New Roman"/>
        </w:rPr>
        <w:t>ve organizations (4th ed.). Free Press. (Original work published 1947)</w:t>
      </w:r>
    </w:p>
    <w:p w:rsidR="002C53C4" w:rsidRDefault="003542FA">
      <w:pPr>
        <w:spacing w:after="120" w:line="360" w:lineRule="auto"/>
        <w:jc w:val="both"/>
      </w:pPr>
      <w:r>
        <w:rPr>
          <w:rFonts w:eastAsia="Times New Roman"/>
        </w:rPr>
        <w:t>Waldo, D. (1948). The administrative state: A study of the political theory of American public administration. Ronald Press.</w:t>
      </w:r>
    </w:p>
    <w:p w:rsidR="002C53C4" w:rsidRDefault="003542FA">
      <w:pPr>
        <w:spacing w:after="120" w:line="360" w:lineRule="auto"/>
        <w:jc w:val="both"/>
      </w:pPr>
      <w:r>
        <w:rPr>
          <w:rFonts w:eastAsia="Times New Roman"/>
        </w:rPr>
        <w:t>Weber, M. (1978). Economy and society: An outline of interpr</w:t>
      </w:r>
      <w:r>
        <w:rPr>
          <w:rFonts w:eastAsia="Times New Roman"/>
        </w:rPr>
        <w:t>etive sociology. University of California Press.</w:t>
      </w:r>
    </w:p>
    <w:p w:rsidR="002C53C4" w:rsidRDefault="003542FA">
      <w:pPr>
        <w:spacing w:after="120" w:line="360" w:lineRule="auto"/>
        <w:jc w:val="both"/>
      </w:pPr>
      <w:r>
        <w:rPr>
          <w:rFonts w:eastAsia="Times New Roman"/>
        </w:rPr>
        <w:t>Wilson, W. (1887). The study of administration. Political Science Quarterly, 2(2), 197–222.</w:t>
      </w:r>
    </w:p>
    <w:p w:rsidR="002C53C4" w:rsidRDefault="003542FA">
      <w:pPr>
        <w:spacing w:after="120" w:line="360" w:lineRule="auto"/>
        <w:jc w:val="both"/>
      </w:pPr>
      <w:proofErr w:type="spellStart"/>
      <w:r>
        <w:rPr>
          <w:rFonts w:eastAsia="Times New Roman"/>
          <w:b/>
          <w:bCs/>
        </w:rPr>
        <w:t>NPM、外包與控制</w:t>
      </w:r>
      <w:proofErr w:type="spellEnd"/>
    </w:p>
    <w:p w:rsidR="002C53C4" w:rsidRDefault="003542FA">
      <w:pPr>
        <w:spacing w:after="120" w:line="360" w:lineRule="auto"/>
        <w:jc w:val="both"/>
      </w:pPr>
      <w:proofErr w:type="spellStart"/>
      <w:r>
        <w:rPr>
          <w:rFonts w:eastAsia="Times New Roman"/>
        </w:rPr>
        <w:t>Bovens</w:t>
      </w:r>
      <w:proofErr w:type="spellEnd"/>
      <w:r>
        <w:rPr>
          <w:rFonts w:eastAsia="Times New Roman"/>
        </w:rPr>
        <w:t xml:space="preserve">, M. (2007). </w:t>
      </w:r>
      <w:proofErr w:type="spellStart"/>
      <w:r>
        <w:rPr>
          <w:rFonts w:eastAsia="Times New Roman"/>
        </w:rPr>
        <w:t>Analysing</w:t>
      </w:r>
      <w:proofErr w:type="spellEnd"/>
      <w:r>
        <w:rPr>
          <w:rFonts w:eastAsia="Times New Roman"/>
        </w:rPr>
        <w:t xml:space="preserve"> and assessing accountability: A conceptual framework. European Law Journal, </w:t>
      </w:r>
      <w:r>
        <w:rPr>
          <w:rFonts w:eastAsia="Times New Roman"/>
        </w:rPr>
        <w:t>13(4), 447–468.</w:t>
      </w:r>
    </w:p>
    <w:p w:rsidR="002C53C4" w:rsidRDefault="003542FA">
      <w:pPr>
        <w:spacing w:after="120" w:line="360" w:lineRule="auto"/>
        <w:jc w:val="both"/>
      </w:pPr>
      <w:r>
        <w:rPr>
          <w:rFonts w:eastAsia="Times New Roman"/>
        </w:rPr>
        <w:t>Hood, C. (1991). A public management for all seasons? Public Administration, 69(1), 3–19.</w:t>
      </w:r>
    </w:p>
    <w:p w:rsidR="002C53C4" w:rsidRDefault="003542FA">
      <w:pPr>
        <w:spacing w:after="120" w:line="360" w:lineRule="auto"/>
        <w:jc w:val="both"/>
      </w:pPr>
      <w:r>
        <w:rPr>
          <w:rFonts w:eastAsia="Times New Roman"/>
        </w:rPr>
        <w:t>Hood, C. (1995). The “new public management” in the 1980s: Variations on a theme. Accounting, Organizations and Society, 20(2–3), 93–109.</w:t>
      </w:r>
    </w:p>
    <w:p w:rsidR="002C53C4" w:rsidRDefault="003542FA">
      <w:pPr>
        <w:spacing w:after="120" w:line="360" w:lineRule="auto"/>
        <w:jc w:val="both"/>
      </w:pPr>
      <w:proofErr w:type="spellStart"/>
      <w:r>
        <w:rPr>
          <w:rFonts w:eastAsia="Times New Roman"/>
        </w:rPr>
        <w:t>Kettl</w:t>
      </w:r>
      <w:proofErr w:type="spellEnd"/>
      <w:r>
        <w:rPr>
          <w:rFonts w:eastAsia="Times New Roman"/>
        </w:rPr>
        <w:t>, D. F.</w:t>
      </w:r>
      <w:r>
        <w:rPr>
          <w:rFonts w:eastAsia="Times New Roman"/>
        </w:rPr>
        <w:t xml:space="preserve"> (1993). Sharing power: Public governance and private markets. Brookings </w:t>
      </w:r>
      <w:r>
        <w:rPr>
          <w:rFonts w:eastAsia="Times New Roman"/>
        </w:rPr>
        <w:lastRenderedPageBreak/>
        <w:t>Institution.</w:t>
      </w:r>
    </w:p>
    <w:p w:rsidR="002C53C4" w:rsidRDefault="003542FA">
      <w:pPr>
        <w:spacing w:after="120" w:line="360" w:lineRule="auto"/>
        <w:jc w:val="both"/>
      </w:pPr>
      <w:proofErr w:type="spellStart"/>
      <w:r>
        <w:rPr>
          <w:rFonts w:eastAsia="Times New Roman"/>
        </w:rPr>
        <w:t>Kettl</w:t>
      </w:r>
      <w:proofErr w:type="spellEnd"/>
      <w:r>
        <w:rPr>
          <w:rFonts w:eastAsia="Times New Roman"/>
        </w:rPr>
        <w:t>, D. F. (2002). The transformation of governance: Public administration for twenty-first century America. Johns Hopkins University Press.</w:t>
      </w:r>
    </w:p>
    <w:p w:rsidR="002C53C4" w:rsidRDefault="003542FA">
      <w:pPr>
        <w:spacing w:after="120" w:line="360" w:lineRule="auto"/>
        <w:jc w:val="both"/>
      </w:pPr>
      <w:proofErr w:type="spellStart"/>
      <w:r>
        <w:rPr>
          <w:rFonts w:eastAsia="Times New Roman"/>
        </w:rPr>
        <w:t>Koppell</w:t>
      </w:r>
      <w:proofErr w:type="spellEnd"/>
      <w:r>
        <w:rPr>
          <w:rFonts w:eastAsia="Times New Roman"/>
        </w:rPr>
        <w:t>, J. G. S. (2005). P</w:t>
      </w:r>
      <w:r>
        <w:rPr>
          <w:rFonts w:eastAsia="Times New Roman"/>
        </w:rPr>
        <w:t>athologies of accountability: ICANN and the challenge of “multiple accountabilities disorder.” Public Administration Review, 65(1), 94–108.</w:t>
      </w:r>
    </w:p>
    <w:p w:rsidR="002C53C4" w:rsidRDefault="003542FA">
      <w:pPr>
        <w:spacing w:after="120" w:line="360" w:lineRule="auto"/>
        <w:jc w:val="both"/>
      </w:pPr>
      <w:r>
        <w:rPr>
          <w:rFonts w:eastAsia="Times New Roman"/>
        </w:rPr>
        <w:t xml:space="preserve">Milward, H. B., &amp; </w:t>
      </w:r>
      <w:proofErr w:type="spellStart"/>
      <w:r>
        <w:rPr>
          <w:rFonts w:eastAsia="Times New Roman"/>
        </w:rPr>
        <w:t>Provan</w:t>
      </w:r>
      <w:proofErr w:type="spellEnd"/>
      <w:r>
        <w:rPr>
          <w:rFonts w:eastAsia="Times New Roman"/>
        </w:rPr>
        <w:t>, K. G. (2000). Governing the hollow state. Journal of Public Administration Research and Th</w:t>
      </w:r>
      <w:r>
        <w:rPr>
          <w:rFonts w:eastAsia="Times New Roman"/>
        </w:rPr>
        <w:t>eory, 10(2), 359–380.</w:t>
      </w:r>
    </w:p>
    <w:p w:rsidR="002C53C4" w:rsidRDefault="003542FA">
      <w:pPr>
        <w:spacing w:after="120" w:line="360" w:lineRule="auto"/>
        <w:jc w:val="both"/>
      </w:pPr>
      <w:r>
        <w:rPr>
          <w:rFonts w:eastAsia="Times New Roman"/>
        </w:rPr>
        <w:t xml:space="preserve">Osborne, D., &amp; </w:t>
      </w:r>
      <w:proofErr w:type="spellStart"/>
      <w:r>
        <w:rPr>
          <w:rFonts w:eastAsia="Times New Roman"/>
        </w:rPr>
        <w:t>Gaebler</w:t>
      </w:r>
      <w:proofErr w:type="spellEnd"/>
      <w:r>
        <w:rPr>
          <w:rFonts w:eastAsia="Times New Roman"/>
        </w:rPr>
        <w:t>, T. (1992). Reinventing government. Addison-Wesley.</w:t>
      </w:r>
    </w:p>
    <w:p w:rsidR="002C53C4" w:rsidRDefault="003542FA">
      <w:pPr>
        <w:spacing w:after="120" w:line="360" w:lineRule="auto"/>
        <w:jc w:val="both"/>
      </w:pPr>
      <w:r>
        <w:rPr>
          <w:rFonts w:eastAsia="Times New Roman"/>
        </w:rPr>
        <w:t>Pierre, J., &amp; Peters, B. G. (2000). Governance, politics and the state. Macmillan.</w:t>
      </w:r>
    </w:p>
    <w:p w:rsidR="002C53C4" w:rsidRDefault="003542FA">
      <w:pPr>
        <w:spacing w:after="120" w:line="360" w:lineRule="auto"/>
        <w:jc w:val="both"/>
      </w:pPr>
      <w:r>
        <w:rPr>
          <w:rFonts w:eastAsia="Times New Roman"/>
        </w:rPr>
        <w:t xml:space="preserve">Pollitt, C., &amp; </w:t>
      </w:r>
      <w:proofErr w:type="spellStart"/>
      <w:r>
        <w:rPr>
          <w:rFonts w:eastAsia="Times New Roman"/>
        </w:rPr>
        <w:t>Bouckaert</w:t>
      </w:r>
      <w:proofErr w:type="spellEnd"/>
      <w:r>
        <w:rPr>
          <w:rFonts w:eastAsia="Times New Roman"/>
        </w:rPr>
        <w:t>, G. (2017). Public management reform: A comparative</w:t>
      </w:r>
      <w:r>
        <w:rPr>
          <w:rFonts w:eastAsia="Times New Roman"/>
        </w:rPr>
        <w:t xml:space="preserve"> analysis (4th ed.). Oxford University Press.</w:t>
      </w:r>
    </w:p>
    <w:p w:rsidR="002C53C4" w:rsidRDefault="003542FA">
      <w:pPr>
        <w:spacing w:after="120" w:line="360" w:lineRule="auto"/>
        <w:jc w:val="both"/>
      </w:pPr>
      <w:r>
        <w:rPr>
          <w:rFonts w:eastAsia="Times New Roman"/>
        </w:rPr>
        <w:t>Rhodes, R. A. W. (1996). The new governance: Governing without government. Political Studies, 44(4), 652–667.</w:t>
      </w:r>
    </w:p>
    <w:p w:rsidR="002C53C4" w:rsidRDefault="003542FA">
      <w:pPr>
        <w:spacing w:after="120" w:line="360" w:lineRule="auto"/>
        <w:jc w:val="both"/>
      </w:pPr>
      <w:proofErr w:type="spellStart"/>
      <w:r>
        <w:rPr>
          <w:rFonts w:eastAsia="Times New Roman"/>
        </w:rPr>
        <w:t>Romzek</w:t>
      </w:r>
      <w:proofErr w:type="spellEnd"/>
      <w:r>
        <w:rPr>
          <w:rFonts w:eastAsia="Times New Roman"/>
        </w:rPr>
        <w:t>, B. S., &amp; Johnston, J. M. (2002). Effective contract implementation and management: A prelimi</w:t>
      </w:r>
      <w:r>
        <w:rPr>
          <w:rFonts w:eastAsia="Times New Roman"/>
        </w:rPr>
        <w:t>nary model. Journal of Public Administration Research and Theory, 12(3), 423–453.</w:t>
      </w:r>
    </w:p>
    <w:p w:rsidR="002C53C4" w:rsidRDefault="003542FA">
      <w:pPr>
        <w:spacing w:after="120" w:line="360" w:lineRule="auto"/>
        <w:jc w:val="both"/>
      </w:pPr>
      <w:proofErr w:type="spellStart"/>
      <w:r>
        <w:rPr>
          <w:rFonts w:eastAsia="Times New Roman"/>
          <w:b/>
          <w:bCs/>
        </w:rPr>
        <w:t>DEG與Digital</w:t>
      </w:r>
      <w:proofErr w:type="spellEnd"/>
      <w:r>
        <w:rPr>
          <w:rFonts w:eastAsia="Times New Roman"/>
          <w:b/>
          <w:bCs/>
        </w:rPr>
        <w:t xml:space="preserve"> Government</w:t>
      </w:r>
    </w:p>
    <w:p w:rsidR="002C53C4" w:rsidRDefault="003542FA">
      <w:pPr>
        <w:spacing w:after="120" w:line="360" w:lineRule="auto"/>
        <w:jc w:val="both"/>
      </w:pPr>
      <w:r>
        <w:rPr>
          <w:rFonts w:eastAsia="Times New Roman"/>
        </w:rPr>
        <w:t xml:space="preserve">Bannister, F., &amp; Connolly, R. (2014). ICT, public values and transformative government: A framework and </w:t>
      </w:r>
      <w:proofErr w:type="spellStart"/>
      <w:r>
        <w:rPr>
          <w:rFonts w:eastAsia="Times New Roman"/>
        </w:rPr>
        <w:t>programme</w:t>
      </w:r>
      <w:proofErr w:type="spellEnd"/>
      <w:r>
        <w:rPr>
          <w:rFonts w:eastAsia="Times New Roman"/>
        </w:rPr>
        <w:t xml:space="preserve"> for research. Government Information </w:t>
      </w:r>
      <w:r>
        <w:rPr>
          <w:rFonts w:eastAsia="Times New Roman"/>
        </w:rPr>
        <w:t>Quarterly, 31(1), 119–128.</w:t>
      </w:r>
    </w:p>
    <w:p w:rsidR="002C53C4" w:rsidRDefault="003542FA">
      <w:pPr>
        <w:spacing w:after="120" w:line="360" w:lineRule="auto"/>
        <w:jc w:val="both"/>
      </w:pPr>
      <w:r>
        <w:rPr>
          <w:rFonts w:eastAsia="Times New Roman"/>
        </w:rPr>
        <w:t>Dunleavy, P., &amp; Margetts, H. (2015). Design principles for essentially digital governance. In D. Levi-</w:t>
      </w:r>
      <w:proofErr w:type="spellStart"/>
      <w:r>
        <w:rPr>
          <w:rFonts w:eastAsia="Times New Roman"/>
        </w:rPr>
        <w:t>Faur</w:t>
      </w:r>
      <w:proofErr w:type="spellEnd"/>
      <w:r>
        <w:rPr>
          <w:rFonts w:eastAsia="Times New Roman"/>
        </w:rPr>
        <w:t xml:space="preserve"> (Ed.), The Oxford handbook of governance (pp. 682–698). Oxford University Press.</w:t>
      </w:r>
    </w:p>
    <w:p w:rsidR="002C53C4" w:rsidRDefault="003542FA">
      <w:pPr>
        <w:spacing w:after="120" w:line="360" w:lineRule="auto"/>
        <w:jc w:val="both"/>
      </w:pPr>
      <w:r>
        <w:rPr>
          <w:rFonts w:eastAsia="Times New Roman"/>
        </w:rPr>
        <w:t xml:space="preserve">Dunleavy, P., Margetts, H., </w:t>
      </w:r>
      <w:proofErr w:type="spellStart"/>
      <w:r>
        <w:rPr>
          <w:rFonts w:eastAsia="Times New Roman"/>
        </w:rPr>
        <w:t>Bastow</w:t>
      </w:r>
      <w:proofErr w:type="spellEnd"/>
      <w:r>
        <w:rPr>
          <w:rFonts w:eastAsia="Times New Roman"/>
        </w:rPr>
        <w:t xml:space="preserve">, S., &amp; </w:t>
      </w:r>
      <w:proofErr w:type="spellStart"/>
      <w:r>
        <w:rPr>
          <w:rFonts w:eastAsia="Times New Roman"/>
        </w:rPr>
        <w:t>Tinkler</w:t>
      </w:r>
      <w:proofErr w:type="spellEnd"/>
      <w:r>
        <w:rPr>
          <w:rFonts w:eastAsia="Times New Roman"/>
        </w:rPr>
        <w:t>, J. (2006). Digital era governance: IT corporations, the state, and e-government. Oxford University Press.</w:t>
      </w:r>
    </w:p>
    <w:p w:rsidR="002C53C4" w:rsidRDefault="003542FA">
      <w:pPr>
        <w:spacing w:after="120" w:line="360" w:lineRule="auto"/>
        <w:jc w:val="both"/>
      </w:pPr>
      <w:r>
        <w:rPr>
          <w:rFonts w:eastAsia="Times New Roman"/>
        </w:rPr>
        <w:t>Fountain, J. E. (2001). Building the virtual state: Information technology and institutional change</w:t>
      </w:r>
      <w:r>
        <w:rPr>
          <w:rFonts w:eastAsia="Times New Roman"/>
        </w:rPr>
        <w:t>. Brookings Institution Press.</w:t>
      </w:r>
    </w:p>
    <w:p w:rsidR="002C53C4" w:rsidRDefault="003542FA">
      <w:pPr>
        <w:spacing w:after="120" w:line="360" w:lineRule="auto"/>
        <w:jc w:val="both"/>
      </w:pPr>
      <w:r>
        <w:rPr>
          <w:rFonts w:eastAsia="Times New Roman"/>
        </w:rPr>
        <w:t>Gil-Garcia, J. R., Dawes, S. S., &amp; Pardo, T. A. (2018). Digital government and public management research: Finding the crossroads. Public Management Review, 20(5), 633–646.</w:t>
      </w:r>
    </w:p>
    <w:p w:rsidR="002C53C4" w:rsidRDefault="003542FA">
      <w:pPr>
        <w:spacing w:after="120" w:line="360" w:lineRule="auto"/>
        <w:jc w:val="both"/>
      </w:pPr>
      <w:r>
        <w:rPr>
          <w:rFonts w:eastAsia="Times New Roman"/>
        </w:rPr>
        <w:t xml:space="preserve">Margetts, H., &amp; Dunleavy, P. (2013). The second wave of digital-era governance: A quasi-paradigm for government on the Web. Philosophical Transactions of the Royal Society A, </w:t>
      </w:r>
      <w:r>
        <w:rPr>
          <w:rFonts w:eastAsia="Times New Roman"/>
        </w:rPr>
        <w:lastRenderedPageBreak/>
        <w:t>371(1987), 20120382.</w:t>
      </w:r>
    </w:p>
    <w:p w:rsidR="002C53C4" w:rsidRDefault="003542FA">
      <w:pPr>
        <w:spacing w:after="120" w:line="360" w:lineRule="auto"/>
        <w:jc w:val="both"/>
      </w:pPr>
      <w:r>
        <w:rPr>
          <w:rFonts w:eastAsia="Times New Roman"/>
          <w:b/>
          <w:bCs/>
        </w:rPr>
        <w:t>Algorithmic Governance / Accountability</w:t>
      </w:r>
    </w:p>
    <w:p w:rsidR="002C53C4" w:rsidRDefault="003542FA">
      <w:pPr>
        <w:spacing w:after="120" w:line="360" w:lineRule="auto"/>
        <w:jc w:val="both"/>
      </w:pPr>
      <w:proofErr w:type="spellStart"/>
      <w:r>
        <w:rPr>
          <w:rFonts w:eastAsia="Times New Roman"/>
        </w:rPr>
        <w:t>Ananny</w:t>
      </w:r>
      <w:proofErr w:type="spellEnd"/>
      <w:r>
        <w:rPr>
          <w:rFonts w:eastAsia="Times New Roman"/>
        </w:rPr>
        <w:t>, M., &amp; Crawfo</w:t>
      </w:r>
      <w:r>
        <w:rPr>
          <w:rFonts w:eastAsia="Times New Roman"/>
        </w:rPr>
        <w:t>rd, K. (2018). Seeing without knowing: Limitations of the transparency ideal and its application to algorithmic accountability. New Media &amp; Society, 20(3), 973–989.</w:t>
      </w:r>
    </w:p>
    <w:p w:rsidR="002C53C4" w:rsidRDefault="003542FA">
      <w:pPr>
        <w:spacing w:after="120" w:line="360" w:lineRule="auto"/>
        <w:jc w:val="both"/>
      </w:pPr>
      <w:r>
        <w:rPr>
          <w:rFonts w:eastAsia="Times New Roman"/>
        </w:rPr>
        <w:t>Bullock, J. B. (2019). Artificial intelligence, discretion, and bureaucracy. The American R</w:t>
      </w:r>
      <w:r>
        <w:rPr>
          <w:rFonts w:eastAsia="Times New Roman"/>
        </w:rPr>
        <w:t>eview of Public Administration, 49(7), 751–761.</w:t>
      </w:r>
    </w:p>
    <w:p w:rsidR="002C53C4" w:rsidRDefault="003542FA">
      <w:pPr>
        <w:spacing w:after="120" w:line="360" w:lineRule="auto"/>
        <w:jc w:val="both"/>
      </w:pPr>
      <w:r>
        <w:rPr>
          <w:rFonts w:eastAsia="Times New Roman"/>
        </w:rPr>
        <w:t>Busch, P. A., &amp; Henriksen, H. Z. (2018). Digital discretion: A systematic literature review of ICT and street-level discretion. Information Polity, 23(1), 3–28.</w:t>
      </w:r>
    </w:p>
    <w:p w:rsidR="002C53C4" w:rsidRDefault="003542FA">
      <w:pPr>
        <w:spacing w:after="120" w:line="360" w:lineRule="auto"/>
        <w:jc w:val="both"/>
      </w:pPr>
      <w:r>
        <w:rPr>
          <w:rFonts w:eastAsia="Times New Roman"/>
        </w:rPr>
        <w:t>Citron, D. K. (2008). Technological due process</w:t>
      </w:r>
      <w:r>
        <w:rPr>
          <w:rFonts w:eastAsia="Times New Roman"/>
        </w:rPr>
        <w:t>. Washington University Law Review, 85(6), 1249–1313.</w:t>
      </w:r>
    </w:p>
    <w:p w:rsidR="002C53C4" w:rsidRDefault="003542FA">
      <w:pPr>
        <w:spacing w:after="120" w:line="360" w:lineRule="auto"/>
        <w:jc w:val="both"/>
      </w:pPr>
      <w:proofErr w:type="spellStart"/>
      <w:r>
        <w:rPr>
          <w:rFonts w:eastAsia="Times New Roman"/>
        </w:rPr>
        <w:t>Coglianese</w:t>
      </w:r>
      <w:proofErr w:type="spellEnd"/>
      <w:r>
        <w:rPr>
          <w:rFonts w:eastAsia="Times New Roman"/>
        </w:rPr>
        <w:t>, C., &amp; Lehr, D. (2017). Regulating by robot: Administrative decision making in the machine-learning era. Georgetown Law Journal, 105, 1147–1223.</w:t>
      </w:r>
    </w:p>
    <w:p w:rsidR="002C53C4" w:rsidRDefault="003542FA">
      <w:pPr>
        <w:spacing w:after="120" w:line="360" w:lineRule="auto"/>
        <w:jc w:val="both"/>
      </w:pPr>
      <w:r>
        <w:rPr>
          <w:rFonts w:eastAsia="Times New Roman"/>
        </w:rPr>
        <w:t xml:space="preserve">Danaher, J., Hogan, M. J., </w:t>
      </w:r>
      <w:proofErr w:type="spellStart"/>
      <w:r>
        <w:rPr>
          <w:rFonts w:eastAsia="Times New Roman"/>
        </w:rPr>
        <w:t>Noone</w:t>
      </w:r>
      <w:proofErr w:type="spellEnd"/>
      <w:r>
        <w:rPr>
          <w:rFonts w:eastAsia="Times New Roman"/>
        </w:rPr>
        <w:t>, C., Kennedy,</w:t>
      </w:r>
      <w:r>
        <w:rPr>
          <w:rFonts w:eastAsia="Times New Roman"/>
        </w:rPr>
        <w:t xml:space="preserve"> R., Behan, A., De </w:t>
      </w:r>
      <w:proofErr w:type="spellStart"/>
      <w:r>
        <w:rPr>
          <w:rFonts w:eastAsia="Times New Roman"/>
        </w:rPr>
        <w:t>Paor</w:t>
      </w:r>
      <w:proofErr w:type="spellEnd"/>
      <w:r>
        <w:rPr>
          <w:rFonts w:eastAsia="Times New Roman"/>
        </w:rPr>
        <w:t xml:space="preserve">, A., </w:t>
      </w:r>
      <w:proofErr w:type="spellStart"/>
      <w:r>
        <w:rPr>
          <w:rFonts w:eastAsia="Times New Roman"/>
        </w:rPr>
        <w:t>Felzmann</w:t>
      </w:r>
      <w:proofErr w:type="spellEnd"/>
      <w:r>
        <w:rPr>
          <w:rFonts w:eastAsia="Times New Roman"/>
        </w:rPr>
        <w:t xml:space="preserve">, H., </w:t>
      </w:r>
      <w:proofErr w:type="spellStart"/>
      <w:r>
        <w:rPr>
          <w:rFonts w:eastAsia="Times New Roman"/>
        </w:rPr>
        <w:t>Haklay</w:t>
      </w:r>
      <w:proofErr w:type="spellEnd"/>
      <w:r>
        <w:rPr>
          <w:rFonts w:eastAsia="Times New Roman"/>
        </w:rPr>
        <w:t xml:space="preserve">, M., Khoo, S.-M., Morison, J., Murphy, M. H., </w:t>
      </w:r>
      <w:proofErr w:type="spellStart"/>
      <w:r>
        <w:rPr>
          <w:rFonts w:eastAsia="Times New Roman"/>
        </w:rPr>
        <w:t>O’Brolchain</w:t>
      </w:r>
      <w:proofErr w:type="spellEnd"/>
      <w:r>
        <w:rPr>
          <w:rFonts w:eastAsia="Times New Roman"/>
        </w:rPr>
        <w:t xml:space="preserve">, N., Schafer, B., &amp; Shankar, K. (2017). Algorithmic governance: Developing a research agenda through the power of collective intelligence. Big Data </w:t>
      </w:r>
      <w:r>
        <w:rPr>
          <w:rFonts w:eastAsia="Times New Roman"/>
        </w:rPr>
        <w:t>&amp; Society, 4(2), 1–21.</w:t>
      </w:r>
    </w:p>
    <w:p w:rsidR="002C53C4" w:rsidRDefault="003542FA">
      <w:pPr>
        <w:spacing w:after="120" w:line="360" w:lineRule="auto"/>
        <w:jc w:val="both"/>
      </w:pPr>
      <w:proofErr w:type="spellStart"/>
      <w:r>
        <w:rPr>
          <w:rFonts w:eastAsia="Times New Roman"/>
        </w:rPr>
        <w:t>Diakopoulos</w:t>
      </w:r>
      <w:proofErr w:type="spellEnd"/>
      <w:r>
        <w:rPr>
          <w:rFonts w:eastAsia="Times New Roman"/>
        </w:rPr>
        <w:t>, N. (2016). Accountability in algorithmic decision making. Communications of the ACM, 59(2), 56–62.</w:t>
      </w:r>
    </w:p>
    <w:p w:rsidR="002C53C4" w:rsidRDefault="003542FA">
      <w:pPr>
        <w:spacing w:after="120" w:line="360" w:lineRule="auto"/>
        <w:jc w:val="both"/>
      </w:pPr>
      <w:proofErr w:type="spellStart"/>
      <w:r>
        <w:rPr>
          <w:rFonts w:eastAsia="Times New Roman"/>
        </w:rPr>
        <w:t>Elish</w:t>
      </w:r>
      <w:proofErr w:type="spellEnd"/>
      <w:r>
        <w:rPr>
          <w:rFonts w:eastAsia="Times New Roman"/>
        </w:rPr>
        <w:t xml:space="preserve">, M. C. (2019). Moral crumple zones: Cautionary tales in human-robot interaction. Engaging Science, Technology, and </w:t>
      </w:r>
      <w:r>
        <w:rPr>
          <w:rFonts w:eastAsia="Times New Roman"/>
        </w:rPr>
        <w:t>Society, 5, 40–60.</w:t>
      </w:r>
    </w:p>
    <w:p w:rsidR="002C53C4" w:rsidRDefault="003542FA">
      <w:pPr>
        <w:spacing w:after="120" w:line="360" w:lineRule="auto"/>
        <w:jc w:val="both"/>
      </w:pPr>
      <w:r>
        <w:rPr>
          <w:rFonts w:eastAsia="Times New Roman"/>
        </w:rPr>
        <w:t xml:space="preserve">Just, N., &amp; </w:t>
      </w:r>
      <w:proofErr w:type="spellStart"/>
      <w:r>
        <w:rPr>
          <w:rFonts w:eastAsia="Times New Roman"/>
        </w:rPr>
        <w:t>Latzer</w:t>
      </w:r>
      <w:proofErr w:type="spellEnd"/>
      <w:r>
        <w:rPr>
          <w:rFonts w:eastAsia="Times New Roman"/>
        </w:rPr>
        <w:t>, M. (2017). Governance by algorithms: Reality construction by algorithmic selection on the Internet. Media, Culture &amp; Society, 39(2), 238–258.</w:t>
      </w:r>
    </w:p>
    <w:p w:rsidR="002C53C4" w:rsidRDefault="003542FA">
      <w:pPr>
        <w:spacing w:after="120" w:line="360" w:lineRule="auto"/>
        <w:jc w:val="both"/>
      </w:pPr>
      <w:r>
        <w:rPr>
          <w:rFonts w:eastAsia="Times New Roman"/>
        </w:rPr>
        <w:t>Katzenbach, C., &amp; Ulbricht, L. (2019). Algorithmic governance. Internet Pol</w:t>
      </w:r>
      <w:r>
        <w:rPr>
          <w:rFonts w:eastAsia="Times New Roman"/>
        </w:rPr>
        <w:t>icy Review, 8(4). https://doi.org/10.14763/2019.4.1424</w:t>
      </w:r>
    </w:p>
    <w:p w:rsidR="002C53C4" w:rsidRDefault="003542FA">
      <w:pPr>
        <w:spacing w:after="120" w:line="360" w:lineRule="auto"/>
        <w:jc w:val="both"/>
      </w:pPr>
      <w:r>
        <w:rPr>
          <w:rFonts w:eastAsia="Times New Roman"/>
        </w:rPr>
        <w:t xml:space="preserve">Kroll, J. A., Huey, J., </w:t>
      </w:r>
      <w:proofErr w:type="spellStart"/>
      <w:r>
        <w:rPr>
          <w:rFonts w:eastAsia="Times New Roman"/>
        </w:rPr>
        <w:t>Barocas</w:t>
      </w:r>
      <w:proofErr w:type="spellEnd"/>
      <w:r>
        <w:rPr>
          <w:rFonts w:eastAsia="Times New Roman"/>
        </w:rPr>
        <w:t xml:space="preserve">, S., </w:t>
      </w:r>
      <w:proofErr w:type="spellStart"/>
      <w:r>
        <w:rPr>
          <w:rFonts w:eastAsia="Times New Roman"/>
        </w:rPr>
        <w:t>Felten</w:t>
      </w:r>
      <w:proofErr w:type="spellEnd"/>
      <w:r>
        <w:rPr>
          <w:rFonts w:eastAsia="Times New Roman"/>
        </w:rPr>
        <w:t xml:space="preserve">, E. W., </w:t>
      </w:r>
      <w:proofErr w:type="spellStart"/>
      <w:r>
        <w:rPr>
          <w:rFonts w:eastAsia="Times New Roman"/>
        </w:rPr>
        <w:t>Reidenberg</w:t>
      </w:r>
      <w:proofErr w:type="spellEnd"/>
      <w:r>
        <w:rPr>
          <w:rFonts w:eastAsia="Times New Roman"/>
        </w:rPr>
        <w:t>, J. R., Robinson, D. G., &amp; Yu, H. (2017). Accountable algorithms. University of Pennsylvania Law Review, 165, 633–705.</w:t>
      </w:r>
    </w:p>
    <w:p w:rsidR="002C53C4" w:rsidRDefault="003542FA">
      <w:pPr>
        <w:spacing w:after="120" w:line="360" w:lineRule="auto"/>
        <w:jc w:val="both"/>
      </w:pPr>
      <w:r>
        <w:rPr>
          <w:rFonts w:eastAsia="Times New Roman"/>
        </w:rPr>
        <w:t>Meijer, A., Lorenz,</w:t>
      </w:r>
      <w:r>
        <w:rPr>
          <w:rFonts w:eastAsia="Times New Roman"/>
        </w:rPr>
        <w:t xml:space="preserve"> L., &amp; Wessels, M. (2021). </w:t>
      </w:r>
      <w:proofErr w:type="spellStart"/>
      <w:r>
        <w:rPr>
          <w:rFonts w:eastAsia="Times New Roman"/>
        </w:rPr>
        <w:t>Algorithmization</w:t>
      </w:r>
      <w:proofErr w:type="spellEnd"/>
      <w:r>
        <w:rPr>
          <w:rFonts w:eastAsia="Times New Roman"/>
        </w:rPr>
        <w:t xml:space="preserve"> of bureaucratic organizations: Using a practice lens to study how context shapes predictive policing systems. Public Administration Review, 81(5), 837–846.</w:t>
      </w:r>
    </w:p>
    <w:p w:rsidR="002C53C4" w:rsidRDefault="003542FA">
      <w:pPr>
        <w:spacing w:after="120" w:line="360" w:lineRule="auto"/>
        <w:jc w:val="both"/>
      </w:pPr>
      <w:r>
        <w:rPr>
          <w:rFonts w:eastAsia="Times New Roman"/>
        </w:rPr>
        <w:lastRenderedPageBreak/>
        <w:t xml:space="preserve">Raji, I. D., Smart, A., White, R. N., Mitchell, M., </w:t>
      </w:r>
      <w:proofErr w:type="spellStart"/>
      <w:r>
        <w:rPr>
          <w:rFonts w:eastAsia="Times New Roman"/>
        </w:rPr>
        <w:t>Gebr</w:t>
      </w:r>
      <w:r>
        <w:rPr>
          <w:rFonts w:eastAsia="Times New Roman"/>
        </w:rPr>
        <w:t>u</w:t>
      </w:r>
      <w:proofErr w:type="spellEnd"/>
      <w:r>
        <w:rPr>
          <w:rFonts w:eastAsia="Times New Roman"/>
        </w:rPr>
        <w:t>, T., Hutchinson, B., Smith-Loud, J., Theron, D., &amp; Barnes, P. (2020). Closing the AI accountability gap: Defining an end-to-end framework for internal algorithmic auditing. In Proceedings of the 2020 Conference on Fairness, Accountability, and Transparen</w:t>
      </w:r>
      <w:r>
        <w:rPr>
          <w:rFonts w:eastAsia="Times New Roman"/>
        </w:rPr>
        <w:t>cy (pp. 33–44).</w:t>
      </w:r>
    </w:p>
    <w:p w:rsidR="002C53C4" w:rsidRDefault="003542FA">
      <w:pPr>
        <w:spacing w:after="120" w:line="360" w:lineRule="auto"/>
        <w:jc w:val="both"/>
      </w:pPr>
      <w:r>
        <w:rPr>
          <w:rFonts w:eastAsia="Times New Roman"/>
        </w:rPr>
        <w:t>Roehl, U. B. U. (2024). Automated, administrative decision-making and good governance: A systematic review. Public Administration Review, 84(6), 1184–1199.</w:t>
      </w:r>
    </w:p>
    <w:p w:rsidR="002C53C4" w:rsidRDefault="003542FA">
      <w:pPr>
        <w:spacing w:after="120" w:line="360" w:lineRule="auto"/>
        <w:jc w:val="both"/>
      </w:pPr>
      <w:proofErr w:type="spellStart"/>
      <w:r>
        <w:rPr>
          <w:rFonts w:eastAsia="Times New Roman"/>
        </w:rPr>
        <w:t>Santoni</w:t>
      </w:r>
      <w:proofErr w:type="spellEnd"/>
      <w:r>
        <w:rPr>
          <w:rFonts w:eastAsia="Times New Roman"/>
        </w:rPr>
        <w:t xml:space="preserve"> de </w:t>
      </w:r>
      <w:proofErr w:type="spellStart"/>
      <w:r>
        <w:rPr>
          <w:rFonts w:eastAsia="Times New Roman"/>
        </w:rPr>
        <w:t>Sio</w:t>
      </w:r>
      <w:proofErr w:type="spellEnd"/>
      <w:r>
        <w:rPr>
          <w:rFonts w:eastAsia="Times New Roman"/>
        </w:rPr>
        <w:t>, F., &amp; van den Hoven, J. (2018). Meaningful human control over autono</w:t>
      </w:r>
      <w:r>
        <w:rPr>
          <w:rFonts w:eastAsia="Times New Roman"/>
        </w:rPr>
        <w:t>mous systems: A philosophical account. Frontiers in Robotics and AI, 5, Article 15.</w:t>
      </w:r>
    </w:p>
    <w:p w:rsidR="002C53C4" w:rsidRDefault="003542FA">
      <w:pPr>
        <w:spacing w:after="120" w:line="360" w:lineRule="auto"/>
        <w:jc w:val="both"/>
      </w:pPr>
      <w:proofErr w:type="spellStart"/>
      <w:r>
        <w:rPr>
          <w:rFonts w:eastAsia="Times New Roman"/>
        </w:rPr>
        <w:t>Selbst</w:t>
      </w:r>
      <w:proofErr w:type="spellEnd"/>
      <w:r>
        <w:rPr>
          <w:rFonts w:eastAsia="Times New Roman"/>
        </w:rPr>
        <w:t xml:space="preserve">, A. D., Boyd, D., </w:t>
      </w:r>
      <w:proofErr w:type="spellStart"/>
      <w:r>
        <w:rPr>
          <w:rFonts w:eastAsia="Times New Roman"/>
        </w:rPr>
        <w:t>Friedler</w:t>
      </w:r>
      <w:proofErr w:type="spellEnd"/>
      <w:r>
        <w:rPr>
          <w:rFonts w:eastAsia="Times New Roman"/>
        </w:rPr>
        <w:t xml:space="preserve">, S. A., </w:t>
      </w:r>
      <w:proofErr w:type="spellStart"/>
      <w:r>
        <w:rPr>
          <w:rFonts w:eastAsia="Times New Roman"/>
        </w:rPr>
        <w:t>Venkatasubramanian</w:t>
      </w:r>
      <w:proofErr w:type="spellEnd"/>
      <w:r>
        <w:rPr>
          <w:rFonts w:eastAsia="Times New Roman"/>
        </w:rPr>
        <w:t xml:space="preserve">, S., &amp; </w:t>
      </w:r>
      <w:proofErr w:type="spellStart"/>
      <w:r>
        <w:rPr>
          <w:rFonts w:eastAsia="Times New Roman"/>
        </w:rPr>
        <w:t>Vertesi</w:t>
      </w:r>
      <w:proofErr w:type="spellEnd"/>
      <w:r>
        <w:rPr>
          <w:rFonts w:eastAsia="Times New Roman"/>
        </w:rPr>
        <w:t>, J. (2019). Fairness and abstraction in sociotechnical systems. In Proceedings of the Conference</w:t>
      </w:r>
      <w:r>
        <w:rPr>
          <w:rFonts w:eastAsia="Times New Roman"/>
        </w:rPr>
        <w:t xml:space="preserve"> on Fairness, Accountability, and Transparency (pp. 59–68).</w:t>
      </w:r>
    </w:p>
    <w:p w:rsidR="002C53C4" w:rsidRDefault="003542FA">
      <w:pPr>
        <w:spacing w:after="120" w:line="360" w:lineRule="auto"/>
        <w:jc w:val="both"/>
      </w:pPr>
      <w:r>
        <w:rPr>
          <w:rFonts w:eastAsia="Times New Roman"/>
        </w:rPr>
        <w:t>Veale, M., &amp; Brass, I. (2019). Administration by algorithm? Public management meets public sector machine learning. In K. Yeung &amp; M. Lodge (Eds.), Algorithmic regulation (pp. 121–149). Oxford Univ</w:t>
      </w:r>
      <w:r>
        <w:rPr>
          <w:rFonts w:eastAsia="Times New Roman"/>
        </w:rPr>
        <w:t>ersity Press.</w:t>
      </w:r>
    </w:p>
    <w:p w:rsidR="002C53C4" w:rsidRDefault="003542FA">
      <w:pPr>
        <w:spacing w:after="120" w:line="360" w:lineRule="auto"/>
        <w:jc w:val="both"/>
      </w:pPr>
      <w:r>
        <w:rPr>
          <w:rFonts w:eastAsia="Times New Roman"/>
        </w:rPr>
        <w:t>Wagner, B. (2019). Liable, but not in control? Ensuring meaningful human agency in automated decision-making systems. Policy &amp; Internet, 11(1), 104–122.</w:t>
      </w:r>
    </w:p>
    <w:p w:rsidR="002C53C4" w:rsidRDefault="003542FA">
      <w:pPr>
        <w:spacing w:after="120" w:line="360" w:lineRule="auto"/>
        <w:jc w:val="both"/>
      </w:pPr>
      <w:proofErr w:type="spellStart"/>
      <w:r>
        <w:rPr>
          <w:rFonts w:eastAsia="Times New Roman"/>
        </w:rPr>
        <w:t>Wieringa</w:t>
      </w:r>
      <w:proofErr w:type="spellEnd"/>
      <w:r>
        <w:rPr>
          <w:rFonts w:eastAsia="Times New Roman"/>
        </w:rPr>
        <w:t>, M. (2020). What to account for when accounting for algorithms: A systematic lit</w:t>
      </w:r>
      <w:r>
        <w:rPr>
          <w:rFonts w:eastAsia="Times New Roman"/>
        </w:rPr>
        <w:t>erature review on algorithmic accountability. In Proceedings of the 2020 Conference on Fairness, Accountability, and Transparency (pp. 1–18).</w:t>
      </w:r>
    </w:p>
    <w:p w:rsidR="002C53C4" w:rsidRDefault="003542FA">
      <w:pPr>
        <w:spacing w:after="120" w:line="360" w:lineRule="auto"/>
        <w:jc w:val="both"/>
      </w:pPr>
      <w:r>
        <w:rPr>
          <w:rFonts w:eastAsia="Times New Roman"/>
        </w:rPr>
        <w:t xml:space="preserve">Wihlborg, E., Larsson, H., &amp; </w:t>
      </w:r>
      <w:proofErr w:type="spellStart"/>
      <w:r>
        <w:rPr>
          <w:rFonts w:eastAsia="Times New Roman"/>
        </w:rPr>
        <w:t>Hedström</w:t>
      </w:r>
      <w:proofErr w:type="spellEnd"/>
      <w:r>
        <w:rPr>
          <w:rFonts w:eastAsia="Times New Roman"/>
        </w:rPr>
        <w:t>, K. (2016). “The computer says no!”—A case study on automated decision-makin</w:t>
      </w:r>
      <w:r>
        <w:rPr>
          <w:rFonts w:eastAsia="Times New Roman"/>
        </w:rPr>
        <w:t>g in public authorities. In Proceedings of the 49th Hawaii International Conference on System Sciences (HICSS) (pp. 2903–2912). IEEE.</w:t>
      </w:r>
    </w:p>
    <w:p w:rsidR="002C53C4" w:rsidRDefault="003542FA">
      <w:pPr>
        <w:spacing w:after="120" w:line="360" w:lineRule="auto"/>
        <w:jc w:val="both"/>
      </w:pPr>
      <w:r>
        <w:rPr>
          <w:rFonts w:eastAsia="Times New Roman"/>
        </w:rPr>
        <w:t>Yeung, K. (2018). Algorithmic regulation: A critical interrogation. Regulation &amp; Governance, 12(4), 505–523.</w:t>
      </w:r>
    </w:p>
    <w:p w:rsidR="002C53C4" w:rsidRDefault="003542FA">
      <w:pPr>
        <w:spacing w:after="120" w:line="360" w:lineRule="auto"/>
        <w:jc w:val="both"/>
      </w:pPr>
      <w:r>
        <w:rPr>
          <w:rFonts w:eastAsia="Times New Roman"/>
        </w:rPr>
        <w:t>Young, M. M.,</w:t>
      </w:r>
      <w:r>
        <w:rPr>
          <w:rFonts w:eastAsia="Times New Roman"/>
        </w:rPr>
        <w:t xml:space="preserve"> Bullock, J. B., &amp; </w:t>
      </w:r>
      <w:proofErr w:type="spellStart"/>
      <w:r>
        <w:rPr>
          <w:rFonts w:eastAsia="Times New Roman"/>
        </w:rPr>
        <w:t>Lecy</w:t>
      </w:r>
      <w:proofErr w:type="spellEnd"/>
      <w:r>
        <w:rPr>
          <w:rFonts w:eastAsia="Times New Roman"/>
        </w:rPr>
        <w:t>, J. D. (2019). Artificial discretion as a tool of governance: A framework for understanding the impact of artificial intelligence on public administration. Perspectives on Public Management and Governance, 2(4), 301–313.</w:t>
      </w:r>
    </w:p>
    <w:p w:rsidR="002C53C4" w:rsidRDefault="003542FA">
      <w:pPr>
        <w:spacing w:after="120" w:line="360" w:lineRule="auto"/>
        <w:jc w:val="both"/>
      </w:pPr>
      <w:proofErr w:type="spellStart"/>
      <w:r>
        <w:rPr>
          <w:rFonts w:eastAsia="Times New Roman"/>
          <w:b/>
          <w:bCs/>
        </w:rPr>
        <w:t>支撐性機制缺口相關文獻</w:t>
      </w:r>
      <w:proofErr w:type="spellEnd"/>
    </w:p>
    <w:p w:rsidR="002C53C4" w:rsidRDefault="003542FA">
      <w:pPr>
        <w:spacing w:after="120" w:line="360" w:lineRule="auto"/>
        <w:jc w:val="both"/>
      </w:pPr>
      <w:r>
        <w:rPr>
          <w:rFonts w:eastAsia="Times New Roman"/>
        </w:rPr>
        <w:t>Parasuraman, R., &amp; Riley, V. (1997). Humans and automation: Use, misuse, disuse, abuse. Human Factors, 39(2), 230–253.</w:t>
      </w:r>
    </w:p>
    <w:p w:rsidR="002C53C4" w:rsidRDefault="003542FA">
      <w:pPr>
        <w:spacing w:after="120" w:line="360" w:lineRule="auto"/>
        <w:jc w:val="both"/>
      </w:pPr>
      <w:proofErr w:type="spellStart"/>
      <w:r>
        <w:rPr>
          <w:rFonts w:eastAsia="Times New Roman"/>
        </w:rPr>
        <w:lastRenderedPageBreak/>
        <w:t>Plantin</w:t>
      </w:r>
      <w:proofErr w:type="spellEnd"/>
      <w:r>
        <w:rPr>
          <w:rFonts w:eastAsia="Times New Roman"/>
        </w:rPr>
        <w:t xml:space="preserve">, J.-C., </w:t>
      </w:r>
      <w:proofErr w:type="spellStart"/>
      <w:r>
        <w:rPr>
          <w:rFonts w:eastAsia="Times New Roman"/>
        </w:rPr>
        <w:t>Lagoze</w:t>
      </w:r>
      <w:proofErr w:type="spellEnd"/>
      <w:r>
        <w:rPr>
          <w:rFonts w:eastAsia="Times New Roman"/>
        </w:rPr>
        <w:t xml:space="preserve">, C., Edwards, P. N., &amp; </w:t>
      </w:r>
      <w:proofErr w:type="spellStart"/>
      <w:r>
        <w:rPr>
          <w:rFonts w:eastAsia="Times New Roman"/>
        </w:rPr>
        <w:t>Sandvig</w:t>
      </w:r>
      <w:proofErr w:type="spellEnd"/>
      <w:r>
        <w:rPr>
          <w:rFonts w:eastAsia="Times New Roman"/>
        </w:rPr>
        <w:t xml:space="preserve">, C. (2018). Infrastructure studies meet platform studies in the age of Google and </w:t>
      </w:r>
      <w:r>
        <w:rPr>
          <w:rFonts w:eastAsia="Times New Roman"/>
        </w:rPr>
        <w:t>Facebook. New Media &amp; Society, 20(1), 293–310.</w:t>
      </w:r>
    </w:p>
    <w:p w:rsidR="002C53C4" w:rsidRDefault="003542FA">
      <w:pPr>
        <w:spacing w:after="120" w:line="360" w:lineRule="auto"/>
        <w:jc w:val="both"/>
      </w:pPr>
      <w:proofErr w:type="spellStart"/>
      <w:r>
        <w:rPr>
          <w:rFonts w:eastAsia="Times New Roman"/>
        </w:rPr>
        <w:t>Skitka</w:t>
      </w:r>
      <w:proofErr w:type="spellEnd"/>
      <w:r>
        <w:rPr>
          <w:rFonts w:eastAsia="Times New Roman"/>
        </w:rPr>
        <w:t>, L. J., Mosier, K. L., &amp; Burdick, M. (1999). Does automation bias decision-making? International Journal of Human-Computer Studies, 51(5), 991–1010.</w:t>
      </w:r>
    </w:p>
    <w:p w:rsidR="002C53C4" w:rsidRDefault="003542FA">
      <w:pPr>
        <w:spacing w:after="120" w:line="360" w:lineRule="auto"/>
        <w:jc w:val="both"/>
      </w:pPr>
      <w:proofErr w:type="spellStart"/>
      <w:r>
        <w:rPr>
          <w:rFonts w:eastAsia="Times New Roman"/>
          <w:b/>
          <w:bCs/>
        </w:rPr>
        <w:t>臺灣本土文獻</w:t>
      </w:r>
      <w:proofErr w:type="spellEnd"/>
    </w:p>
    <w:p w:rsidR="002C53C4" w:rsidRDefault="003542FA">
      <w:pPr>
        <w:spacing w:after="120" w:line="360" w:lineRule="auto"/>
        <w:jc w:val="both"/>
      </w:pPr>
      <w:r>
        <w:rPr>
          <w:rFonts w:eastAsia="Times New Roman"/>
        </w:rPr>
        <w:t>辛年豐（2020）。〈自動化行政處分之合法性與正當法律程序：以人工智慧在行政審查之應用為中心</w:t>
      </w:r>
      <w:r>
        <w:rPr>
          <w:rFonts w:eastAsia="Times New Roman"/>
        </w:rPr>
        <w:t>〉。《月旦法學雜誌》，305，45-62。</w:t>
      </w:r>
    </w:p>
    <w:p w:rsidR="002C53C4" w:rsidRDefault="003542FA">
      <w:pPr>
        <w:spacing w:after="120" w:line="360" w:lineRule="auto"/>
        <w:jc w:val="both"/>
      </w:pPr>
      <w:r>
        <w:rPr>
          <w:rFonts w:eastAsia="Times New Roman"/>
        </w:rPr>
        <w:t>陳敦源、黃東益、蕭乃沂（2016）。〈智慧政府的治理挑戰：資料驅動下的公部門組織變革與跨域整合〉。《中國行政評論》，22（3），1-28。</w:t>
      </w:r>
    </w:p>
    <w:p w:rsidR="002C53C4" w:rsidRDefault="003542FA">
      <w:pPr>
        <w:spacing w:after="120" w:line="360" w:lineRule="auto"/>
        <w:jc w:val="both"/>
      </w:pPr>
      <w:r>
        <w:rPr>
          <w:rFonts w:eastAsia="Times New Roman"/>
        </w:rPr>
        <w:t>曾為岑（2022）。〈</w:t>
      </w:r>
      <w:proofErr w:type="spellStart"/>
      <w:r>
        <w:rPr>
          <w:rFonts w:eastAsia="Times New Roman"/>
        </w:rPr>
        <w:t>人工智慧輔助行政決策之可解釋性要求與公法課責機制</w:t>
      </w:r>
      <w:proofErr w:type="spellEnd"/>
      <w:r>
        <w:rPr>
          <w:rFonts w:eastAsia="Times New Roman"/>
        </w:rPr>
        <w:t>〉。《</w:t>
      </w:r>
      <w:proofErr w:type="spellStart"/>
      <w:r>
        <w:rPr>
          <w:rFonts w:eastAsia="Times New Roman"/>
        </w:rPr>
        <w:t>政治科學論叢</w:t>
      </w:r>
      <w:proofErr w:type="spellEnd"/>
      <w:r>
        <w:rPr>
          <w:rFonts w:eastAsia="Times New Roman"/>
        </w:rPr>
        <w:t>》，91，79-118。</w:t>
      </w:r>
    </w:p>
    <w:p w:rsidR="002C53C4" w:rsidRDefault="003542FA">
      <w:pPr>
        <w:spacing w:after="120" w:line="360" w:lineRule="auto"/>
        <w:jc w:val="both"/>
      </w:pPr>
      <w:r>
        <w:rPr>
          <w:rFonts w:eastAsia="Times New Roman"/>
        </w:rPr>
        <w:t>詹鎮榮（2014）。〈</w:t>
      </w:r>
      <w:proofErr w:type="spellStart"/>
      <w:r>
        <w:rPr>
          <w:rFonts w:eastAsia="Times New Roman"/>
        </w:rPr>
        <w:t>行政任務私有化與國家擔保責任理論之建構</w:t>
      </w:r>
      <w:proofErr w:type="spellEnd"/>
      <w:r>
        <w:rPr>
          <w:rFonts w:eastAsia="Times New Roman"/>
        </w:rPr>
        <w:t>〉。《</w:t>
      </w:r>
      <w:proofErr w:type="spellStart"/>
      <w:r>
        <w:rPr>
          <w:rFonts w:eastAsia="Times New Roman"/>
        </w:rPr>
        <w:t>國立臺灣大學法學論叢</w:t>
      </w:r>
      <w:proofErr w:type="spellEnd"/>
      <w:r>
        <w:rPr>
          <w:rFonts w:eastAsia="Times New Roman"/>
        </w:rPr>
        <w:t>》，43（2），385-435。</w:t>
      </w:r>
    </w:p>
    <w:p w:rsidR="002C53C4" w:rsidRDefault="003542FA">
      <w:pPr>
        <w:spacing w:after="120" w:line="360" w:lineRule="auto"/>
        <w:jc w:val="both"/>
      </w:pPr>
      <w:r>
        <w:rPr>
          <w:rFonts w:eastAsia="Times New Roman"/>
        </w:rPr>
        <w:t>蕭乃沂、黃心怡（2012）。〈電子化政府資訊系統委外履約管理與績效評估：以契約不完備性與資訊不</w:t>
      </w:r>
      <w:r>
        <w:rPr>
          <w:rFonts w:eastAsia="Times New Roman"/>
        </w:rPr>
        <w:t>對稱觀點分析〉。《公共行政學報》，42，35-72。</w:t>
      </w:r>
    </w:p>
    <w:sectPr w:rsidR="002C53C4">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2FA" w:rsidRDefault="003542FA">
      <w:r>
        <w:separator/>
      </w:r>
    </w:p>
  </w:endnote>
  <w:endnote w:type="continuationSeparator" w:id="0">
    <w:p w:rsidR="003542FA" w:rsidRDefault="0035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3C4" w:rsidRDefault="003542FA">
    <w:pPr>
      <w:jc w:val="center"/>
    </w:pPr>
    <w:r>
      <w:rPr>
        <w:rFonts w:eastAsia="Times New Roman"/>
        <w:sz w:val="20"/>
        <w:szCs w:val="20"/>
      </w:rPr>
      <w:t xml:space="preserve">— </w:t>
    </w:r>
    <w:r>
      <w:rPr>
        <w:sz w:val="20"/>
        <w:szCs w:val="20"/>
      </w:rPr>
      <w:fldChar w:fldCharType="begin"/>
    </w:r>
    <w:r>
      <w:rPr>
        <w:rFonts w:eastAsia="Times New Roman"/>
        <w:sz w:val="20"/>
        <w:szCs w:val="20"/>
      </w:rPr>
      <w:instrText>PAGE</w:instrText>
    </w:r>
    <w:r w:rsidR="00CE2D92">
      <w:rPr>
        <w:sz w:val="20"/>
        <w:szCs w:val="20"/>
      </w:rPr>
      <w:fldChar w:fldCharType="separate"/>
    </w:r>
    <w:r w:rsidR="00CE2D92">
      <w:rPr>
        <w:rFonts w:eastAsia="Times New Roman"/>
        <w:noProof/>
        <w:sz w:val="20"/>
        <w:szCs w:val="20"/>
      </w:rPr>
      <w:t>1</w:t>
    </w:r>
    <w:r>
      <w:rPr>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2FA" w:rsidRDefault="003542FA">
      <w:r>
        <w:separator/>
      </w:r>
    </w:p>
  </w:footnote>
  <w:footnote w:type="continuationSeparator" w:id="0">
    <w:p w:rsidR="003542FA" w:rsidRDefault="00354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663"/>
    <w:multiLevelType w:val="hybridMultilevel"/>
    <w:tmpl w:val="7630A8D4"/>
    <w:lvl w:ilvl="0" w:tplc="77ECFD72">
      <w:start w:val="1"/>
      <w:numFmt w:val="decimal"/>
      <w:lvlText w:val="%1."/>
      <w:lvlJc w:val="left"/>
      <w:pPr>
        <w:ind w:left="720" w:hanging="360"/>
      </w:pPr>
    </w:lvl>
    <w:lvl w:ilvl="1" w:tplc="879E5E24">
      <w:numFmt w:val="decimal"/>
      <w:lvlText w:val=""/>
      <w:lvlJc w:val="left"/>
    </w:lvl>
    <w:lvl w:ilvl="2" w:tplc="260CECE4">
      <w:numFmt w:val="decimal"/>
      <w:lvlText w:val=""/>
      <w:lvlJc w:val="left"/>
    </w:lvl>
    <w:lvl w:ilvl="3" w:tplc="A4EC6D64">
      <w:numFmt w:val="decimal"/>
      <w:lvlText w:val=""/>
      <w:lvlJc w:val="left"/>
    </w:lvl>
    <w:lvl w:ilvl="4" w:tplc="F386EBE2">
      <w:numFmt w:val="decimal"/>
      <w:lvlText w:val=""/>
      <w:lvlJc w:val="left"/>
    </w:lvl>
    <w:lvl w:ilvl="5" w:tplc="DED4F0BE">
      <w:numFmt w:val="decimal"/>
      <w:lvlText w:val=""/>
      <w:lvlJc w:val="left"/>
    </w:lvl>
    <w:lvl w:ilvl="6" w:tplc="662C2756">
      <w:numFmt w:val="decimal"/>
      <w:lvlText w:val=""/>
      <w:lvlJc w:val="left"/>
    </w:lvl>
    <w:lvl w:ilvl="7" w:tplc="738C1F66">
      <w:numFmt w:val="decimal"/>
      <w:lvlText w:val=""/>
      <w:lvlJc w:val="left"/>
    </w:lvl>
    <w:lvl w:ilvl="8" w:tplc="F30471CA">
      <w:numFmt w:val="decimal"/>
      <w:lvlText w:val=""/>
      <w:lvlJc w:val="left"/>
    </w:lvl>
  </w:abstractNum>
  <w:abstractNum w:abstractNumId="1" w15:restartNumberingAfterBreak="0">
    <w:nsid w:val="215D12DE"/>
    <w:multiLevelType w:val="hybridMultilevel"/>
    <w:tmpl w:val="FD1E17DE"/>
    <w:lvl w:ilvl="0" w:tplc="ED403F34">
      <w:start w:val="1"/>
      <w:numFmt w:val="bullet"/>
      <w:lvlText w:val="•"/>
      <w:lvlJc w:val="left"/>
      <w:pPr>
        <w:ind w:left="720" w:hanging="360"/>
      </w:pPr>
    </w:lvl>
    <w:lvl w:ilvl="1" w:tplc="22E8A71C">
      <w:numFmt w:val="decimal"/>
      <w:lvlText w:val=""/>
      <w:lvlJc w:val="left"/>
    </w:lvl>
    <w:lvl w:ilvl="2" w:tplc="51883FCC">
      <w:numFmt w:val="decimal"/>
      <w:lvlText w:val=""/>
      <w:lvlJc w:val="left"/>
    </w:lvl>
    <w:lvl w:ilvl="3" w:tplc="FD7AB8A4">
      <w:numFmt w:val="decimal"/>
      <w:lvlText w:val=""/>
      <w:lvlJc w:val="left"/>
    </w:lvl>
    <w:lvl w:ilvl="4" w:tplc="F29E17F2">
      <w:numFmt w:val="decimal"/>
      <w:lvlText w:val=""/>
      <w:lvlJc w:val="left"/>
    </w:lvl>
    <w:lvl w:ilvl="5" w:tplc="DEBA2F8E">
      <w:numFmt w:val="decimal"/>
      <w:lvlText w:val=""/>
      <w:lvlJc w:val="left"/>
    </w:lvl>
    <w:lvl w:ilvl="6" w:tplc="BE3CAEE8">
      <w:numFmt w:val="decimal"/>
      <w:lvlText w:val=""/>
      <w:lvlJc w:val="left"/>
    </w:lvl>
    <w:lvl w:ilvl="7" w:tplc="77929788">
      <w:numFmt w:val="decimal"/>
      <w:lvlText w:val=""/>
      <w:lvlJc w:val="left"/>
    </w:lvl>
    <w:lvl w:ilvl="8" w:tplc="C1B605D4">
      <w:numFmt w:val="decimal"/>
      <w:lvlText w:val=""/>
      <w:lvlJc w:val="left"/>
    </w:lvl>
  </w:abstractNum>
  <w:abstractNum w:abstractNumId="2" w15:restartNumberingAfterBreak="0">
    <w:nsid w:val="3CA307AB"/>
    <w:multiLevelType w:val="hybridMultilevel"/>
    <w:tmpl w:val="A9A2481A"/>
    <w:lvl w:ilvl="0" w:tplc="8B280908">
      <w:start w:val="1"/>
      <w:numFmt w:val="bullet"/>
      <w:lvlText w:val="●"/>
      <w:lvlJc w:val="left"/>
      <w:pPr>
        <w:ind w:left="720" w:hanging="360"/>
      </w:pPr>
    </w:lvl>
    <w:lvl w:ilvl="1" w:tplc="C85E60CE">
      <w:start w:val="1"/>
      <w:numFmt w:val="bullet"/>
      <w:lvlText w:val="○"/>
      <w:lvlJc w:val="left"/>
      <w:pPr>
        <w:ind w:left="1440" w:hanging="360"/>
      </w:pPr>
    </w:lvl>
    <w:lvl w:ilvl="2" w:tplc="1E2E4C00">
      <w:start w:val="1"/>
      <w:numFmt w:val="bullet"/>
      <w:lvlText w:val="■"/>
      <w:lvlJc w:val="left"/>
      <w:pPr>
        <w:ind w:left="2160" w:hanging="360"/>
      </w:pPr>
    </w:lvl>
    <w:lvl w:ilvl="3" w:tplc="20221EAC">
      <w:start w:val="1"/>
      <w:numFmt w:val="bullet"/>
      <w:lvlText w:val="●"/>
      <w:lvlJc w:val="left"/>
      <w:pPr>
        <w:ind w:left="2880" w:hanging="360"/>
      </w:pPr>
    </w:lvl>
    <w:lvl w:ilvl="4" w:tplc="155EF704">
      <w:start w:val="1"/>
      <w:numFmt w:val="bullet"/>
      <w:lvlText w:val="○"/>
      <w:lvlJc w:val="left"/>
      <w:pPr>
        <w:ind w:left="3600" w:hanging="360"/>
      </w:pPr>
    </w:lvl>
    <w:lvl w:ilvl="5" w:tplc="015A4536">
      <w:start w:val="1"/>
      <w:numFmt w:val="bullet"/>
      <w:lvlText w:val="■"/>
      <w:lvlJc w:val="left"/>
      <w:pPr>
        <w:ind w:left="4320" w:hanging="360"/>
      </w:pPr>
    </w:lvl>
    <w:lvl w:ilvl="6" w:tplc="9C32DAFE">
      <w:start w:val="1"/>
      <w:numFmt w:val="bullet"/>
      <w:lvlText w:val="●"/>
      <w:lvlJc w:val="left"/>
      <w:pPr>
        <w:ind w:left="5040" w:hanging="360"/>
      </w:pPr>
    </w:lvl>
    <w:lvl w:ilvl="7" w:tplc="F816F1B4">
      <w:start w:val="1"/>
      <w:numFmt w:val="bullet"/>
      <w:lvlText w:val="●"/>
      <w:lvlJc w:val="left"/>
      <w:pPr>
        <w:ind w:left="5760" w:hanging="360"/>
      </w:pPr>
    </w:lvl>
    <w:lvl w:ilvl="8" w:tplc="3CBA01A8">
      <w:start w:val="1"/>
      <w:numFmt w:val="bullet"/>
      <w:lvlText w:val="●"/>
      <w:lvlJc w:val="left"/>
      <w:pPr>
        <w:ind w:left="6480" w:hanging="360"/>
      </w:pPr>
    </w:lvl>
  </w:abstractNum>
  <w:abstractNum w:abstractNumId="3" w15:restartNumberingAfterBreak="0">
    <w:nsid w:val="768477C6"/>
    <w:multiLevelType w:val="hybridMultilevel"/>
    <w:tmpl w:val="6AAEF16A"/>
    <w:lvl w:ilvl="0" w:tplc="3508E044">
      <w:start w:val="1"/>
      <w:numFmt w:val="decimal"/>
      <w:lvlText w:val="%1."/>
      <w:lvlJc w:val="left"/>
      <w:pPr>
        <w:ind w:left="720" w:hanging="360"/>
      </w:pPr>
    </w:lvl>
    <w:lvl w:ilvl="1" w:tplc="228A8BD8">
      <w:numFmt w:val="decimal"/>
      <w:lvlText w:val=""/>
      <w:lvlJc w:val="left"/>
    </w:lvl>
    <w:lvl w:ilvl="2" w:tplc="7B8E8B84">
      <w:numFmt w:val="decimal"/>
      <w:lvlText w:val=""/>
      <w:lvlJc w:val="left"/>
    </w:lvl>
    <w:lvl w:ilvl="3" w:tplc="D1F8B292">
      <w:numFmt w:val="decimal"/>
      <w:lvlText w:val=""/>
      <w:lvlJc w:val="left"/>
    </w:lvl>
    <w:lvl w:ilvl="4" w:tplc="03726AA6">
      <w:numFmt w:val="decimal"/>
      <w:lvlText w:val=""/>
      <w:lvlJc w:val="left"/>
    </w:lvl>
    <w:lvl w:ilvl="5" w:tplc="E79E33C0">
      <w:numFmt w:val="decimal"/>
      <w:lvlText w:val=""/>
      <w:lvlJc w:val="left"/>
    </w:lvl>
    <w:lvl w:ilvl="6" w:tplc="A41A299C">
      <w:numFmt w:val="decimal"/>
      <w:lvlText w:val=""/>
      <w:lvlJc w:val="left"/>
    </w:lvl>
    <w:lvl w:ilvl="7" w:tplc="A4803B68">
      <w:numFmt w:val="decimal"/>
      <w:lvlText w:val=""/>
      <w:lvlJc w:val="left"/>
    </w:lvl>
    <w:lvl w:ilvl="8" w:tplc="74241C4C">
      <w:numFmt w:val="decimal"/>
      <w:lvlText w:val=""/>
      <w:lvlJc w:val="left"/>
    </w:lvl>
  </w:abstractNum>
  <w:abstractNum w:abstractNumId="4" w15:restartNumberingAfterBreak="0">
    <w:nsid w:val="7DA4604C"/>
    <w:multiLevelType w:val="hybridMultilevel"/>
    <w:tmpl w:val="05B433CA"/>
    <w:lvl w:ilvl="0" w:tplc="3174A24E">
      <w:start w:val="1"/>
      <w:numFmt w:val="decimal"/>
      <w:lvlText w:val="%1."/>
      <w:lvlJc w:val="left"/>
      <w:pPr>
        <w:ind w:left="720" w:hanging="360"/>
      </w:pPr>
    </w:lvl>
    <w:lvl w:ilvl="1" w:tplc="051E9474">
      <w:numFmt w:val="decimal"/>
      <w:lvlText w:val=""/>
      <w:lvlJc w:val="left"/>
    </w:lvl>
    <w:lvl w:ilvl="2" w:tplc="B75EFE9A">
      <w:numFmt w:val="decimal"/>
      <w:lvlText w:val=""/>
      <w:lvlJc w:val="left"/>
    </w:lvl>
    <w:lvl w:ilvl="3" w:tplc="F58C93FA">
      <w:numFmt w:val="decimal"/>
      <w:lvlText w:val=""/>
      <w:lvlJc w:val="left"/>
    </w:lvl>
    <w:lvl w:ilvl="4" w:tplc="62B65006">
      <w:numFmt w:val="decimal"/>
      <w:lvlText w:val=""/>
      <w:lvlJc w:val="left"/>
    </w:lvl>
    <w:lvl w:ilvl="5" w:tplc="4AF28E8A">
      <w:numFmt w:val="decimal"/>
      <w:lvlText w:val=""/>
      <w:lvlJc w:val="left"/>
    </w:lvl>
    <w:lvl w:ilvl="6" w:tplc="E90E52CA">
      <w:numFmt w:val="decimal"/>
      <w:lvlText w:val=""/>
      <w:lvlJc w:val="left"/>
    </w:lvl>
    <w:lvl w:ilvl="7" w:tplc="6B2A8B8A">
      <w:numFmt w:val="decimal"/>
      <w:lvlText w:val=""/>
      <w:lvlJc w:val="left"/>
    </w:lvl>
    <w:lvl w:ilvl="8" w:tplc="BCAE13DC">
      <w:numFmt w:val="decimal"/>
      <w:lvlText w:val=""/>
      <w:lvlJc w:val="left"/>
    </w:lvl>
  </w:abstractNum>
  <w:num w:numId="1">
    <w:abstractNumId w:val="2"/>
    <w:lvlOverride w:ilvl="0">
      <w:startOverride w:val="1"/>
    </w:lvlOverride>
  </w:num>
  <w:num w:numId="2">
    <w:abstractNumId w:val="0"/>
    <w:lvlOverride w:ilvl="0">
      <w:startOverride w:val="1"/>
    </w:lvlOverride>
  </w:num>
  <w:num w:numId="3">
    <w:abstractNumId w:val="3"/>
    <w:lvlOverride w:ilvl="0">
      <w:startOverride w:val="1"/>
    </w:lvlOverride>
  </w:num>
  <w:num w:numId="4">
    <w:abstractNumId w:val="4"/>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C4"/>
    <w:rsid w:val="002C53C4"/>
    <w:rsid w:val="003542FA"/>
    <w:rsid w:val="00CE2D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D1D12"/>
  <w15:docId w15:val="{30846453-160D-40EA-96E7-8D429B21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360" w:after="200"/>
      <w:outlineLvl w:val="0"/>
    </w:pPr>
    <w:rPr>
      <w:rFonts w:eastAsia="Times New Roman"/>
      <w:b/>
      <w:bCs/>
      <w:sz w:val="28"/>
      <w:szCs w:val="28"/>
    </w:rPr>
  </w:style>
  <w:style w:type="paragraph" w:styleId="2">
    <w:name w:val="heading 2"/>
    <w:uiPriority w:val="9"/>
    <w:unhideWhenUsed/>
    <w:qFormat/>
    <w:pPr>
      <w:spacing w:before="280" w:after="160"/>
      <w:outlineLvl w:val="1"/>
    </w:pPr>
    <w:rPr>
      <w:rFonts w:eastAsia="Times New Roman"/>
      <w:b/>
      <w:bCs/>
      <w:sz w:val="26"/>
      <w:szCs w:val="26"/>
    </w:rPr>
  </w:style>
  <w:style w:type="paragraph" w:styleId="3">
    <w:name w:val="heading 3"/>
    <w:uiPriority w:val="9"/>
    <w:semiHidden/>
    <w:unhideWhenUsed/>
    <w:qFormat/>
    <w:pPr>
      <w:spacing w:before="200" w:after="120"/>
      <w:outlineLvl w:val="2"/>
    </w:pPr>
    <w:rPr>
      <w:rFonts w:eastAsia="Times New Roman"/>
      <w:b/>
      <w:bCs/>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3234</Words>
  <Characters>18436</Characters>
  <Application>Microsoft Office Word</Application>
  <DocSecurity>0</DocSecurity>
  <Lines>153</Lines>
  <Paragraphs>43</Paragraphs>
  <ScaleCrop>false</ScaleCrop>
  <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2026-08-19T05:39:00Z</dcterms:created>
  <dcterms:modified xsi:type="dcterms:W3CDTF">2026-08-20T08:15:00Z</dcterms:modified>
</cp:coreProperties>
</file>