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798" w:rsidRDefault="00DA54E2">
      <w:pPr>
        <w:spacing w:after="80"/>
        <w:jc w:val="center"/>
      </w:pPr>
      <w:r>
        <w:rPr>
          <w:rFonts w:eastAsia="Times New Roman"/>
          <w:b/>
          <w:bCs/>
          <w:sz w:val="32"/>
          <w:szCs w:val="32"/>
        </w:rPr>
        <w:t>How Public Administration Absorbs Technological Change:</w:t>
      </w:r>
    </w:p>
    <w:p w:rsidR="004C3798" w:rsidRDefault="00DA54E2">
      <w:pPr>
        <w:spacing w:after="360"/>
        <w:jc w:val="center"/>
        <w:rPr>
          <w:rFonts w:eastAsia="Times New Roman"/>
          <w:b/>
          <w:bCs/>
          <w:sz w:val="32"/>
          <w:szCs w:val="32"/>
        </w:rPr>
      </w:pPr>
      <w:r>
        <w:rPr>
          <w:rFonts w:eastAsia="Times New Roman"/>
          <w:b/>
          <w:bCs/>
          <w:sz w:val="32"/>
          <w:szCs w:val="32"/>
        </w:rPr>
        <w:t>Paradigm Literature, Stress Testing, and the Unabsorbed Anomaly</w:t>
      </w:r>
    </w:p>
    <w:p w:rsidR="00043AF1" w:rsidRDefault="00043AF1">
      <w:pPr>
        <w:spacing w:after="360"/>
        <w:jc w:val="center"/>
        <w:rPr>
          <w:rFonts w:hint="eastAsia"/>
        </w:rPr>
      </w:pPr>
      <w:r>
        <w:rPr>
          <w:rFonts w:hint="eastAsia"/>
        </w:rPr>
        <w:t>Lancelot</w:t>
      </w:r>
      <w:r>
        <w:t xml:space="preserve"> </w:t>
      </w:r>
      <w:r>
        <w:rPr>
          <w:rFonts w:hint="eastAsia"/>
        </w:rPr>
        <w:t>Lu</w:t>
      </w:r>
    </w:p>
    <w:p w:rsidR="004C3798" w:rsidRDefault="00DA54E2">
      <w:pPr>
        <w:spacing w:after="120" w:line="360" w:lineRule="auto"/>
        <w:jc w:val="both"/>
      </w:pPr>
      <w:bookmarkStart w:id="0" w:name="_GoBack"/>
      <w:r>
        <w:rPr>
          <w:rFonts w:eastAsia="Times New Roman"/>
          <w:b/>
          <w:bCs/>
        </w:rPr>
        <w:t>Abstract</w:t>
      </w:r>
    </w:p>
    <w:p w:rsidR="004C3798" w:rsidRDefault="00DA54E2">
      <w:pPr>
        <w:spacing w:after="120" w:line="360" w:lineRule="auto"/>
        <w:jc w:val="both"/>
      </w:pPr>
      <w:r>
        <w:rPr>
          <w:rFonts w:eastAsia="Times New Roman"/>
        </w:rPr>
        <w:t xml:space="preserve">Public administration has always absorbed technological complexity into its existing control architecture through hierarchy, </w:t>
      </w:r>
      <w:r>
        <w:rPr>
          <w:rFonts w:eastAsia="Times New Roman"/>
        </w:rPr>
        <w:t xml:space="preserve">contracts, organizational restructuring, and human oversight. This paper systematically reviews three major paradigms of public administration—classical public administration, New Public Management (NPM), and Digital-Era Governance (DEG)—together with the </w:t>
      </w:r>
      <w:r>
        <w:rPr>
          <w:rFonts w:eastAsia="Times New Roman"/>
        </w:rPr>
        <w:t xml:space="preserve">contemporary field of algorithmic governance research, to examine how each has handled the entry of technology, outsourcing, digital systems, and algorithms into the administrative apparatus. The analysis shows that </w:t>
      </w:r>
      <w:proofErr w:type="gramStart"/>
      <w:r>
        <w:rPr>
          <w:rFonts w:eastAsia="Times New Roman"/>
        </w:rPr>
        <w:t>all of</w:t>
      </w:r>
      <w:proofErr w:type="gramEnd"/>
      <w:r>
        <w:rPr>
          <w:rFonts w:eastAsia="Times New Roman"/>
        </w:rPr>
        <w:t xml:space="preserve"> these theories assume the locus o</w:t>
      </w:r>
      <w:r>
        <w:rPr>
          <w:rFonts w:eastAsia="Times New Roman"/>
        </w:rPr>
        <w:t>f public-law responsibility and the locus of substantive control are inherently meant to coincide, or that governance tools can realign them once they diverge. This paper subjects all four bodies of literature to the same stress test: when the two loci bec</w:t>
      </w:r>
      <w:r>
        <w:rPr>
          <w:rFonts w:eastAsia="Times New Roman"/>
        </w:rPr>
        <w:t>ome structurally separated, can existing mechanisms restore substantive control to public authority? The answer is no—at best, they achieve partial repair. Each theory offers only partial remedies, and none specifies the threshold at which substantive cont</w:t>
      </w:r>
      <w:r>
        <w:rPr>
          <w:rFonts w:eastAsia="Times New Roman"/>
        </w:rPr>
        <w:t xml:space="preserve">rol can </w:t>
      </w:r>
      <w:proofErr w:type="gramStart"/>
      <w:r>
        <w:rPr>
          <w:rFonts w:eastAsia="Times New Roman"/>
        </w:rPr>
        <w:t>actually be</w:t>
      </w:r>
      <w:proofErr w:type="gramEnd"/>
      <w:r>
        <w:rPr>
          <w:rFonts w:eastAsia="Times New Roman"/>
        </w:rPr>
        <w:t xml:space="preserve"> considered restored. The current governance predicament is not a technical problem created by algorithmic black boxes; it is an “authority–capacity rupture” built into institutional design itself—public law requires government to bear u</w:t>
      </w:r>
      <w:r>
        <w:rPr>
          <w:rFonts w:eastAsia="Times New Roman"/>
        </w:rPr>
        <w:t xml:space="preserve">ltimate responsibility for administrative dispositions, even as the substantive capacity to control how the technology </w:t>
      </w:r>
      <w:proofErr w:type="gramStart"/>
      <w:r>
        <w:rPr>
          <w:rFonts w:eastAsia="Times New Roman"/>
        </w:rPr>
        <w:t>actually operates</w:t>
      </w:r>
      <w:proofErr w:type="gramEnd"/>
      <w:r>
        <w:rPr>
          <w:rFonts w:eastAsia="Times New Roman"/>
        </w:rPr>
        <w:t xml:space="preserve"> has already settled into, and become locked within, external algorithmic infrastructure. This paper therefore locates t</w:t>
      </w:r>
      <w:r>
        <w:rPr>
          <w:rFonts w:eastAsia="Times New Roman"/>
        </w:rPr>
        <w:t>wo theoretical gaps forced open by this unabsorbed anomaly, without proposing a solution.</w:t>
      </w:r>
    </w:p>
    <w:p w:rsidR="004C3798" w:rsidRDefault="00DA54E2">
      <w:pPr>
        <w:spacing w:after="120" w:line="360" w:lineRule="auto"/>
        <w:jc w:val="both"/>
      </w:pPr>
      <w:r>
        <w:rPr>
          <w:rFonts w:eastAsia="Times New Roman"/>
          <w:b/>
          <w:bCs/>
        </w:rPr>
        <w:t>Keywords:</w:t>
      </w:r>
      <w:r>
        <w:rPr>
          <w:rFonts w:eastAsia="Times New Roman"/>
        </w:rPr>
        <w:t xml:space="preserve"> paradigms of public administration, New Public Management, Digital-Era Governance, algorithmic governance, public-law responsibility, locus of responsibilit</w:t>
      </w:r>
      <w:r>
        <w:rPr>
          <w:rFonts w:eastAsia="Times New Roman"/>
        </w:rPr>
        <w:t>y, locus of control, structural separation, substantive control, theoretical anomaly</w:t>
      </w:r>
    </w:p>
    <w:bookmarkEnd w:id="0"/>
    <w:p w:rsidR="004C3798" w:rsidRDefault="00DA54E2">
      <w:pPr>
        <w:pStyle w:val="1"/>
      </w:pPr>
      <w:r>
        <w:t>1. Introduction</w:t>
      </w:r>
    </w:p>
    <w:p w:rsidR="004C3798" w:rsidRDefault="00DA54E2">
      <w:pPr>
        <w:spacing w:after="120" w:line="360" w:lineRule="auto"/>
        <w:jc w:val="both"/>
      </w:pPr>
      <w:r>
        <w:rPr>
          <w:rFonts w:eastAsia="Times New Roman"/>
        </w:rPr>
        <w:t>The core question of public administration has never changed: how should the state organize power so that administrative action can be directed, supervised</w:t>
      </w:r>
      <w:r>
        <w:rPr>
          <w:rFonts w:eastAsia="Times New Roman"/>
        </w:rPr>
        <w:t xml:space="preserve">, and held accountable? Technological change—from filing systems and information technology to outsourcing </w:t>
      </w:r>
      <w:r>
        <w:rPr>
          <w:rFonts w:eastAsia="Times New Roman"/>
        </w:rPr>
        <w:lastRenderedPageBreak/>
        <w:t>contracts and algorithmic decision-making—keeps challenging the answers we give to that question. Existing literature mostly emphasizes how technolog</w:t>
      </w:r>
      <w:r>
        <w:rPr>
          <w:rFonts w:eastAsia="Times New Roman"/>
        </w:rPr>
        <w:t>y improves efficiency or reorganizes processes, but rarely asks a prior question: what untested basic assumptions does each theory hold about how control and responsibility should be reconfigured once technology enters the administrative apparatus?</w:t>
      </w:r>
    </w:p>
    <w:p w:rsidR="004C3798" w:rsidRDefault="00DA54E2">
      <w:pPr>
        <w:spacing w:after="120" w:line="360" w:lineRule="auto"/>
        <w:jc w:val="both"/>
      </w:pPr>
      <w:r>
        <w:rPr>
          <w:rFonts w:eastAsia="Times New Roman"/>
        </w:rPr>
        <w:t>This pa</w:t>
      </w:r>
      <w:r>
        <w:rPr>
          <w:rFonts w:eastAsia="Times New Roman"/>
        </w:rPr>
        <w:t>per does not presuppose that “AI has already caused a paradigm shift,” nor does it rush to propose new concepts. Its task is strictly confined to the following path:</w:t>
      </w:r>
    </w:p>
    <w:p w:rsidR="004C3798" w:rsidRDefault="00DA54E2">
      <w:pPr>
        <w:spacing w:after="120" w:line="360" w:lineRule="auto"/>
        <w:jc w:val="both"/>
      </w:pPr>
      <w:r>
        <w:rPr>
          <w:rFonts w:eastAsia="Times New Roman"/>
          <w:b/>
          <w:bCs/>
        </w:rPr>
        <w:t>Paradigm literature → paradigm stress test → unabsorbed anomaly → theoretical gap</w:t>
      </w:r>
    </w:p>
    <w:p w:rsidR="004C3798" w:rsidRDefault="00DA54E2">
      <w:pPr>
        <w:spacing w:after="120" w:line="360" w:lineRule="auto"/>
        <w:jc w:val="both"/>
      </w:pPr>
      <w:r>
        <w:rPr>
          <w:rFonts w:eastAsia="Times New Roman"/>
        </w:rPr>
        <w:t>First, c</w:t>
      </w:r>
      <w:r>
        <w:rPr>
          <w:rFonts w:eastAsia="Times New Roman"/>
        </w:rPr>
        <w:t>onduct a solid review of the paradigm literature; then run the stress test to pinpoint precisely the anomalies existing theory cannot absorb; and finally identify the theoretical gap. The construction of new concepts is left to future research.</w:t>
      </w:r>
    </w:p>
    <w:p w:rsidR="004C3798" w:rsidRDefault="00DA54E2">
      <w:pPr>
        <w:spacing w:after="120" w:line="360" w:lineRule="auto"/>
        <w:jc w:val="both"/>
      </w:pPr>
      <w:r>
        <w:rPr>
          <w:rFonts w:eastAsia="Times New Roman"/>
        </w:rPr>
        <w:t>The paper i</w:t>
      </w:r>
      <w:r>
        <w:rPr>
          <w:rFonts w:eastAsia="Times New Roman"/>
        </w:rPr>
        <w:t>s structured as follows. Sections 2 through 5 respectively review classical public administration, NPM, DEG, and contemporary algorithmic governance research. Section 6 conducts a stress test using a unified standard and explains its method of operation. S</w:t>
      </w:r>
      <w:r>
        <w:rPr>
          <w:rFonts w:eastAsia="Times New Roman"/>
        </w:rPr>
        <w:t>ection 7 identifies the unabsorbed anomaly and the theoretical gap, and clarifies how the mechanism gaps map onto the theoretical questions.</w:t>
      </w:r>
    </w:p>
    <w:p w:rsidR="004C3798" w:rsidRDefault="00DA54E2">
      <w:pPr>
        <w:pStyle w:val="1"/>
      </w:pPr>
      <w:r>
        <w:t>2. Classical Public Administration: Authority, Hierarchy, and Human Responsibility</w:t>
      </w:r>
    </w:p>
    <w:p w:rsidR="004C3798" w:rsidRDefault="00DA54E2">
      <w:pPr>
        <w:spacing w:after="120" w:line="360" w:lineRule="auto"/>
        <w:jc w:val="both"/>
      </w:pPr>
      <w:r>
        <w:rPr>
          <w:rFonts w:eastAsia="Times New Roman"/>
        </w:rPr>
        <w:t>The earliest theoretical foundat</w:t>
      </w:r>
      <w:r>
        <w:rPr>
          <w:rFonts w:eastAsia="Times New Roman"/>
        </w:rPr>
        <w:t>ions of public administration were built on legitimate authority, hierarchical control, rules, and human administrative conduct—not on technological capacity.</w:t>
      </w:r>
    </w:p>
    <w:p w:rsidR="004C3798" w:rsidRDefault="00DA54E2">
      <w:pPr>
        <w:spacing w:after="120" w:line="360" w:lineRule="auto"/>
        <w:jc w:val="both"/>
      </w:pPr>
      <w:r>
        <w:rPr>
          <w:rFonts w:eastAsia="Times New Roman"/>
        </w:rPr>
        <w:t>Weber’s (1978) legal-rational authority and bureaucracy grounded administrative power in legal ju</w:t>
      </w:r>
      <w:r>
        <w:rPr>
          <w:rFonts w:eastAsia="Times New Roman"/>
        </w:rPr>
        <w:t xml:space="preserve">risdiction, division of labor, hierarchical supervision, and rule-bound procedure; Wilson’s (1887) politics–administration dichotomy and Gulick’s (1937) principles of organization each addressed, from the standpoint of political control and organizational </w:t>
      </w:r>
      <w:r>
        <w:rPr>
          <w:rFonts w:eastAsia="Times New Roman"/>
        </w:rPr>
        <w:t>design respectively, how administrative action should be organized, directed, and coordinated. Waldo (1948) further highlighted the political-theoretical dimension of the administrative state, yet his unit of analysis remained human organization. Simon’s (</w:t>
      </w:r>
      <w:r>
        <w:rPr>
          <w:rFonts w:eastAsia="Times New Roman"/>
        </w:rPr>
        <w:t>1947/1997) critique of the “principles of administration,” while shifting the focus of research toward decision-making and bounded rationality, still took as its unit of analysis the organizations and human decision-makers who exercise judgment and make ch</w:t>
      </w:r>
      <w:r>
        <w:rPr>
          <w:rFonts w:eastAsia="Times New Roman"/>
        </w:rPr>
        <w:t xml:space="preserve">oices. In short, classical public administration never developed a dedicated “theory of technological governance”; this paper takes it as a </w:t>
      </w:r>
      <w:r>
        <w:rPr>
          <w:rFonts w:eastAsia="Times New Roman"/>
        </w:rPr>
        <w:lastRenderedPageBreak/>
        <w:t>comparative baseline precisely because its control structure remains, even today: legal authority—organizational off</w:t>
      </w:r>
      <w:r>
        <w:rPr>
          <w:rFonts w:eastAsia="Times New Roman"/>
        </w:rPr>
        <w:t>ice—human decision—traceable responsibility.</w:t>
      </w:r>
    </w:p>
    <w:p w:rsidR="004C3798" w:rsidRDefault="00DA54E2">
      <w:pPr>
        <w:spacing w:after="120" w:line="360" w:lineRule="auto"/>
        <w:jc w:val="both"/>
      </w:pPr>
      <w:r>
        <w:rPr>
          <w:rFonts w:eastAsia="Times New Roman"/>
        </w:rPr>
        <w:t>The basic structure of classical public administration can be summarized as follows:</w:t>
      </w:r>
    </w:p>
    <w:p w:rsidR="004C3798" w:rsidRDefault="00DA54E2">
      <w:pPr>
        <w:spacing w:after="120" w:line="360" w:lineRule="auto"/>
        <w:jc w:val="both"/>
      </w:pPr>
      <w:r>
        <w:rPr>
          <w:rFonts w:eastAsia="Times New Roman"/>
          <w:b/>
          <w:bCs/>
        </w:rPr>
        <w:t>Legal authority → human officials → administrative decisions → responsibility</w:t>
      </w:r>
    </w:p>
    <w:p w:rsidR="004C3798" w:rsidRDefault="00DA54E2">
      <w:pPr>
        <w:spacing w:after="120" w:line="360" w:lineRule="auto"/>
        <w:jc w:val="both"/>
      </w:pPr>
      <w:r>
        <w:rPr>
          <w:rFonts w:eastAsia="Times New Roman"/>
        </w:rPr>
        <w:t>The limitation of classical public administratio</w:t>
      </w:r>
      <w:r>
        <w:rPr>
          <w:rFonts w:eastAsia="Times New Roman"/>
        </w:rPr>
        <w:t>n lies not in its neglect of technology, but in the fact that it never had to confront the problem of technology itself becoming the locus where substantive decisions are formed. Technology is an extension of administrative capacity, not a mechanism of pow</w:t>
      </w:r>
      <w:r>
        <w:rPr>
          <w:rFonts w:eastAsia="Times New Roman"/>
        </w:rPr>
        <w:t xml:space="preserve">er </w:t>
      </w:r>
      <w:proofErr w:type="gramStart"/>
      <w:r>
        <w:rPr>
          <w:rFonts w:eastAsia="Times New Roman"/>
        </w:rPr>
        <w:t>formation in its own right</w:t>
      </w:r>
      <w:proofErr w:type="gramEnd"/>
      <w:r>
        <w:rPr>
          <w:rFonts w:eastAsia="Times New Roman"/>
        </w:rPr>
        <w:t>. Even as administrative tools grow more complex, the theory still assumes that the core loci of holding legal authority, making administrative decisions, and bearing administrative responsibility can, in the final analysis, al</w:t>
      </w:r>
      <w:r>
        <w:rPr>
          <w:rFonts w:eastAsia="Times New Roman"/>
        </w:rPr>
        <w:t>ways be traced back to human organizations and human actors.</w:t>
      </w:r>
    </w:p>
    <w:p w:rsidR="004C3798" w:rsidRDefault="00DA54E2">
      <w:pPr>
        <w:pStyle w:val="2"/>
      </w:pPr>
      <w:r>
        <w:t>Defining the Two Core Loci</w:t>
      </w:r>
    </w:p>
    <w:p w:rsidR="004C3798" w:rsidRDefault="00DA54E2">
      <w:pPr>
        <w:spacing w:after="120" w:line="360" w:lineRule="auto"/>
        <w:jc w:val="both"/>
      </w:pPr>
      <w:r>
        <w:rPr>
          <w:rFonts w:eastAsia="Times New Roman"/>
        </w:rPr>
        <w:t>To sharpen the stress test that follows, this section first defines two core loci:</w:t>
      </w:r>
    </w:p>
    <w:p w:rsidR="004C3798" w:rsidRDefault="00DA54E2">
      <w:pPr>
        <w:spacing w:after="120" w:line="360" w:lineRule="auto"/>
        <w:jc w:val="both"/>
      </w:pPr>
      <w:r>
        <w:rPr>
          <w:rFonts w:eastAsia="Times New Roman"/>
          <w:b/>
          <w:bCs/>
        </w:rPr>
        <w:t>Locus of Public Responsibility:</w:t>
      </w:r>
      <w:r>
        <w:rPr>
          <w:rFonts w:eastAsia="Times New Roman"/>
        </w:rPr>
        <w:t xml:space="preserve"> the agency or human official who, under the constitut</w:t>
      </w:r>
      <w:r>
        <w:rPr>
          <w:rFonts w:eastAsia="Times New Roman"/>
        </w:rPr>
        <w:t>ional and administrative-law framework, bears the legal duty for the consequences of administrative dispositions, state compensation, political responsibility, and due process.</w:t>
      </w:r>
    </w:p>
    <w:p w:rsidR="004C3798" w:rsidRDefault="00DA54E2">
      <w:pPr>
        <w:spacing w:after="120" w:line="360" w:lineRule="auto"/>
        <w:jc w:val="both"/>
      </w:pPr>
      <w:r>
        <w:rPr>
          <w:rFonts w:eastAsia="Times New Roman"/>
          <w:b/>
          <w:bCs/>
        </w:rPr>
        <w:t>Locus of Substantive Control:</w:t>
      </w:r>
      <w:r>
        <w:rPr>
          <w:rFonts w:eastAsia="Times New Roman"/>
        </w:rPr>
        <w:t xml:space="preserve"> the practical capacity and informational expertis</w:t>
      </w:r>
      <w:r>
        <w:rPr>
          <w:rFonts w:eastAsia="Times New Roman"/>
        </w:rPr>
        <w:t xml:space="preserve">e </w:t>
      </w:r>
      <w:proofErr w:type="gramStart"/>
      <w:r>
        <w:rPr>
          <w:rFonts w:eastAsia="Times New Roman"/>
        </w:rPr>
        <w:t>actually needed</w:t>
      </w:r>
      <w:proofErr w:type="gramEnd"/>
      <w:r>
        <w:rPr>
          <w:rFonts w:eastAsia="Times New Roman"/>
        </w:rPr>
        <w:t xml:space="preserve"> to develop the model, select training data, tune parameters, modify the system, perform maintenance and updates, and even decide whether to terminate its operation—capacities that are typically scattered across private contractors, algori</w:t>
      </w:r>
      <w:r>
        <w:rPr>
          <w:rFonts w:eastAsia="Times New Roman"/>
        </w:rPr>
        <w:t>thmic architectures, third-party platforms, or distributed technical ecosystems.</w:t>
      </w:r>
    </w:p>
    <w:p w:rsidR="004C3798" w:rsidRDefault="00DA54E2">
      <w:pPr>
        <w:spacing w:after="120" w:line="360" w:lineRule="auto"/>
        <w:jc w:val="both"/>
      </w:pPr>
      <w:r>
        <w:rPr>
          <w:rFonts w:eastAsia="Times New Roman"/>
        </w:rPr>
        <w:t>The predicament of current AI governance is not simply that “government cannot understand the algorithm (the black box),” but that “the law nails responsibility to Party A, wh</w:t>
      </w:r>
      <w:r>
        <w:rPr>
          <w:rFonts w:eastAsia="Times New Roman"/>
        </w:rPr>
        <w:t>ile the key to changing how the system actually runs sits entirely in Party B’s hands.”</w:t>
      </w:r>
    </w:p>
    <w:p w:rsidR="004C3798" w:rsidRDefault="00DA54E2">
      <w:pPr>
        <w:pStyle w:val="2"/>
      </w:pPr>
      <w:r>
        <w:t>Distinguishing This Framework from Existing Accountability Theories</w:t>
      </w:r>
    </w:p>
    <w:p w:rsidR="004C3798" w:rsidRDefault="00DA54E2">
      <w:pPr>
        <w:spacing w:after="120" w:line="360" w:lineRule="auto"/>
        <w:jc w:val="both"/>
      </w:pPr>
      <w:r>
        <w:rPr>
          <w:rFonts w:eastAsia="Times New Roman"/>
        </w:rPr>
        <w:t>The “structural separation between the locus of responsibility and the locus of control” shares a si</w:t>
      </w:r>
      <w:r>
        <w:rPr>
          <w:rFonts w:eastAsia="Times New Roman"/>
        </w:rPr>
        <w:t xml:space="preserve">milar problem orientation with existing accountability literature—principal-agent theory, </w:t>
      </w:r>
      <w:proofErr w:type="spellStart"/>
      <w:r>
        <w:rPr>
          <w:rFonts w:eastAsia="Times New Roman"/>
        </w:rPr>
        <w:t>Bovens’s</w:t>
      </w:r>
      <w:proofErr w:type="spellEnd"/>
      <w:r>
        <w:rPr>
          <w:rFonts w:eastAsia="Times New Roman"/>
        </w:rPr>
        <w:t xml:space="preserve"> (2007) concept of “multiple/many hands accountability,” and the “state guarantee responsibility” theory cited in Section 3—but its analytic focus and failure</w:t>
      </w:r>
      <w:r>
        <w:rPr>
          <w:rFonts w:eastAsia="Times New Roman"/>
        </w:rPr>
        <w:t xml:space="preserve"> mechanism differ.</w:t>
      </w:r>
    </w:p>
    <w:p w:rsidR="004C3798" w:rsidRDefault="00DA54E2">
      <w:pPr>
        <w:spacing w:after="120" w:line="360" w:lineRule="auto"/>
        <w:jc w:val="both"/>
      </w:pPr>
      <w:r>
        <w:rPr>
          <w:rFonts w:eastAsia="Times New Roman"/>
        </w:rPr>
        <w:t xml:space="preserve">Principal-agent theory is concerned with the problem of agents deviating from principals’ goals </w:t>
      </w:r>
      <w:r>
        <w:rPr>
          <w:rFonts w:eastAsia="Times New Roman"/>
        </w:rPr>
        <w:lastRenderedPageBreak/>
        <w:t>under information asymmetry; its unit of analysis is “the incentives and monitoring costs within a contractual relationship.” Many-hands acco</w:t>
      </w:r>
      <w:r>
        <w:rPr>
          <w:rFonts w:eastAsia="Times New Roman"/>
        </w:rPr>
        <w:t>untability emphasizes how responsibility becomes diluted and hard to locate within complex organizational networks; its core concern is “who should be held accountable.” State guarantee responsibility theory, proceeding from public-law obligation, holds th</w:t>
      </w:r>
      <w:r>
        <w:rPr>
          <w:rFonts w:eastAsia="Times New Roman"/>
        </w:rPr>
        <w:t>at even when a task is privatized, the state must still ensure the quality and publicness of the service.</w:t>
      </w:r>
    </w:p>
    <w:p w:rsidR="004C3798" w:rsidRDefault="00DA54E2">
      <w:pPr>
        <w:spacing w:after="120" w:line="360" w:lineRule="auto"/>
        <w:jc w:val="both"/>
      </w:pPr>
      <w:r>
        <w:rPr>
          <w:rFonts w:eastAsia="Times New Roman"/>
        </w:rPr>
        <w:t>This paper’s two “loci” differ from the frameworks above in three respects. First, the unit of analysis is different: rather than starting from “who s</w:t>
      </w:r>
      <w:r>
        <w:rPr>
          <w:rFonts w:eastAsia="Times New Roman"/>
        </w:rPr>
        <w:t>hould be held accountable” or “how to design incentives,” this paper asks whether “the legal locus of responsibility” and “the practical locus of control capacity” structurally coincide. Second, the failure mechanism emphasized is different: existing frame</w:t>
      </w:r>
      <w:r>
        <w:rPr>
          <w:rFonts w:eastAsia="Times New Roman"/>
        </w:rPr>
        <w:t>works mostly assume that better contracts, oversight, or organizational design can realign the two, whereas this paper focuses on “technological lock-in” and “infrastructure dependency,” which make realignment structurally difficult or even impossible. Thi</w:t>
      </w:r>
      <w:r>
        <w:rPr>
          <w:rFonts w:eastAsia="Times New Roman"/>
        </w:rPr>
        <w:t>rd, existing frameworks have not adequately addressed the dimension in which technology itself becomes the locus where substantive decisions are formed—particularly once control has settled into external algorithmic infrastructure, at which point human ove</w:t>
      </w:r>
      <w:r>
        <w:rPr>
          <w:rFonts w:eastAsia="Times New Roman"/>
        </w:rPr>
        <w:t>rsight and contractual tools may retain only formal significance. Without clarifying this point, readers might mistake this paper for merely renaming the principal-agent problem.</w:t>
      </w:r>
    </w:p>
    <w:p w:rsidR="004C3798" w:rsidRDefault="00DA54E2">
      <w:pPr>
        <w:pStyle w:val="2"/>
      </w:pPr>
      <w:r>
        <w:t>Observable Indicators of “Structural Separation”</w:t>
      </w:r>
    </w:p>
    <w:p w:rsidR="004C3798" w:rsidRDefault="00DA54E2">
      <w:pPr>
        <w:spacing w:after="120" w:line="360" w:lineRule="auto"/>
        <w:jc w:val="both"/>
      </w:pPr>
      <w:r>
        <w:rPr>
          <w:rFonts w:eastAsia="Times New Roman"/>
        </w:rPr>
        <w:t xml:space="preserve">The definitions of the </w:t>
      </w:r>
      <w:r>
        <w:rPr>
          <w:rFonts w:eastAsia="Times New Roman"/>
        </w:rPr>
        <w:t>“locus of public responsibility” and the “locus of substantive control” are clear enough, but without concrete indicators for recognizing whether the two have become structurally separated, subsequent theory-building has no foothold to stand on. This paper</w:t>
      </w:r>
      <w:r>
        <w:rPr>
          <w:rFonts w:eastAsia="Times New Roman"/>
        </w:rPr>
        <w:t xml:space="preserve"> first sketches the following observable indicators as a reference threshold for judging whether “structural separation” holds (this is not an exhaustive list). These indicators draw on infrastructure studies (</w:t>
      </w:r>
      <w:proofErr w:type="spellStart"/>
      <w:r>
        <w:rPr>
          <w:rFonts w:eastAsia="Times New Roman"/>
        </w:rPr>
        <w:t>Plantin</w:t>
      </w:r>
      <w:proofErr w:type="spellEnd"/>
      <w:r>
        <w:rPr>
          <w:rFonts w:eastAsia="Times New Roman"/>
        </w:rPr>
        <w:t xml:space="preserve"> et al., 2018), the literature on contr</w:t>
      </w:r>
      <w:r>
        <w:rPr>
          <w:rFonts w:eastAsia="Times New Roman"/>
        </w:rPr>
        <w:t>act governance and information asymmetry (</w:t>
      </w:r>
      <w:proofErr w:type="spellStart"/>
      <w:r>
        <w:rPr>
          <w:rFonts w:eastAsia="Times New Roman"/>
        </w:rPr>
        <w:t>Kettl</w:t>
      </w:r>
      <w:proofErr w:type="spellEnd"/>
      <w:r>
        <w:rPr>
          <w:rFonts w:eastAsia="Times New Roman"/>
        </w:rPr>
        <w:t>, 1993, 2002; Hsiao &amp; Huang, 2012), and empirical research on the failure of human oversight (</w:t>
      </w:r>
      <w:proofErr w:type="spellStart"/>
      <w:r>
        <w:rPr>
          <w:rFonts w:eastAsia="Times New Roman"/>
        </w:rPr>
        <w:t>Elish</w:t>
      </w:r>
      <w:proofErr w:type="spellEnd"/>
      <w:r>
        <w:rPr>
          <w:rFonts w:eastAsia="Times New Roman"/>
        </w:rPr>
        <w:t>, 2019), and they echo the judgment logic of the Section 6 stress test:</w:t>
      </w:r>
    </w:p>
    <w:p w:rsidR="004C3798" w:rsidRDefault="00DA54E2">
      <w:pPr>
        <w:pStyle w:val="a4"/>
        <w:numPr>
          <w:ilvl w:val="0"/>
          <w:numId w:val="2"/>
        </w:numPr>
        <w:spacing w:after="80" w:line="360" w:lineRule="auto"/>
      </w:pPr>
      <w:r>
        <w:rPr>
          <w:rFonts w:eastAsia="Times New Roman"/>
        </w:rPr>
        <w:t>Whether the contract grants government</w:t>
      </w:r>
      <w:r>
        <w:rPr>
          <w:rFonts w:eastAsia="Times New Roman"/>
        </w:rPr>
        <w:t xml:space="preserve"> the practical capacity to unilaterally alter, suspend, or terminate the system’s operation (not merely a formal right of rescission)—a relatively easy-to-verify “hard indicator”;</w:t>
      </w:r>
    </w:p>
    <w:p w:rsidR="004C3798" w:rsidRDefault="00DA54E2">
      <w:pPr>
        <w:pStyle w:val="a4"/>
        <w:numPr>
          <w:ilvl w:val="0"/>
          <w:numId w:val="2"/>
        </w:numPr>
        <w:spacing w:after="80" w:line="360" w:lineRule="auto"/>
      </w:pPr>
      <w:r>
        <w:rPr>
          <w:rFonts w:eastAsia="Times New Roman"/>
        </w:rPr>
        <w:lastRenderedPageBreak/>
        <w:t>Whether government has the practical capacity to retrain the model, adjust p</w:t>
      </w:r>
      <w:r>
        <w:rPr>
          <w:rFonts w:eastAsia="Times New Roman"/>
        </w:rPr>
        <w:t xml:space="preserve">arameters, or conduct independent audits, together with the necessary data and source-code access—verifiable through procurement and performance documents, </w:t>
      </w:r>
      <w:proofErr w:type="gramStart"/>
      <w:r>
        <w:rPr>
          <w:rFonts w:eastAsia="Times New Roman"/>
        </w:rPr>
        <w:t>and also</w:t>
      </w:r>
      <w:proofErr w:type="gramEnd"/>
      <w:r>
        <w:rPr>
          <w:rFonts w:eastAsia="Times New Roman"/>
        </w:rPr>
        <w:t xml:space="preserve"> a “hard indicator”;</w:t>
      </w:r>
    </w:p>
    <w:p w:rsidR="004C3798" w:rsidRDefault="00DA54E2">
      <w:pPr>
        <w:pStyle w:val="a4"/>
        <w:numPr>
          <w:ilvl w:val="0"/>
          <w:numId w:val="2"/>
        </w:numPr>
        <w:spacing w:after="80" w:line="360" w:lineRule="auto"/>
      </w:pPr>
      <w:r>
        <w:rPr>
          <w:rFonts w:eastAsia="Times New Roman"/>
        </w:rPr>
        <w:t>Whether core infrastructure (cloud services, foundation models, proprie</w:t>
      </w:r>
      <w:r>
        <w:rPr>
          <w:rFonts w:eastAsia="Times New Roman"/>
        </w:rPr>
        <w:t>tary databases) is highly dependent on a single or a small number of external vendors, with switching costs high enough to constitute genuine lock-in—an observable, structural “hard indicator”;</w:t>
      </w:r>
    </w:p>
    <w:p w:rsidR="004C3798" w:rsidRDefault="00DA54E2">
      <w:pPr>
        <w:pStyle w:val="a4"/>
        <w:numPr>
          <w:ilvl w:val="0"/>
          <w:numId w:val="2"/>
        </w:numPr>
        <w:spacing w:after="80" w:line="360" w:lineRule="auto"/>
      </w:pPr>
      <w:r>
        <w:rPr>
          <w:rFonts w:eastAsia="Times New Roman"/>
        </w:rPr>
        <w:t>Whether front-line officials’ substantive capacity to question</w:t>
      </w:r>
      <w:r>
        <w:rPr>
          <w:rFonts w:eastAsia="Times New Roman"/>
        </w:rPr>
        <w:t xml:space="preserve"> or veto system output is constrained by technical thresholds, time pressure, or automation bias—a “soft indicator” involving behavior and organizational capacity that is harder to observe;</w:t>
      </w:r>
    </w:p>
    <w:p w:rsidR="004C3798" w:rsidRDefault="00DA54E2">
      <w:pPr>
        <w:pStyle w:val="a4"/>
        <w:numPr>
          <w:ilvl w:val="0"/>
          <w:numId w:val="2"/>
        </w:numPr>
        <w:spacing w:after="120" w:line="360" w:lineRule="auto"/>
      </w:pPr>
      <w:r>
        <w:rPr>
          <w:rFonts w:eastAsia="Times New Roman"/>
        </w:rPr>
        <w:t>Whether, when the system malfunctions or becomes the subject of di</w:t>
      </w:r>
      <w:r>
        <w:rPr>
          <w:rFonts w:eastAsia="Times New Roman"/>
        </w:rPr>
        <w:t>spute, government can independently diagnose the cause and take corrective action within a reasonable time, rather than relying solely on the original vendor—another “soft indicator” involving organizational capacity.</w:t>
      </w:r>
    </w:p>
    <w:p w:rsidR="004C3798" w:rsidRDefault="00DA54E2">
      <w:pPr>
        <w:spacing w:after="120" w:line="360" w:lineRule="auto"/>
        <w:jc w:val="both"/>
      </w:pPr>
      <w:r>
        <w:rPr>
          <w:rFonts w:eastAsia="Times New Roman"/>
        </w:rPr>
        <w:t xml:space="preserve">These five indicators do not carry </w:t>
      </w:r>
      <w:r>
        <w:rPr>
          <w:rFonts w:eastAsia="Times New Roman"/>
        </w:rPr>
        <w:t>equal weight: the first three lean toward “hard indicators” (at the level of contracts and infrastructure, relatively easy to verify directly), while the last two lean toward “soft indicators” (officials’ behavior and organizational capacity, requiring mor</w:t>
      </w:r>
      <w:r>
        <w:rPr>
          <w:rFonts w:eastAsia="Times New Roman"/>
        </w:rPr>
        <w:t>e empirical observation). When most hard indicators hold simultaneously, one can tentatively conclude that the two loci have already become structurally separated; when only some hold, the situation may be intermediate. This operationalization lays prelimi</w:t>
      </w:r>
      <w:r>
        <w:rPr>
          <w:rFonts w:eastAsia="Times New Roman"/>
        </w:rPr>
        <w:t xml:space="preserve">nary groundwork for the “Minimum Substantive Control Capacity” (MSCC) threshold proposed later, and it shares the same judgment logic as the Section 6 stress test (whether the original assumption still holds). It should be noted that these five indicators </w:t>
      </w:r>
      <w:r>
        <w:rPr>
          <w:rFonts w:eastAsia="Times New Roman"/>
        </w:rPr>
        <w:t>are empirical diagnostic tools for judging whether the two loci are “already” separated in the current state of affairs; the MSCC proposed in Section 7, by contrast, is a normative threshold condition for judging what minimum level of control capacity a sy</w:t>
      </w:r>
      <w:r>
        <w:rPr>
          <w:rFonts w:eastAsia="Times New Roman"/>
        </w:rPr>
        <w:t>stem must possess before it is “qualified” to be placed within the exercise of public power. The two are different in kind but connected: if the indicators in this section continue to go unmet, that persistence constitutes the empirical basis indispensable</w:t>
      </w:r>
      <w:r>
        <w:rPr>
          <w:rFonts w:eastAsia="Times New Roman"/>
        </w:rPr>
        <w:t xml:space="preserve"> to the MSCC argument in Section 7.</w:t>
      </w:r>
    </w:p>
    <w:p w:rsidR="004C3798" w:rsidRDefault="00DA54E2">
      <w:pPr>
        <w:pStyle w:val="1"/>
      </w:pPr>
      <w:r>
        <w:t xml:space="preserve">3. New Public Management: From Internal Organizational Control to </w:t>
      </w:r>
      <w:proofErr w:type="spellStart"/>
      <w:r>
        <w:t>Contractualized</w:t>
      </w:r>
      <w:proofErr w:type="spellEnd"/>
      <w:r>
        <w:t xml:space="preserve"> Control</w:t>
      </w:r>
    </w:p>
    <w:p w:rsidR="004C3798" w:rsidRDefault="00DA54E2">
      <w:pPr>
        <w:spacing w:after="120" w:line="360" w:lineRule="auto"/>
        <w:jc w:val="both"/>
      </w:pPr>
      <w:r>
        <w:rPr>
          <w:rFonts w:eastAsia="Times New Roman"/>
        </w:rPr>
        <w:lastRenderedPageBreak/>
        <w:t>From the 1980s onward, New Public Management (NPM) transformed how public administration understood “who performs government funct</w:t>
      </w:r>
      <w:r>
        <w:rPr>
          <w:rFonts w:eastAsia="Times New Roman"/>
        </w:rPr>
        <w:t>ions.” NPM did not simply mean government giving up control; rather, it shifted part of the control mechanism from internal hierarchical supervision within organizations toward contract specification, performance measurement, competition, and ongoing contr</w:t>
      </w:r>
      <w:r>
        <w:rPr>
          <w:rFonts w:eastAsia="Times New Roman"/>
        </w:rPr>
        <w:t xml:space="preserve">act management. The NPM reform agenda catalogued by Hood (1991, 1995) included precisely this: clear performance standards, output controls, and private-sector management techniques. Osborne and </w:t>
      </w:r>
      <w:proofErr w:type="spellStart"/>
      <w:r>
        <w:rPr>
          <w:rFonts w:eastAsia="Times New Roman"/>
        </w:rPr>
        <w:t>Gaebler</w:t>
      </w:r>
      <w:proofErr w:type="spellEnd"/>
      <w:r>
        <w:rPr>
          <w:rFonts w:eastAsia="Times New Roman"/>
        </w:rPr>
        <w:t xml:space="preserve"> (1992) further popularized the idea of “reinventing g</w:t>
      </w:r>
      <w:r>
        <w:rPr>
          <w:rFonts w:eastAsia="Times New Roman"/>
        </w:rPr>
        <w:t>overnment.”</w:t>
      </w:r>
    </w:p>
    <w:p w:rsidR="004C3798" w:rsidRDefault="00DA54E2">
      <w:pPr>
        <w:spacing w:after="120" w:line="360" w:lineRule="auto"/>
        <w:jc w:val="both"/>
      </w:pPr>
      <w:r>
        <w:rPr>
          <w:rFonts w:eastAsia="Times New Roman"/>
        </w:rPr>
        <w:t>But as government came to rely increasingly on third parties to deliver public services, public administration research also began confronting the problem of the “hollow state”: although state functions could be performed by external organizati</w:t>
      </w:r>
      <w:r>
        <w:rPr>
          <w:rFonts w:eastAsia="Times New Roman"/>
        </w:rPr>
        <w:t xml:space="preserve">ons, government still had to maintain its capacity to govern external providers through institutional arrangements, incentives, and management mechanisms (Milward &amp; </w:t>
      </w:r>
      <w:proofErr w:type="spellStart"/>
      <w:r>
        <w:rPr>
          <w:rFonts w:eastAsia="Times New Roman"/>
        </w:rPr>
        <w:t>Provan</w:t>
      </w:r>
      <w:proofErr w:type="spellEnd"/>
      <w:r>
        <w:rPr>
          <w:rFonts w:eastAsia="Times New Roman"/>
        </w:rPr>
        <w:t>, 2000). Subsequent research on contract management further showed that outsourcing c</w:t>
      </w:r>
      <w:r>
        <w:rPr>
          <w:rFonts w:eastAsia="Times New Roman"/>
        </w:rPr>
        <w:t xml:space="preserve">omplex services does not automatically produce effective control; it depends heavily on government’s </w:t>
      </w:r>
      <w:proofErr w:type="gramStart"/>
      <w:r>
        <w:rPr>
          <w:rFonts w:eastAsia="Times New Roman"/>
        </w:rPr>
        <w:t>advance planning</w:t>
      </w:r>
      <w:proofErr w:type="gramEnd"/>
      <w:r>
        <w:rPr>
          <w:rFonts w:eastAsia="Times New Roman"/>
        </w:rPr>
        <w:t>, performance measurement, management capacity, and sustained collaboration (</w:t>
      </w:r>
      <w:proofErr w:type="spellStart"/>
      <w:r>
        <w:rPr>
          <w:rFonts w:eastAsia="Times New Roman"/>
        </w:rPr>
        <w:t>Romzek</w:t>
      </w:r>
      <w:proofErr w:type="spellEnd"/>
      <w:r>
        <w:rPr>
          <w:rFonts w:eastAsia="Times New Roman"/>
        </w:rPr>
        <w:t xml:space="preserve"> &amp; Johnston, 2002). NPM’s more defensible theoretical as</w:t>
      </w:r>
      <w:r>
        <w:rPr>
          <w:rFonts w:eastAsia="Times New Roman"/>
        </w:rPr>
        <w:t xml:space="preserve">sumption, then, is not that “a contract necessarily buys control,” but that government can, in principle, rebuild </w:t>
      </w:r>
      <w:proofErr w:type="gramStart"/>
      <w:r>
        <w:rPr>
          <w:rFonts w:eastAsia="Times New Roman"/>
        </w:rPr>
        <w:t>sufficient</w:t>
      </w:r>
      <w:proofErr w:type="gramEnd"/>
      <w:r>
        <w:rPr>
          <w:rFonts w:eastAsia="Times New Roman"/>
        </w:rPr>
        <w:t xml:space="preserve"> steering capacity through </w:t>
      </w:r>
      <w:proofErr w:type="spellStart"/>
      <w:r>
        <w:rPr>
          <w:rFonts w:eastAsia="Times New Roman"/>
        </w:rPr>
        <w:t>contractualization</w:t>
      </w:r>
      <w:proofErr w:type="spellEnd"/>
      <w:r>
        <w:rPr>
          <w:rFonts w:eastAsia="Times New Roman"/>
        </w:rPr>
        <w:t xml:space="preserve"> and management mechanisms.</w:t>
      </w:r>
    </w:p>
    <w:p w:rsidR="004C3798" w:rsidRDefault="00DA54E2">
      <w:pPr>
        <w:spacing w:after="120" w:line="360" w:lineRule="auto"/>
        <w:jc w:val="both"/>
      </w:pPr>
      <w:r>
        <w:rPr>
          <w:rFonts w:eastAsia="Times New Roman"/>
        </w:rPr>
        <w:t>Public administration’s contractual turn does not signal th</w:t>
      </w:r>
      <w:r>
        <w:rPr>
          <w:rFonts w:eastAsia="Times New Roman"/>
        </w:rPr>
        <w:t>e disappearance of government responsibility; it reconfigures the tools government uses to steer an increasingly fragmented service-delivery system. Contracting and outsourcing separate service delivery from direct hierarchical production, but government m</w:t>
      </w:r>
      <w:r>
        <w:rPr>
          <w:rFonts w:eastAsia="Times New Roman"/>
        </w:rPr>
        <w:t>ust still retain strategic direction through specification, oversight, performance measurement, and accountability arrangements (</w:t>
      </w:r>
      <w:proofErr w:type="spellStart"/>
      <w:r>
        <w:rPr>
          <w:rFonts w:eastAsia="Times New Roman"/>
        </w:rPr>
        <w:t>Kettl</w:t>
      </w:r>
      <w:proofErr w:type="spellEnd"/>
      <w:r>
        <w:rPr>
          <w:rFonts w:eastAsia="Times New Roman"/>
        </w:rPr>
        <w:t>, 1993, 2002; Hood, 1991, 1995). Rhodes (1996) and Pierre and Peters (2000) further note that the shift from government to</w:t>
      </w:r>
      <w:r>
        <w:rPr>
          <w:rFonts w:eastAsia="Times New Roman"/>
        </w:rPr>
        <w:t xml:space="preserve"> governance made control mechanisms more networked, without the ultimate responsibility of public authority disappearing. Pollitt and </w:t>
      </w:r>
      <w:proofErr w:type="spellStart"/>
      <w:r>
        <w:rPr>
          <w:rFonts w:eastAsia="Times New Roman"/>
        </w:rPr>
        <w:t>Bouckaert</w:t>
      </w:r>
      <w:proofErr w:type="spellEnd"/>
      <w:r>
        <w:rPr>
          <w:rFonts w:eastAsia="Times New Roman"/>
        </w:rPr>
        <w:t xml:space="preserve"> (2017) systematically examined the variation and continuity across national reform trajectories.</w:t>
      </w:r>
    </w:p>
    <w:p w:rsidR="004C3798" w:rsidRDefault="00DA54E2">
      <w:pPr>
        <w:spacing w:after="120" w:line="360" w:lineRule="auto"/>
        <w:jc w:val="both"/>
      </w:pPr>
      <w:r>
        <w:rPr>
          <w:rFonts w:eastAsia="Times New Roman"/>
        </w:rPr>
        <w:t xml:space="preserve">When Taiwanese </w:t>
      </w:r>
      <w:r>
        <w:rPr>
          <w:rFonts w:eastAsia="Times New Roman"/>
        </w:rPr>
        <w:t>public administration scholarship examined administrative agencies’ outsourcing of information services and delegation of business functions, it had already noted the structural predicament created by this kind of “</w:t>
      </w:r>
      <w:proofErr w:type="spellStart"/>
      <w:r>
        <w:rPr>
          <w:rFonts w:eastAsia="Times New Roman"/>
        </w:rPr>
        <w:t>contractualized</w:t>
      </w:r>
      <w:proofErr w:type="spellEnd"/>
      <w:r>
        <w:rPr>
          <w:rFonts w:eastAsia="Times New Roman"/>
        </w:rPr>
        <w:t xml:space="preserve"> governance.” Chan (2014),</w:t>
      </w:r>
      <w:r>
        <w:rPr>
          <w:rFonts w:eastAsia="Times New Roman"/>
        </w:rPr>
        <w:t xml:space="preserve"> for instance, points out that once administrative tasks are substantively privatized, the state does not thereby shift or discharge its responsibility; instead, that responsibility is transformed </w:t>
      </w:r>
      <w:r>
        <w:rPr>
          <w:rFonts w:eastAsia="Times New Roman"/>
        </w:rPr>
        <w:lastRenderedPageBreak/>
        <w:t>into a “guarantee responsibility” (</w:t>
      </w:r>
      <w:proofErr w:type="spellStart"/>
      <w:r>
        <w:rPr>
          <w:rFonts w:eastAsia="Times New Roman"/>
        </w:rPr>
        <w:t>Gewährleistungsverantwor</w:t>
      </w:r>
      <w:r>
        <w:rPr>
          <w:rFonts w:eastAsia="Times New Roman"/>
        </w:rPr>
        <w:t>tung</w:t>
      </w:r>
      <w:proofErr w:type="spellEnd"/>
      <w:r>
        <w:rPr>
          <w:rFonts w:eastAsia="Times New Roman"/>
        </w:rPr>
        <w:t>)—the state must still ensure the quality and publicness of privately delivered services. Yet as Hsiao and Huang (2012) reveal in their study of e-government procurement and outsourcing performance, the extremely high technical threshold of information</w:t>
      </w:r>
      <w:r>
        <w:rPr>
          <w:rFonts w:eastAsia="Times New Roman"/>
        </w:rPr>
        <w:t xml:space="preserve"> systems easily leaves the public sector at a disadvantage in contract management</w:t>
      </w:r>
      <w:proofErr w:type="gramStart"/>
      <w:r>
        <w:rPr>
          <w:rFonts w:eastAsia="Times New Roman"/>
        </w:rPr>
        <w:t>—“</w:t>
      </w:r>
      <w:proofErr w:type="gramEnd"/>
      <w:r>
        <w:rPr>
          <w:rFonts w:eastAsia="Times New Roman"/>
        </w:rPr>
        <w:t xml:space="preserve">highly dependent on the vendor for knowledge and technology”—causing contract oversight to become a mere formality. This confirms that NPM’s ambition to control information </w:t>
      </w:r>
      <w:r>
        <w:rPr>
          <w:rFonts w:eastAsia="Times New Roman"/>
        </w:rPr>
        <w:t>systems through market contracts inevitably runs into control failure caused by asymmetric information once it confronts highly complex information technology. A further distinction is worth drawing here: the incompleteness of specifications in traditional</w:t>
      </w:r>
      <w:r>
        <w:rPr>
          <w:rFonts w:eastAsia="Times New Roman"/>
        </w:rPr>
        <w:t xml:space="preserve"> information-system outsourcing is largely a matter of degree—more refined contract design and performance management can, in principle, gradually narrow the gap. What generative or dynamically learning models introduce, however, is a gap of a different ki</w:t>
      </w:r>
      <w:r>
        <w:rPr>
          <w:rFonts w:eastAsia="Times New Roman"/>
        </w:rPr>
        <w:t>nd—a difference in kind: their operating logic is emergent, which makes exhaustively enumerating system behavior impossible not merely in practice but in principle. This qualitative shift is precisely why the Section 6 stress test judges NPM-style contract</w:t>
      </w:r>
      <w:r>
        <w:rPr>
          <w:rFonts w:eastAsia="Times New Roman"/>
        </w:rPr>
        <w:t>ual governance capable only of “partial repair,” rather than merely “temporarily lagging behind.”</w:t>
      </w:r>
    </w:p>
    <w:p w:rsidR="004C3798" w:rsidRDefault="00DA54E2">
      <w:pPr>
        <w:spacing w:after="120" w:line="360" w:lineRule="auto"/>
        <w:jc w:val="both"/>
      </w:pPr>
      <w:r>
        <w:rPr>
          <w:rFonts w:eastAsia="Times New Roman"/>
        </w:rPr>
        <w:t>This shift is therefore better understood as a repositioning of control mechanisms than as an abdication of public authority. The core assumption is: even whe</w:t>
      </w:r>
      <w:r>
        <w:rPr>
          <w:rFonts w:eastAsia="Times New Roman"/>
        </w:rPr>
        <w:t>n execution is organizationally externalized, steering capacity can still be reconstructed through contractual and managerial tools.</w:t>
      </w:r>
    </w:p>
    <w:p w:rsidR="004C3798" w:rsidRDefault="00DA54E2">
      <w:pPr>
        <w:spacing w:after="120" w:line="360" w:lineRule="auto"/>
        <w:jc w:val="both"/>
      </w:pPr>
      <w:r>
        <w:rPr>
          <w:rFonts w:eastAsia="Times New Roman"/>
        </w:rPr>
        <w:t>This assumption becomes an important comparative benchmark for the analysis that follows: when the object of outsourcing sh</w:t>
      </w:r>
      <w:r>
        <w:rPr>
          <w:rFonts w:eastAsia="Times New Roman"/>
        </w:rPr>
        <w:t>ifts from human services to algorithmic systems, can contractual governance still sustain substantive control?</w:t>
      </w:r>
    </w:p>
    <w:p w:rsidR="004C3798" w:rsidRDefault="00DA54E2">
      <w:pPr>
        <w:pStyle w:val="1"/>
      </w:pPr>
      <w:r>
        <w:t>4. Digital-Era Governance: Technology Begins to Reorganize Administrative Institutions</w:t>
      </w:r>
    </w:p>
    <w:p w:rsidR="004C3798" w:rsidRDefault="00DA54E2">
      <w:pPr>
        <w:spacing w:after="120" w:line="360" w:lineRule="auto"/>
        <w:jc w:val="both"/>
      </w:pPr>
      <w:r>
        <w:rPr>
          <w:rFonts w:eastAsia="Times New Roman"/>
        </w:rPr>
        <w:t>With the development of information technology, the intern</w:t>
      </w:r>
      <w:r>
        <w:rPr>
          <w:rFonts w:eastAsia="Times New Roman"/>
        </w:rPr>
        <w:t>et, and e-government, public administration entered the discussions of Digital-Era Governance (DEG) and the broader field of digital government.</w:t>
      </w:r>
    </w:p>
    <w:p w:rsidR="004C3798" w:rsidRDefault="00DA54E2">
      <w:pPr>
        <w:spacing w:after="120" w:line="360" w:lineRule="auto"/>
        <w:jc w:val="both"/>
      </w:pPr>
      <w:r>
        <w:rPr>
          <w:rFonts w:eastAsia="Times New Roman"/>
        </w:rPr>
        <w:t>Digital government research complicated the assumption that “information technology is merely a neutral adminis</w:t>
      </w:r>
      <w:r>
        <w:rPr>
          <w:rFonts w:eastAsia="Times New Roman"/>
        </w:rPr>
        <w:t xml:space="preserve">trative tool.” Fountain’s (2001) technology-enactment framework shows that technological systems are simultaneously shaped by institutional arrangements and reorganize organizational capacity and patterns of action. The relationship between </w:t>
      </w:r>
      <w:r>
        <w:rPr>
          <w:rFonts w:eastAsia="Times New Roman"/>
        </w:rPr>
        <w:lastRenderedPageBreak/>
        <w:t xml:space="preserve">government and </w:t>
      </w:r>
      <w:r>
        <w:rPr>
          <w:rFonts w:eastAsia="Times New Roman"/>
        </w:rPr>
        <w:t>technology is therefore neither purely determinist nor merely instrumental. Subsequent research further indicates that digital transformation involves not just the deployment of technology itself, but also institutional structure, information architecture,</w:t>
      </w:r>
      <w:r>
        <w:rPr>
          <w:rFonts w:eastAsia="Times New Roman"/>
        </w:rPr>
        <w:t xml:space="preserve"> organizational coordination, and the redrawing of the boundaries of public administration (Bannister &amp; Connolly, 2014; Gil-Garcia, Dawes, &amp; Pardo, 2018).</w:t>
      </w:r>
    </w:p>
    <w:p w:rsidR="004C3798" w:rsidRDefault="00DA54E2">
      <w:pPr>
        <w:spacing w:after="120" w:line="360" w:lineRule="auto"/>
        <w:jc w:val="both"/>
      </w:pPr>
      <w:r>
        <w:rPr>
          <w:rFonts w:eastAsia="Times New Roman"/>
        </w:rPr>
        <w:t>Dunleavy et al.’s (2006) Digital-Era Governance situates this shift within a broader critique of NPM-</w:t>
      </w:r>
      <w:r>
        <w:rPr>
          <w:rFonts w:eastAsia="Times New Roman"/>
        </w:rPr>
        <w:t>driven fragmentation. Reintegration, needs-based holism, and digitalization are presented as mechanisms through which government can recover coordination and administrative coherence (Dunleavy &amp; Margetts, 2015; Margetts &amp; Dunleavy, 2013). DEG does not assu</w:t>
      </w:r>
      <w:r>
        <w:rPr>
          <w:rFonts w:eastAsia="Times New Roman"/>
        </w:rPr>
        <w:t>me that government necessarily owns or directly operates all digital infrastructure; more precisely, its reform logic assumes that the organizational fragmentation produced by earlier reforms can, in principle, be countered through reintegration, instituti</w:t>
      </w:r>
      <w:r>
        <w:rPr>
          <w:rFonts w:eastAsia="Times New Roman"/>
        </w:rPr>
        <w:t>onal redesign, and the strategic reorganization of digital capacity. Even where digital systems and external vendors are highly complex, government can still reclaim governing capacity through reintegration and organizational restructuring.</w:t>
      </w:r>
    </w:p>
    <w:p w:rsidR="004C3798" w:rsidRDefault="00DA54E2">
      <w:pPr>
        <w:spacing w:after="120" w:line="360" w:lineRule="auto"/>
        <w:jc w:val="both"/>
      </w:pPr>
      <w:r>
        <w:rPr>
          <w:rFonts w:eastAsia="Times New Roman"/>
        </w:rPr>
        <w:t>The organizatio</w:t>
      </w:r>
      <w:r>
        <w:rPr>
          <w:rFonts w:eastAsia="Times New Roman"/>
        </w:rPr>
        <w:t>nal and institutional resistance encountered in this shift from “process automation” to “data-driven” governance is equally evident as Taiwan’s e-government advanced toward Smart Government. Chen, Huang, and Hsiao’s (2016) research points out that the intr</w:t>
      </w:r>
      <w:r>
        <w:rPr>
          <w:rFonts w:eastAsia="Times New Roman"/>
        </w:rPr>
        <w:t>oduction of information technology is never a purely technology-neutral process; it is accompanied by deep friction with the internal power structures, trust mechanisms, and organizational culture of the bureaucracy. The core bottleneck slowing cross-agenc</w:t>
      </w:r>
      <w:r>
        <w:rPr>
          <w:rFonts w:eastAsia="Times New Roman"/>
        </w:rPr>
        <w:t>y data connectivity and system integration lies less often in technical specifications than in the constraints existing administrative law places on the division of agency authority, and in resistance within organizations themselves. DEG accurately identif</w:t>
      </w:r>
      <w:r>
        <w:rPr>
          <w:rFonts w:eastAsia="Times New Roman"/>
        </w:rPr>
        <w:t>ies the inevitable trend toward informational reorganization, but without a corresponding reconstruction of internal administrative discretion and organizational dynamics, its vision of “Joined-up Government” is difficult to realize in practice.</w:t>
      </w:r>
    </w:p>
    <w:p w:rsidR="004C3798" w:rsidRDefault="00DA54E2">
      <w:pPr>
        <w:spacing w:after="120" w:line="360" w:lineRule="auto"/>
        <w:jc w:val="both"/>
      </w:pPr>
      <w:r>
        <w:rPr>
          <w:rFonts w:eastAsia="Times New Roman"/>
        </w:rPr>
        <w:t>Still, eve</w:t>
      </w:r>
      <w:r>
        <w:rPr>
          <w:rFonts w:eastAsia="Times New Roman"/>
        </w:rPr>
        <w:t>n where digital systems intervene deeply in administrative processes, existing theory can largely still be understood within a “government–institution–technological tool” framework. The basic structure remains:</w:t>
      </w:r>
    </w:p>
    <w:p w:rsidR="004C3798" w:rsidRDefault="00DA54E2">
      <w:pPr>
        <w:spacing w:after="120" w:line="360" w:lineRule="auto"/>
        <w:jc w:val="both"/>
      </w:pPr>
      <w:r>
        <w:rPr>
          <w:rFonts w:eastAsia="Times New Roman"/>
          <w:b/>
          <w:bCs/>
        </w:rPr>
        <w:t>Government designs the system → the system pr</w:t>
      </w:r>
      <w:r>
        <w:rPr>
          <w:rFonts w:eastAsia="Times New Roman"/>
          <w:b/>
          <w:bCs/>
        </w:rPr>
        <w:t>ocesses information → human organizations remain responsible and retain the capacity to intervene</w:t>
      </w:r>
    </w:p>
    <w:p w:rsidR="004C3798" w:rsidRDefault="00DA54E2">
      <w:pPr>
        <w:spacing w:after="120" w:line="360" w:lineRule="auto"/>
        <w:jc w:val="both"/>
      </w:pPr>
      <w:r>
        <w:rPr>
          <w:rFonts w:eastAsia="Times New Roman"/>
        </w:rPr>
        <w:lastRenderedPageBreak/>
        <w:t>The problem with DEG is not that “technology is simple,” but that it still presupposes public authority can organize digital infrastructure within a recogniza</w:t>
      </w:r>
      <w:r>
        <w:rPr>
          <w:rFonts w:eastAsia="Times New Roman"/>
        </w:rPr>
        <w:t>ble institutional framework. Even where technology is complex, government in theory can still set institutions, revise processes, control systems, redesign organizations, and remain accountable for outcomes.</w:t>
      </w:r>
    </w:p>
    <w:p w:rsidR="004C3798" w:rsidRDefault="00DA54E2">
      <w:pPr>
        <w:pStyle w:val="1"/>
      </w:pPr>
      <w:r>
        <w:t>5. Contemporary Algorithmic Governance Research:</w:t>
      </w:r>
      <w:r>
        <w:t xml:space="preserve"> Cracks Begin to Appear in Existing Theory</w:t>
      </w:r>
    </w:p>
    <w:p w:rsidR="004C3798" w:rsidRDefault="00DA54E2">
      <w:pPr>
        <w:spacing w:after="120" w:line="360" w:lineRule="auto"/>
        <w:jc w:val="both"/>
      </w:pPr>
      <w:r>
        <w:rPr>
          <w:rFonts w:eastAsia="Times New Roman"/>
        </w:rPr>
        <w:t>The real turning point occurs in the interdisciplinary research fields of algorithmic governance, automated decision-making, and algorithmic accountability. Unlike earlier digital government research, which primar</w:t>
      </w:r>
      <w:r>
        <w:rPr>
          <w:rFonts w:eastAsia="Times New Roman"/>
        </w:rPr>
        <w:t>ily dealt with information processing, service workflows, and organizational integration, public-sector machine learning began entering day-to-day administrative judgment and the allocation of public services directly—raising a basic question: is this an e</w:t>
      </w:r>
      <w:r>
        <w:rPr>
          <w:rFonts w:eastAsia="Times New Roman"/>
        </w:rPr>
        <w:t>xtension of e-government, or does it constitute a challenge of a different kind to existing public administration practice (Veale &amp; Brass, 2019)? Veale and Brass show that the deployment of machine learning exerts cross-level pressure on government’s exist</w:t>
      </w:r>
      <w:r>
        <w:rPr>
          <w:rFonts w:eastAsia="Times New Roman"/>
        </w:rPr>
        <w:t>ing skills, capacities, procedures, and administrative practices, from government strategy through organizational programs down to front-line service delivery.</w:t>
      </w:r>
    </w:p>
    <w:p w:rsidR="004C3798" w:rsidRDefault="00DA54E2">
      <w:pPr>
        <w:spacing w:after="120" w:line="360" w:lineRule="auto"/>
        <w:jc w:val="both"/>
      </w:pPr>
      <w:r>
        <w:rPr>
          <w:rFonts w:eastAsia="Times New Roman"/>
        </w:rPr>
        <w:t xml:space="preserve">Algorithmic systems have also shifted the position from which administrative discretion is </w:t>
      </w:r>
      <w:r>
        <w:rPr>
          <w:rFonts w:eastAsia="Times New Roman"/>
        </w:rPr>
        <w:t>analyzed. Research shows that algorithms do not simply replace or eliminate human discretion; varying degrees of automation and decision support redistribute decisional influence among models, data, organizational context, and front-line users (Meijer et a</w:t>
      </w:r>
      <w:r>
        <w:rPr>
          <w:rFonts w:eastAsia="Times New Roman"/>
        </w:rPr>
        <w:t xml:space="preserve">l., 2021; Young, Bullock, &amp; </w:t>
      </w:r>
      <w:proofErr w:type="spellStart"/>
      <w:r>
        <w:rPr>
          <w:rFonts w:eastAsia="Times New Roman"/>
        </w:rPr>
        <w:t>Lecy</w:t>
      </w:r>
      <w:proofErr w:type="spellEnd"/>
      <w:r>
        <w:rPr>
          <w:rFonts w:eastAsia="Times New Roman"/>
        </w:rPr>
        <w:t xml:space="preserve">, 2019; Bullock, 2019; Busch &amp; Henriksen, 2018). Administrative decisions can therefore no longer be understood simply as formed by a single human official; instead, one must analyze how data selection, model design, system </w:t>
      </w:r>
      <w:r>
        <w:rPr>
          <w:rFonts w:eastAsia="Times New Roman"/>
        </w:rPr>
        <w:t>deployment, front-line use, and organizational oversight jointly constitute the decision process. Administrative decision-making is gradually taking the form of a “human–algorithm assemblage.”</w:t>
      </w:r>
    </w:p>
    <w:p w:rsidR="004C3798" w:rsidRDefault="00DA54E2">
      <w:pPr>
        <w:spacing w:after="120" w:line="360" w:lineRule="auto"/>
        <w:jc w:val="both"/>
      </w:pPr>
      <w:r>
        <w:rPr>
          <w:rFonts w:eastAsia="Times New Roman"/>
        </w:rPr>
        <w:t>In response to this shift, existing research has mainly propose</w:t>
      </w:r>
      <w:r>
        <w:rPr>
          <w:rFonts w:eastAsia="Times New Roman"/>
        </w:rPr>
        <w:t xml:space="preserve">d institutional responses such as transparency, </w:t>
      </w:r>
      <w:proofErr w:type="spellStart"/>
      <w:r>
        <w:rPr>
          <w:rFonts w:eastAsia="Times New Roman"/>
        </w:rPr>
        <w:t>explainability</w:t>
      </w:r>
      <w:proofErr w:type="spellEnd"/>
      <w:r>
        <w:rPr>
          <w:rFonts w:eastAsia="Times New Roman"/>
        </w:rPr>
        <w:t xml:space="preserve">, algorithmic accountability, and human oversight. But these mechanisms have their own limits. Kroll et al. (2017) point out that existing oversight and legal standards were developed primarily </w:t>
      </w:r>
      <w:r>
        <w:rPr>
          <w:rFonts w:eastAsia="Times New Roman"/>
        </w:rPr>
        <w:t xml:space="preserve">for human decision-makers and may not straightforwardly apply to automated systems; </w:t>
      </w:r>
      <w:proofErr w:type="spellStart"/>
      <w:r>
        <w:rPr>
          <w:rFonts w:eastAsia="Times New Roman"/>
        </w:rPr>
        <w:t>Ananny</w:t>
      </w:r>
      <w:proofErr w:type="spellEnd"/>
      <w:r>
        <w:rPr>
          <w:rFonts w:eastAsia="Times New Roman"/>
        </w:rPr>
        <w:t xml:space="preserve"> and Crawford (2018) further argue that transparency does not equal genuine understanding or governance of an algorithmic system—being able to “see the system” does n</w:t>
      </w:r>
      <w:r>
        <w:rPr>
          <w:rFonts w:eastAsia="Times New Roman"/>
        </w:rPr>
        <w:t xml:space="preserve">ot mean public authority has the capacity to verify, correct, or control how </w:t>
      </w:r>
      <w:r>
        <w:rPr>
          <w:rFonts w:eastAsia="Times New Roman"/>
        </w:rPr>
        <w:lastRenderedPageBreak/>
        <w:t xml:space="preserve">it </w:t>
      </w:r>
      <w:proofErr w:type="gramStart"/>
      <w:r>
        <w:rPr>
          <w:rFonts w:eastAsia="Times New Roman"/>
        </w:rPr>
        <w:t>actually operates</w:t>
      </w:r>
      <w:proofErr w:type="gramEnd"/>
      <w:r>
        <w:rPr>
          <w:rFonts w:eastAsia="Times New Roman"/>
        </w:rPr>
        <w:t xml:space="preserve">. </w:t>
      </w:r>
      <w:proofErr w:type="spellStart"/>
      <w:r>
        <w:rPr>
          <w:rFonts w:eastAsia="Times New Roman"/>
        </w:rPr>
        <w:t>Elish’s</w:t>
      </w:r>
      <w:proofErr w:type="spellEnd"/>
      <w:r>
        <w:rPr>
          <w:rFonts w:eastAsia="Times New Roman"/>
        </w:rPr>
        <w:t xml:space="preserve"> (2019) concept of the “moral crumple zone” makes the point directly: human operators often absorb the responsibility for failure within highly automa</w:t>
      </w:r>
      <w:r>
        <w:rPr>
          <w:rFonts w:eastAsia="Times New Roman"/>
        </w:rPr>
        <w:t>ted systems, even though their actual capacity to understand and change the system’s behavior is quite limited. The presence of a human does not guarantee meaningful control (</w:t>
      </w:r>
      <w:proofErr w:type="spellStart"/>
      <w:r>
        <w:rPr>
          <w:rFonts w:eastAsia="Times New Roman"/>
        </w:rPr>
        <w:t>Santoni</w:t>
      </w:r>
      <w:proofErr w:type="spellEnd"/>
      <w:r>
        <w:rPr>
          <w:rFonts w:eastAsia="Times New Roman"/>
        </w:rPr>
        <w:t xml:space="preserve"> de </w:t>
      </w:r>
      <w:proofErr w:type="spellStart"/>
      <w:r>
        <w:rPr>
          <w:rFonts w:eastAsia="Times New Roman"/>
        </w:rPr>
        <w:t>Sio</w:t>
      </w:r>
      <w:proofErr w:type="spellEnd"/>
      <w:r>
        <w:rPr>
          <w:rFonts w:eastAsia="Times New Roman"/>
        </w:rPr>
        <w:t xml:space="preserve"> &amp; van den Hoven, 2018; </w:t>
      </w:r>
      <w:proofErr w:type="spellStart"/>
      <w:r>
        <w:rPr>
          <w:rFonts w:eastAsia="Times New Roman"/>
        </w:rPr>
        <w:t>Selbst</w:t>
      </w:r>
      <w:proofErr w:type="spellEnd"/>
      <w:r>
        <w:rPr>
          <w:rFonts w:eastAsia="Times New Roman"/>
        </w:rPr>
        <w:t xml:space="preserve"> et al., 2019; Wagner, 2019).</w:t>
      </w:r>
    </w:p>
    <w:p w:rsidR="004C3798" w:rsidRDefault="00DA54E2">
      <w:pPr>
        <w:spacing w:after="120" w:line="360" w:lineRule="auto"/>
        <w:jc w:val="both"/>
      </w:pPr>
      <w:r>
        <w:rPr>
          <w:rFonts w:eastAsia="Times New Roman"/>
        </w:rPr>
        <w:t>Roehl’s</w:t>
      </w:r>
      <w:r>
        <w:rPr>
          <w:rFonts w:eastAsia="Times New Roman"/>
        </w:rPr>
        <w:t xml:space="preserve"> (2024) systematic review of automated administrative decision-making further shows that AI and automated decision-making simultaneously implicate multiple public administration values—accountability, transparency, fairness, equality, and the rule of law—w</w:t>
      </w:r>
      <w:r>
        <w:rPr>
          <w:rFonts w:eastAsia="Times New Roman"/>
        </w:rPr>
        <w:t xml:space="preserve">hich can stand in relations of synergy, trade-off, and constraint with one another. Citron’s (2008) technological due process and </w:t>
      </w:r>
      <w:proofErr w:type="spellStart"/>
      <w:r>
        <w:rPr>
          <w:rFonts w:eastAsia="Times New Roman"/>
        </w:rPr>
        <w:t>Coglianese</w:t>
      </w:r>
      <w:proofErr w:type="spellEnd"/>
      <w:r>
        <w:rPr>
          <w:rFonts w:eastAsia="Times New Roman"/>
        </w:rPr>
        <w:t xml:space="preserve"> and Lehr’s (2017) account of administrative decision-making in the machine-learning era likewise connect automated </w:t>
      </w:r>
      <w:r>
        <w:rPr>
          <w:rFonts w:eastAsia="Times New Roman"/>
        </w:rPr>
        <w:t>decision-making directly to these public administration values of accountability, equality, fairness, the rule of law, and transparency.</w:t>
      </w:r>
    </w:p>
    <w:p w:rsidR="004C3798" w:rsidRDefault="00DA54E2">
      <w:pPr>
        <w:spacing w:after="120" w:line="360" w:lineRule="auto"/>
        <w:jc w:val="both"/>
      </w:pPr>
      <w:r>
        <w:rPr>
          <w:rFonts w:eastAsia="Times New Roman"/>
        </w:rPr>
        <w:t>Contemporary algorithmic governance pushes this contradiction between “responsibility and control separation” to its ex</w:t>
      </w:r>
      <w:r>
        <w:rPr>
          <w:rFonts w:eastAsia="Times New Roman"/>
        </w:rPr>
        <w:t>treme, and has provoked collective vigilance within Taiwan’s public-law and administrative scholarship regarding due process and agency accountability. Xin (2020) and Zeng (2022), examining automated administrative dispositions and AI-assisted decision-mak</w:t>
      </w:r>
      <w:r>
        <w:rPr>
          <w:rFonts w:eastAsia="Times New Roman"/>
        </w:rPr>
        <w:t xml:space="preserve">ing, both emphasize that when an administrative agency substantively delegates fact-finding or discretionary evaluation to a black-box algorithm, this not only violates the Administrative Procedure Act’s requirements for </w:t>
      </w:r>
      <w:proofErr w:type="spellStart"/>
      <w:r>
        <w:rPr>
          <w:rFonts w:eastAsia="Times New Roman"/>
        </w:rPr>
        <w:t>explainability</w:t>
      </w:r>
      <w:proofErr w:type="spellEnd"/>
      <w:r>
        <w:rPr>
          <w:rFonts w:eastAsia="Times New Roman"/>
        </w:rPr>
        <w:t xml:space="preserve"> and the duty to stat</w:t>
      </w:r>
      <w:r>
        <w:rPr>
          <w:rFonts w:eastAsia="Times New Roman"/>
        </w:rPr>
        <w:t>e reasons, but can also produce a “sign off in form, shift the blame in substance” phenomenon among front-line civil servants who cannot understand the model’s reasoning. This illustrates that when contemporary smart government treats AI as a mere tool and</w:t>
      </w:r>
      <w:r>
        <w:rPr>
          <w:rFonts w:eastAsia="Times New Roman"/>
        </w:rPr>
        <w:t xml:space="preserve"> overlooks the fact that substantive control has already shifted to model developers and algorithmic architectures, the substantive accountability that agencies are meant to bear under public law is hollowed out entirely.</w:t>
      </w:r>
    </w:p>
    <w:p w:rsidR="004C3798" w:rsidRDefault="00DA54E2">
      <w:pPr>
        <w:spacing w:after="120" w:line="360" w:lineRule="auto"/>
        <w:jc w:val="both"/>
      </w:pPr>
      <w:r>
        <w:rPr>
          <w:rFonts w:eastAsia="Times New Roman"/>
        </w:rPr>
        <w:t>What Section 5 must really ask, th</w:t>
      </w:r>
      <w:r>
        <w:rPr>
          <w:rFonts w:eastAsia="Times New Roman"/>
        </w:rPr>
        <w:t>en, is no longer simply “whether a human is present,” but this: when public authority is legally bound to bear the consequences of a decision, yet lacks substantive influence over the data, model, infrastructure, or technical changes that form that decisio</w:t>
      </w:r>
      <w:r>
        <w:rPr>
          <w:rFonts w:eastAsia="Times New Roman"/>
        </w:rPr>
        <w:t xml:space="preserve">n, how much control can human oversight </w:t>
      </w:r>
      <w:proofErr w:type="gramStart"/>
      <w:r>
        <w:rPr>
          <w:rFonts w:eastAsia="Times New Roman"/>
        </w:rPr>
        <w:t>actually restore</w:t>
      </w:r>
      <w:proofErr w:type="gramEnd"/>
      <w:r>
        <w:rPr>
          <w:rFonts w:eastAsia="Times New Roman"/>
        </w:rPr>
        <w:t>? This is where the review of paradigm literature must stop.</w:t>
      </w:r>
    </w:p>
    <w:p w:rsidR="004C3798" w:rsidRDefault="00DA54E2">
      <w:pPr>
        <w:pStyle w:val="1"/>
      </w:pPr>
      <w:r>
        <w:lastRenderedPageBreak/>
        <w:t>6. The Paradigm Stress Test: Structural Separation Between the Locus of Responsibility and the Locus of Control</w:t>
      </w:r>
    </w:p>
    <w:p w:rsidR="004C3798" w:rsidRDefault="00DA54E2">
      <w:pPr>
        <w:spacing w:after="120" w:line="360" w:lineRule="auto"/>
        <w:jc w:val="both"/>
      </w:pPr>
      <w:r>
        <w:rPr>
          <w:rFonts w:eastAsia="Times New Roman"/>
        </w:rPr>
        <w:t>This paper does not treat c</w:t>
      </w:r>
      <w:r>
        <w:rPr>
          <w:rFonts w:eastAsia="Times New Roman"/>
        </w:rPr>
        <w:t>lassical public administration, NPM, DEG, and algorithmic governance research as four fully equivalent “paradigms of public administration.” More precisely: these are three major administrative paradigms plus one contemporary interdisciplinary research fie</w:t>
      </w:r>
      <w:r>
        <w:rPr>
          <w:rFonts w:eastAsia="Times New Roman"/>
        </w:rPr>
        <w:t>ld. Together, they constitute the historical narrative of how public administration has absorbed technological change (see Table 1).</w:t>
      </w:r>
    </w:p>
    <w:p w:rsidR="004C3798" w:rsidRDefault="00DA54E2">
      <w:pPr>
        <w:spacing w:after="120" w:line="360" w:lineRule="auto"/>
        <w:jc w:val="both"/>
      </w:pPr>
      <w:r>
        <w:rPr>
          <w:rFonts w:eastAsia="Times New Roman"/>
          <w:b/>
          <w:bCs/>
        </w:rPr>
        <w:t>Table 1. The Staged Narrative of How Public Administration Has Absorbed Technological Change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13"/>
        <w:gridCol w:w="3513"/>
      </w:tblGrid>
      <w:tr w:rsidR="004C3798">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4C3798" w:rsidRDefault="00DA54E2">
            <w:pPr>
              <w:spacing w:after="40"/>
            </w:pPr>
            <w:r>
              <w:rPr>
                <w:rFonts w:eastAsia="Times New Roman"/>
                <w:b/>
                <w:bCs/>
                <w:sz w:val="18"/>
                <w:szCs w:val="18"/>
              </w:rPr>
              <w:t>Stage</w:t>
            </w:r>
          </w:p>
        </w:tc>
        <w:tc>
          <w:tcPr>
            <w:tcW w:w="3513"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4C3798" w:rsidRDefault="00DA54E2">
            <w:pPr>
              <w:spacing w:after="40"/>
            </w:pPr>
            <w:r>
              <w:rPr>
                <w:rFonts w:eastAsia="Times New Roman"/>
                <w:b/>
                <w:bCs/>
                <w:sz w:val="18"/>
                <w:szCs w:val="18"/>
              </w:rPr>
              <w:t>Question Posed by Techno</w:t>
            </w:r>
            <w:r>
              <w:rPr>
                <w:rFonts w:eastAsia="Times New Roman"/>
                <w:b/>
                <w:bCs/>
                <w:sz w:val="18"/>
                <w:szCs w:val="18"/>
              </w:rPr>
              <w:t>logy’s Entry into Administration</w:t>
            </w:r>
          </w:p>
        </w:tc>
        <w:tc>
          <w:tcPr>
            <w:tcW w:w="3513"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4C3798" w:rsidRDefault="00DA54E2">
            <w:pPr>
              <w:spacing w:after="40"/>
            </w:pPr>
            <w:r>
              <w:rPr>
                <w:rFonts w:eastAsia="Times New Roman"/>
                <w:b/>
                <w:bCs/>
                <w:sz w:val="18"/>
                <w:szCs w:val="18"/>
              </w:rPr>
              <w:t>Public Administration’s Answer</w:t>
            </w:r>
          </w:p>
        </w:tc>
      </w:tr>
      <w:tr w:rsidR="004C3798">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Classical Public Administration</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How to maintain administrative order?</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Hierarchy and rules</w:t>
            </w:r>
          </w:p>
        </w:tc>
      </w:tr>
      <w:tr w:rsidR="004C3798">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New Public Management</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Who delivers the service?</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Contracts and performance</w:t>
            </w:r>
          </w:p>
        </w:tc>
      </w:tr>
      <w:tr w:rsidR="004C3798">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Digital-Era Governance</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How to integrate digitalized processes?</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Organizational restructuring and digital integration</w:t>
            </w:r>
          </w:p>
        </w:tc>
      </w:tr>
      <w:tr w:rsidR="004C3798">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Algorithmic Governance Research</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How to oversee the algorithm?</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Transparency, accountability, human oversight</w:t>
            </w:r>
          </w:p>
        </w:tc>
      </w:tr>
    </w:tbl>
    <w:p w:rsidR="004C3798" w:rsidRDefault="004C3798">
      <w:pPr>
        <w:spacing w:after="200"/>
      </w:pPr>
    </w:p>
    <w:p w:rsidR="004C3798" w:rsidRDefault="00DA54E2">
      <w:pPr>
        <w:spacing w:after="120" w:line="360" w:lineRule="auto"/>
        <w:jc w:val="both"/>
      </w:pPr>
      <w:r>
        <w:rPr>
          <w:rFonts w:eastAsia="Times New Roman"/>
        </w:rPr>
        <w:t>Existing theories are not “wrong”; each is capable o</w:t>
      </w:r>
      <w:r>
        <w:rPr>
          <w:rFonts w:eastAsia="Times New Roman"/>
        </w:rPr>
        <w:t>f handling technological complexity, and each assumes that technology can ultimately be reabsorbed into some recognizable administrative control architecture.</w:t>
      </w:r>
    </w:p>
    <w:p w:rsidR="004C3798" w:rsidRDefault="00DA54E2">
      <w:pPr>
        <w:pStyle w:val="2"/>
      </w:pPr>
      <w:r>
        <w:t>Method and Criteria for the Stress Test</w:t>
      </w:r>
    </w:p>
    <w:p w:rsidR="004C3798" w:rsidRDefault="00DA54E2">
      <w:pPr>
        <w:spacing w:after="120" w:line="360" w:lineRule="auto"/>
        <w:jc w:val="both"/>
      </w:pPr>
      <w:r>
        <w:rPr>
          <w:rFonts w:eastAsia="Times New Roman"/>
        </w:rPr>
        <w:t>This paper uses the “stress test” as its core method. The</w:t>
      </w:r>
      <w:r>
        <w:rPr>
          <w:rFonts w:eastAsia="Times New Roman"/>
        </w:rPr>
        <w:t xml:space="preserve"> stress test here is not one in the statistical or simulation sense, but a theoretical diagnostic procedure: the same extreme scenario—structural separation between the “locus of public responsibility” and the “locus of substantive control”—is applied to e</w:t>
      </w:r>
      <w:r>
        <w:rPr>
          <w:rFonts w:eastAsia="Times New Roman"/>
        </w:rPr>
        <w:t>ach theory in turn, to see whether its existing control mechanisms can restore substantive control to public authority. This diagnostic procedure shares the same judgment logic as the “observable indicators of structural separation” in Section 2 (whether t</w:t>
      </w:r>
      <w:r>
        <w:rPr>
          <w:rFonts w:eastAsia="Times New Roman"/>
        </w:rPr>
        <w:t>he original assumption still holds); the two simply unfold at different levels</w:t>
      </w:r>
      <w:proofErr w:type="gramStart"/>
      <w:r>
        <w:rPr>
          <w:rFonts w:eastAsia="Times New Roman"/>
        </w:rPr>
        <w:t>—“</w:t>
      </w:r>
      <w:proofErr w:type="gramEnd"/>
      <w:r>
        <w:rPr>
          <w:rFonts w:eastAsia="Times New Roman"/>
        </w:rPr>
        <w:t>diagnostic method” versus “operational indicators.” The operational steps are as follows:</w:t>
      </w:r>
    </w:p>
    <w:p w:rsidR="004C3798" w:rsidRDefault="00DA54E2">
      <w:pPr>
        <w:pStyle w:val="a4"/>
        <w:numPr>
          <w:ilvl w:val="0"/>
          <w:numId w:val="3"/>
        </w:numPr>
        <w:spacing w:after="60" w:line="360" w:lineRule="auto"/>
      </w:pPr>
      <w:r>
        <w:rPr>
          <w:rFonts w:eastAsia="Times New Roman"/>
        </w:rPr>
        <w:t>Extract the traditional core control mechanism of each paradigm/field;</w:t>
      </w:r>
    </w:p>
    <w:p w:rsidR="004C3798" w:rsidRDefault="00DA54E2">
      <w:pPr>
        <w:pStyle w:val="a4"/>
        <w:numPr>
          <w:ilvl w:val="0"/>
          <w:numId w:val="3"/>
        </w:numPr>
        <w:spacing w:after="60" w:line="360" w:lineRule="auto"/>
      </w:pPr>
      <w:r>
        <w:rPr>
          <w:rFonts w:eastAsia="Times New Roman"/>
        </w:rPr>
        <w:lastRenderedPageBreak/>
        <w:t>Identify the st</w:t>
      </w:r>
      <w:r>
        <w:rPr>
          <w:rFonts w:eastAsia="Times New Roman"/>
        </w:rPr>
        <w:t>ructural challenge this mechanism faces once AI enters (especially technological lock-in, information asymmetry, and infrastructure dependency);</w:t>
      </w:r>
    </w:p>
    <w:p w:rsidR="004C3798" w:rsidRDefault="00DA54E2">
      <w:pPr>
        <w:pStyle w:val="a4"/>
        <w:numPr>
          <w:ilvl w:val="0"/>
          <w:numId w:val="3"/>
        </w:numPr>
        <w:spacing w:after="60" w:line="360" w:lineRule="auto"/>
      </w:pPr>
      <w:r>
        <w:rPr>
          <w:rFonts w:eastAsia="Times New Roman"/>
        </w:rPr>
        <w:t>Assess whether existing repair mechanisms can realign the locus of responsibility with the locus of control;</w:t>
      </w:r>
    </w:p>
    <w:p w:rsidR="004C3798" w:rsidRDefault="00DA54E2">
      <w:pPr>
        <w:pStyle w:val="a4"/>
        <w:numPr>
          <w:ilvl w:val="0"/>
          <w:numId w:val="3"/>
        </w:numPr>
        <w:spacing w:after="120" w:line="360" w:lineRule="auto"/>
      </w:pPr>
      <w:r>
        <w:rPr>
          <w:rFonts w:eastAsia="Times New Roman"/>
        </w:rPr>
        <w:t>De</w:t>
      </w:r>
      <w:r>
        <w:rPr>
          <w:rFonts w:eastAsia="Times New Roman"/>
        </w:rPr>
        <w:t xml:space="preserve">termine whether the outcome is “partial repair” (the mechanism still has a mitigating effect but does not guarantee that substantive control is restored) or “repair failure” (the mechanism </w:t>
      </w:r>
      <w:proofErr w:type="gramStart"/>
      <w:r>
        <w:rPr>
          <w:rFonts w:eastAsia="Times New Roman"/>
        </w:rPr>
        <w:t>actually fails</w:t>
      </w:r>
      <w:proofErr w:type="gramEnd"/>
      <w:r>
        <w:rPr>
          <w:rFonts w:eastAsia="Times New Roman"/>
        </w:rPr>
        <w:t xml:space="preserve"> under structural separation).</w:t>
      </w:r>
    </w:p>
    <w:p w:rsidR="004C3798" w:rsidRDefault="00DA54E2">
      <w:pPr>
        <w:spacing w:after="120" w:line="360" w:lineRule="auto"/>
        <w:jc w:val="both"/>
      </w:pPr>
      <w:r>
        <w:rPr>
          <w:rFonts w:eastAsia="Times New Roman"/>
        </w:rPr>
        <w:t xml:space="preserve">The criterion derives </w:t>
      </w:r>
      <w:r>
        <w:rPr>
          <w:rFonts w:eastAsia="Times New Roman"/>
        </w:rPr>
        <w:t xml:space="preserve">from each paradigm’s own theoretical presuppositions: if a mechanism is considered, under its original assumptions, </w:t>
      </w:r>
      <w:proofErr w:type="gramStart"/>
      <w:r>
        <w:rPr>
          <w:rFonts w:eastAsia="Times New Roman"/>
        </w:rPr>
        <w:t>sufficient</w:t>
      </w:r>
      <w:proofErr w:type="gramEnd"/>
      <w:r>
        <w:rPr>
          <w:rFonts w:eastAsia="Times New Roman"/>
        </w:rPr>
        <w:t xml:space="preserve"> to maintain control, but cannot sustain that assumption once the two loci are structurally separated, it is judged to have failed</w:t>
      </w:r>
      <w:r>
        <w:rPr>
          <w:rFonts w:eastAsia="Times New Roman"/>
        </w:rPr>
        <w:t xml:space="preserve"> or to achieve only partial repair. This method is</w:t>
      </w:r>
      <w:proofErr w:type="gramStart"/>
      <w:r>
        <w:rPr>
          <w:rFonts w:eastAsia="Times New Roman"/>
        </w:rPr>
        <w:t>, in essence, an</w:t>
      </w:r>
      <w:proofErr w:type="gramEnd"/>
      <w:r>
        <w:rPr>
          <w:rFonts w:eastAsia="Times New Roman"/>
        </w:rPr>
        <w:t xml:space="preserve"> interpretive theoretical diagnosis rather than a fully replicable quantitative procedure; its replicability lies in stating clearly the source of the criteria and the analytic steps, so tha</w:t>
      </w:r>
      <w:r>
        <w:rPr>
          <w:rFonts w:eastAsia="Times New Roman"/>
        </w:rPr>
        <w:t>t other researchers can reach different judgments on the same question.</w:t>
      </w:r>
    </w:p>
    <w:p w:rsidR="004C3798" w:rsidRDefault="00DA54E2">
      <w:pPr>
        <w:spacing w:after="120" w:line="360" w:lineRule="auto"/>
        <w:jc w:val="both"/>
      </w:pPr>
      <w:r>
        <w:rPr>
          <w:rFonts w:eastAsia="Times New Roman"/>
        </w:rPr>
        <w:t>To make the argument more concrete, consider briefly the contested case of automated administrative dispositions in Taiwan: when an administrative agency substantively delegates fact-f</w:t>
      </w:r>
      <w:r>
        <w:rPr>
          <w:rFonts w:eastAsia="Times New Roman"/>
        </w:rPr>
        <w:t>inding or discretionary evaluation to an algorithm, and front-line officials can only “sign off in form” without being able to substantively question the model’s reasoning, classical hierarchical oversight, NPM contractual oversight, DEG organizational res</w:t>
      </w:r>
      <w:r>
        <w:rPr>
          <w:rFonts w:eastAsia="Times New Roman"/>
        </w:rPr>
        <w:t>tructuring, and the human-oversight mechanisms of algorithmic governance may all fall simultaneously into a state where “someone is formally responsible, but in substance no one can change anything” (Xin, 2020; Zeng, 2022). Cases like this illustrate how s</w:t>
      </w:r>
      <w:r>
        <w:rPr>
          <w:rFonts w:eastAsia="Times New Roman"/>
        </w:rPr>
        <w:t xml:space="preserve">tructural separation </w:t>
      </w:r>
      <w:proofErr w:type="gramStart"/>
      <w:r>
        <w:rPr>
          <w:rFonts w:eastAsia="Times New Roman"/>
        </w:rPr>
        <w:t>actually occurs</w:t>
      </w:r>
      <w:proofErr w:type="gramEnd"/>
      <w:r>
        <w:rPr>
          <w:rFonts w:eastAsia="Times New Roman"/>
        </w:rPr>
        <w:t xml:space="preserve"> in practice, and how existing mechanisms actually fail.</w:t>
      </w:r>
    </w:p>
    <w:p w:rsidR="004C3798" w:rsidRDefault="00DA54E2">
      <w:pPr>
        <w:pStyle w:val="2"/>
      </w:pPr>
      <w:r>
        <w:t>The Unified Stress-Test Question</w:t>
      </w:r>
    </w:p>
    <w:p w:rsidR="004C3798" w:rsidRDefault="00DA54E2">
      <w:pPr>
        <w:spacing w:after="120" w:line="360" w:lineRule="auto"/>
        <w:jc w:val="both"/>
      </w:pPr>
      <w:r>
        <w:rPr>
          <w:rFonts w:eastAsia="Times New Roman"/>
        </w:rPr>
        <w:t>We now put the same question to all four bodies of literature: when legal responsibility and substantive control become structural</w:t>
      </w:r>
      <w:r>
        <w:rPr>
          <w:rFonts w:eastAsia="Times New Roman"/>
        </w:rPr>
        <w:t>ly separated, can this paradigm/field restore substantive control to public authority?</w:t>
      </w:r>
    </w:p>
    <w:p w:rsidR="004C3798" w:rsidRDefault="00DA54E2">
      <w:pPr>
        <w:spacing w:after="120" w:line="360" w:lineRule="auto"/>
        <w:jc w:val="both"/>
      </w:pPr>
      <w:r>
        <w:rPr>
          <w:rFonts w:eastAsia="Times New Roman"/>
          <w:b/>
          <w:bCs/>
        </w:rPr>
        <w:t>Table 2. Control-Repair Mechanisms, Structural Challenges, and Failure Modes in Existing Theory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400"/>
        <w:gridCol w:w="2400"/>
        <w:gridCol w:w="2426"/>
      </w:tblGrid>
      <w:tr w:rsidR="004C3798">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4C3798" w:rsidRDefault="00DA54E2">
            <w:pPr>
              <w:spacing w:after="40"/>
            </w:pPr>
            <w:r>
              <w:rPr>
                <w:rFonts w:eastAsia="Times New Roman"/>
                <w:b/>
                <w:bCs/>
                <w:sz w:val="18"/>
                <w:szCs w:val="18"/>
              </w:rPr>
              <w:t>Paradigm/Field</w:t>
            </w:r>
          </w:p>
        </w:tc>
        <w:tc>
          <w:tcPr>
            <w:tcW w:w="24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4C3798" w:rsidRDefault="00DA54E2">
            <w:pPr>
              <w:spacing w:after="40"/>
            </w:pPr>
            <w:r>
              <w:rPr>
                <w:rFonts w:eastAsia="Times New Roman"/>
                <w:b/>
                <w:bCs/>
                <w:sz w:val="18"/>
                <w:szCs w:val="18"/>
              </w:rPr>
              <w:t>Traditional Core Control Mechanism</w:t>
            </w:r>
          </w:p>
        </w:tc>
        <w:tc>
          <w:tcPr>
            <w:tcW w:w="24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4C3798" w:rsidRDefault="00DA54E2">
            <w:pPr>
              <w:spacing w:after="40"/>
            </w:pPr>
            <w:r>
              <w:rPr>
                <w:rFonts w:eastAsia="Times New Roman"/>
                <w:b/>
                <w:bCs/>
                <w:sz w:val="18"/>
                <w:szCs w:val="18"/>
              </w:rPr>
              <w:t>Structural Challenge Af</w:t>
            </w:r>
            <w:r>
              <w:rPr>
                <w:rFonts w:eastAsia="Times New Roman"/>
                <w:b/>
                <w:bCs/>
                <w:sz w:val="18"/>
                <w:szCs w:val="18"/>
              </w:rPr>
              <w:t>ter AI Enters</w:t>
            </w:r>
          </w:p>
        </w:tc>
        <w:tc>
          <w:tcPr>
            <w:tcW w:w="2426"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4C3798" w:rsidRDefault="00DA54E2">
            <w:pPr>
              <w:spacing w:after="40"/>
            </w:pPr>
            <w:r>
              <w:rPr>
                <w:rFonts w:eastAsia="Times New Roman"/>
                <w:b/>
                <w:bCs/>
                <w:sz w:val="18"/>
                <w:szCs w:val="18"/>
              </w:rPr>
              <w:t>Blind Spot/Failure Mode of Existing Repair Mechanisms</w:t>
            </w:r>
          </w:p>
        </w:tc>
      </w:tr>
      <w:tr w:rsidR="004C3798">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 xml:space="preserve">Classical Public </w:t>
            </w:r>
            <w:r>
              <w:rPr>
                <w:rFonts w:eastAsia="Times New Roman"/>
                <w:sz w:val="18"/>
                <w:szCs w:val="18"/>
              </w:rPr>
              <w:lastRenderedPageBreak/>
              <w:t>Administration</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lastRenderedPageBreak/>
              <w:t xml:space="preserve">Bureaucratic hierarchy, chain </w:t>
            </w:r>
            <w:r>
              <w:rPr>
                <w:rFonts w:eastAsia="Times New Roman"/>
                <w:sz w:val="18"/>
                <w:szCs w:val="18"/>
              </w:rPr>
              <w:lastRenderedPageBreak/>
              <w:t>of command, rule-bound constraints, and official responsibility</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lastRenderedPageBreak/>
              <w:t>Decision logic becomes black-</w:t>
            </w:r>
            <w:r>
              <w:rPr>
                <w:rFonts w:eastAsia="Times New Roman"/>
                <w:sz w:val="18"/>
                <w:szCs w:val="18"/>
              </w:rPr>
              <w:lastRenderedPageBreak/>
              <w:t xml:space="preserve">boxed and dispersed; human </w:t>
            </w:r>
            <w:r>
              <w:rPr>
                <w:rFonts w:eastAsia="Times New Roman"/>
                <w:sz w:val="18"/>
                <w:szCs w:val="18"/>
              </w:rPr>
              <w:t>officials cannot verify the basis for a disposition in real time</w:t>
            </w:r>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lastRenderedPageBreak/>
              <w:t xml:space="preserve">“Someone signed off in form” </w:t>
            </w:r>
            <w:r>
              <w:rPr>
                <w:rFonts w:eastAsia="Times New Roman"/>
                <w:sz w:val="18"/>
                <w:szCs w:val="18"/>
              </w:rPr>
              <w:lastRenderedPageBreak/>
              <w:t>does not equal “someone substantively made the decision”; hierarchical oversight becomes a rubber stamp</w:t>
            </w:r>
          </w:p>
        </w:tc>
      </w:tr>
      <w:tr w:rsidR="004C3798">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lastRenderedPageBreak/>
              <w:t>New Public Management</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Contract terms, specification-based</w:t>
            </w:r>
            <w:r>
              <w:rPr>
                <w:rFonts w:eastAsia="Times New Roman"/>
                <w:sz w:val="18"/>
                <w:szCs w:val="18"/>
              </w:rPr>
              <w:t xml:space="preserve"> bidding, performance indicators, and external oversight; contract management capacity (</w:t>
            </w:r>
            <w:proofErr w:type="spellStart"/>
            <w:r>
              <w:rPr>
                <w:rFonts w:eastAsia="Times New Roman"/>
                <w:sz w:val="18"/>
                <w:szCs w:val="18"/>
              </w:rPr>
              <w:t>Romzek</w:t>
            </w:r>
            <w:proofErr w:type="spellEnd"/>
            <w:r>
              <w:rPr>
                <w:rFonts w:eastAsia="Times New Roman"/>
                <w:sz w:val="18"/>
                <w:szCs w:val="18"/>
              </w:rPr>
              <w:t xml:space="preserve"> &amp; Johnston, 2002)</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Systems update and iterate rapidly amid extreme knowledge asymmetry, making complete ex ante contract specification impossible; management capa</w:t>
            </w:r>
            <w:r>
              <w:rPr>
                <w:rFonts w:eastAsia="Times New Roman"/>
                <w:sz w:val="18"/>
                <w:szCs w:val="18"/>
              </w:rPr>
              <w:t>city is constrained across multilayered supply chains</w:t>
            </w:r>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It is impossible to write a model’s unknown emergent behavior fully into contract terms in advance; control capacity is difficult to restore under hollow-state conditions</w:t>
            </w:r>
          </w:p>
        </w:tc>
      </w:tr>
      <w:tr w:rsidR="004C3798">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Digital-Era Governance</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Organiz</w:t>
            </w:r>
            <w:r>
              <w:rPr>
                <w:rFonts w:eastAsia="Times New Roman"/>
                <w:sz w:val="18"/>
                <w:szCs w:val="18"/>
              </w:rPr>
              <w:t>ational restructuring, information-system integration, and end-to-end digital service architecture</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Core models depend on external Big Tech infrastructure (infrastructure lock-in)</w:t>
            </w:r>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Government cannot rebuild control over external cloud services and underlying</w:t>
            </w:r>
            <w:r>
              <w:rPr>
                <w:rFonts w:eastAsia="Times New Roman"/>
                <w:sz w:val="18"/>
                <w:szCs w:val="18"/>
              </w:rPr>
              <w:t xml:space="preserve"> models through “internal organizational restructuring” alone</w:t>
            </w:r>
          </w:p>
        </w:tc>
      </w:tr>
      <w:tr w:rsidR="004C3798">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Algorithmic Governance Research</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 xml:space="preserve">Transparency, </w:t>
            </w:r>
            <w:proofErr w:type="spellStart"/>
            <w:r>
              <w:rPr>
                <w:rFonts w:eastAsia="Times New Roman"/>
                <w:sz w:val="18"/>
                <w:szCs w:val="18"/>
              </w:rPr>
              <w:t>explainability</w:t>
            </w:r>
            <w:proofErr w:type="spellEnd"/>
            <w:r>
              <w:rPr>
                <w:rFonts w:eastAsia="Times New Roman"/>
                <w:sz w:val="18"/>
                <w:szCs w:val="18"/>
              </w:rPr>
              <w:t>, and human oversight</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 xml:space="preserve">“Moral crumple zones” and automation bias persist; overseers lack both the capacity and the incentive to </w:t>
            </w:r>
            <w:r>
              <w:rPr>
                <w:rFonts w:eastAsia="Times New Roman"/>
                <w:sz w:val="18"/>
                <w:szCs w:val="18"/>
              </w:rPr>
              <w:t>reverse a decision</w:t>
            </w:r>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4C3798" w:rsidRDefault="00DA54E2">
            <w:pPr>
              <w:spacing w:after="40"/>
            </w:pPr>
            <w:r>
              <w:rPr>
                <w:rFonts w:eastAsia="Times New Roman"/>
                <w:sz w:val="18"/>
                <w:szCs w:val="18"/>
              </w:rPr>
              <w:t>Transparency does not equal control; “human-in-the-loop” often becomes a tool for shifting blame and legitimating the outcome</w:t>
            </w:r>
          </w:p>
        </w:tc>
      </w:tr>
    </w:tbl>
    <w:p w:rsidR="004C3798" w:rsidRDefault="004C3798">
      <w:pPr>
        <w:spacing w:after="200"/>
      </w:pPr>
    </w:p>
    <w:p w:rsidR="004C3798" w:rsidRDefault="00DA54E2">
      <w:pPr>
        <w:spacing w:after="120" w:line="360" w:lineRule="auto"/>
        <w:jc w:val="both"/>
      </w:pPr>
      <w:r>
        <w:rPr>
          <w:rFonts w:eastAsia="Times New Roman"/>
        </w:rPr>
        <w:t xml:space="preserve">Table 2 presents the conclusions. What follows supplements the reasoning that the table cannot fully convey. </w:t>
      </w:r>
      <w:r>
        <w:rPr>
          <w:rFonts w:eastAsia="Times New Roman"/>
        </w:rPr>
        <w:t xml:space="preserve">Classical public administration relies on hierarchy and human responsibility, but if the control mechanism is buried within external technical infrastructure and human officials lack the substantive capacity to modify or stop the system, “someone formally </w:t>
      </w:r>
      <w:r>
        <w:rPr>
          <w:rFonts w:eastAsia="Times New Roman"/>
        </w:rPr>
        <w:t>signed off” does not equal “someone substantively made the decision.” NPM relies on contractual specification and performance oversight, but the emergent behavior of generative or dynamically learning models cannot be exhaustively written into contract ter</w:t>
      </w:r>
      <w:r>
        <w:rPr>
          <w:rFonts w:eastAsia="Times New Roman"/>
        </w:rPr>
        <w:t xml:space="preserve">ms in advance, severely undermining steering capacity; under hollow-state conditions, multilayered supply chains and steep technical asymmetry further weaken contract management capacity (Milward &amp; </w:t>
      </w:r>
      <w:proofErr w:type="spellStart"/>
      <w:r>
        <w:rPr>
          <w:rFonts w:eastAsia="Times New Roman"/>
        </w:rPr>
        <w:t>Provan</w:t>
      </w:r>
      <w:proofErr w:type="spellEnd"/>
      <w:r>
        <w:rPr>
          <w:rFonts w:eastAsia="Times New Roman"/>
        </w:rPr>
        <w:t xml:space="preserve">, 2000; </w:t>
      </w:r>
      <w:proofErr w:type="spellStart"/>
      <w:r>
        <w:rPr>
          <w:rFonts w:eastAsia="Times New Roman"/>
        </w:rPr>
        <w:t>Romzek</w:t>
      </w:r>
      <w:proofErr w:type="spellEnd"/>
      <w:r>
        <w:rPr>
          <w:rFonts w:eastAsia="Times New Roman"/>
        </w:rPr>
        <w:t xml:space="preserve"> &amp; Johnston, 2002). DEG relies on orga</w:t>
      </w:r>
      <w:r>
        <w:rPr>
          <w:rFonts w:eastAsia="Times New Roman"/>
        </w:rPr>
        <w:t>nizational restructuring and digital integration, but if control over core infrastructure rests with external platforms, internal reorganization cannot rebuild control over external cloud services and underlying models. Algorithmic governance research reli</w:t>
      </w:r>
      <w:r>
        <w:rPr>
          <w:rFonts w:eastAsia="Times New Roman"/>
        </w:rPr>
        <w:t xml:space="preserve">es on transparency, </w:t>
      </w:r>
      <w:proofErr w:type="spellStart"/>
      <w:r>
        <w:rPr>
          <w:rFonts w:eastAsia="Times New Roman"/>
        </w:rPr>
        <w:t>explainability</w:t>
      </w:r>
      <w:proofErr w:type="spellEnd"/>
      <w:r>
        <w:rPr>
          <w:rFonts w:eastAsia="Times New Roman"/>
        </w:rPr>
        <w:t>, and human oversight, but if humans can only observe outcomes without being able to adequately understand, verify, correct, or stop the system, formalized oversight collapses into a mere legitimating mechanism (</w:t>
      </w:r>
      <w:proofErr w:type="spellStart"/>
      <w:r>
        <w:rPr>
          <w:rFonts w:eastAsia="Times New Roman"/>
        </w:rPr>
        <w:t>Ananny</w:t>
      </w:r>
      <w:proofErr w:type="spellEnd"/>
      <w:r>
        <w:rPr>
          <w:rFonts w:eastAsia="Times New Roman"/>
        </w:rPr>
        <w:t xml:space="preserve"> &amp; C</w:t>
      </w:r>
      <w:r>
        <w:rPr>
          <w:rFonts w:eastAsia="Times New Roman"/>
        </w:rPr>
        <w:t xml:space="preserve">rawford, 2018; </w:t>
      </w:r>
      <w:proofErr w:type="spellStart"/>
      <w:r>
        <w:rPr>
          <w:rFonts w:eastAsia="Times New Roman"/>
        </w:rPr>
        <w:t>Elish</w:t>
      </w:r>
      <w:proofErr w:type="spellEnd"/>
      <w:r>
        <w:rPr>
          <w:rFonts w:eastAsia="Times New Roman"/>
        </w:rPr>
        <w:t>, 2019; Kroll et al., 2017).</w:t>
      </w:r>
    </w:p>
    <w:p w:rsidR="004C3798" w:rsidRDefault="00DA54E2">
      <w:pPr>
        <w:pStyle w:val="2"/>
      </w:pPr>
      <w:r>
        <w:t>Common Findings and a Response to the Counterargument</w:t>
      </w:r>
    </w:p>
    <w:p w:rsidR="004C3798" w:rsidRDefault="00DA54E2">
      <w:pPr>
        <w:spacing w:after="120" w:line="360" w:lineRule="auto"/>
        <w:jc w:val="both"/>
      </w:pPr>
      <w:r>
        <w:rPr>
          <w:rFonts w:eastAsia="Times New Roman"/>
        </w:rPr>
        <w:t xml:space="preserve">The literature shows that existing theories do provide considerable institutional resources for </w:t>
      </w:r>
      <w:r>
        <w:rPr>
          <w:rFonts w:eastAsia="Times New Roman"/>
        </w:rPr>
        <w:lastRenderedPageBreak/>
        <w:t>mitigating technological complexity. A reasonable counter</w:t>
      </w:r>
      <w:r>
        <w:rPr>
          <w:rFonts w:eastAsia="Times New Roman"/>
        </w:rPr>
        <w:t xml:space="preserve">argument holds that current mechanisms of human oversight, </w:t>
      </w:r>
      <w:proofErr w:type="spellStart"/>
      <w:r>
        <w:rPr>
          <w:rFonts w:eastAsia="Times New Roman"/>
        </w:rPr>
        <w:t>explainability</w:t>
      </w:r>
      <w:proofErr w:type="spellEnd"/>
      <w:r>
        <w:rPr>
          <w:rFonts w:eastAsia="Times New Roman"/>
        </w:rPr>
        <w:t>, and accountability, while imperfect, may already be “good enough” in most administrative contexts, making a new theoretical threshold for minimum control capacity unnecessary.</w:t>
      </w:r>
    </w:p>
    <w:p w:rsidR="004C3798" w:rsidRDefault="00DA54E2">
      <w:pPr>
        <w:spacing w:after="120" w:line="360" w:lineRule="auto"/>
        <w:jc w:val="both"/>
      </w:pPr>
      <w:r>
        <w:rPr>
          <w:rFonts w:eastAsia="Times New Roman"/>
        </w:rPr>
        <w:t xml:space="preserve">This </w:t>
      </w:r>
      <w:r>
        <w:rPr>
          <w:rFonts w:eastAsia="Times New Roman"/>
        </w:rPr>
        <w:t>paper answers that counterargument directly. Normatively, “partial repair” is unacceptable not because it is “imperfect,” but because it cannot guarantee that the locus of public-law responsibility and the locus of substantive control are structurally real</w:t>
      </w:r>
      <w:r>
        <w:rPr>
          <w:rFonts w:eastAsia="Times New Roman"/>
        </w:rPr>
        <w:t>igned. When the critical knowledge, capacity to modify, infrastructure, and operational dependencies lie structurally outside the locus of legal responsibility, public authority may retain a formal channel of oversight while substantively being unable to f</w:t>
      </w:r>
      <w:r>
        <w:rPr>
          <w:rFonts w:eastAsia="Times New Roman"/>
        </w:rPr>
        <w:t>ulfill its legal obligations—including the duty to state reasons under due process, the provision of effective remedy, and the substantive assumption of state compensation liability. If “having someone present” only absorbs the responsibility for failure w</w:t>
      </w:r>
      <w:r>
        <w:rPr>
          <w:rFonts w:eastAsia="Times New Roman"/>
        </w:rPr>
        <w:t>ithout being able to change how the system behaves, accountability itself collapses into the institutionalization of a moral crumple zone (</w:t>
      </w:r>
      <w:proofErr w:type="spellStart"/>
      <w:r>
        <w:rPr>
          <w:rFonts w:eastAsia="Times New Roman"/>
        </w:rPr>
        <w:t>Elish</w:t>
      </w:r>
      <w:proofErr w:type="spellEnd"/>
      <w:r>
        <w:rPr>
          <w:rFonts w:eastAsia="Times New Roman"/>
        </w:rPr>
        <w:t>, 2019). Nor is this gap confined to the rule-of-law side alone: when structural separation occurs, government i</w:t>
      </w:r>
      <w:r>
        <w:rPr>
          <w:rFonts w:eastAsia="Times New Roman"/>
        </w:rPr>
        <w:t>s equally unable to independently diagnose system anomalies and correct errors in real time, so the substantive efficiency that NPM-style governance originally sought turns into a new kind of systemic administrative risk—the promise of efficiency and the g</w:t>
      </w:r>
      <w:r>
        <w:rPr>
          <w:rFonts w:eastAsia="Times New Roman"/>
        </w:rPr>
        <w:t>uarantee of due process both fail together under the same structural separation. The question, then, is not whether existing mechanisms are “useful,” but whether they are adequate as a legitimating basis for the exercise of public power. It is precisely th</w:t>
      </w:r>
      <w:r>
        <w:rPr>
          <w:rFonts w:eastAsia="Times New Roman"/>
        </w:rPr>
        <w:t>is normative gap that gives the subsequent proposals of “Minimum Substantive Control Capacity” and “Withdrawal Power” their theoretical necessity, rather than making them merely an extension of empirical observation.</w:t>
      </w:r>
    </w:p>
    <w:p w:rsidR="004C3798" w:rsidRDefault="00DA54E2">
      <w:pPr>
        <w:spacing w:after="120" w:line="360" w:lineRule="auto"/>
        <w:jc w:val="both"/>
      </w:pPr>
      <w:r>
        <w:rPr>
          <w:rFonts w:eastAsia="Times New Roman"/>
        </w:rPr>
        <w:t>In sum, existing theories provide mecha</w:t>
      </w:r>
      <w:r>
        <w:rPr>
          <w:rFonts w:eastAsia="Times New Roman"/>
        </w:rPr>
        <w:t>nisms of partial repair, but none has yet made clear what threshold substantive control must reach before it counts as restored.</w:t>
      </w:r>
    </w:p>
    <w:p w:rsidR="004C3798" w:rsidRDefault="00DA54E2">
      <w:pPr>
        <w:pStyle w:val="1"/>
      </w:pPr>
      <w:r>
        <w:t>7. The Unabsorbed Anomaly and the Theoretical Gap</w:t>
      </w:r>
    </w:p>
    <w:p w:rsidR="004C3798" w:rsidRDefault="00DA54E2">
      <w:pPr>
        <w:spacing w:after="120" w:line="360" w:lineRule="auto"/>
        <w:jc w:val="both"/>
      </w:pPr>
      <w:r>
        <w:rPr>
          <w:rFonts w:eastAsia="Times New Roman"/>
        </w:rPr>
        <w:t>Across classical public administration, New Public Management, Digital-Era Go</w:t>
      </w:r>
      <w:r>
        <w:rPr>
          <w:rFonts w:eastAsia="Times New Roman"/>
        </w:rPr>
        <w:t>vernance, and contemporary algorithmic governance research, public administration’s basic response pattern to technological complexity has remained remarkably consistent: absorb technology back into some recognizable administrative control architecture thr</w:t>
      </w:r>
      <w:r>
        <w:rPr>
          <w:rFonts w:eastAsia="Times New Roman"/>
        </w:rPr>
        <w:t>ough hierarchy, contract, organizational restructuring, institutional design, or human oversight.</w:t>
      </w:r>
    </w:p>
    <w:p w:rsidR="004C3798" w:rsidRDefault="00DA54E2">
      <w:pPr>
        <w:spacing w:after="120" w:line="360" w:lineRule="auto"/>
        <w:jc w:val="both"/>
      </w:pPr>
      <w:r>
        <w:rPr>
          <w:rFonts w:eastAsia="Times New Roman"/>
        </w:rPr>
        <w:lastRenderedPageBreak/>
        <w:t xml:space="preserve">But this paper’s stress test shows that when the government agency bearing public-law responsibility and the actor </w:t>
      </w:r>
      <w:proofErr w:type="gramStart"/>
      <w:r>
        <w:rPr>
          <w:rFonts w:eastAsia="Times New Roman"/>
        </w:rPr>
        <w:t>actually holding</w:t>
      </w:r>
      <w:proofErr w:type="gramEnd"/>
      <w:r>
        <w:rPr>
          <w:rFonts w:eastAsia="Times New Roman"/>
        </w:rPr>
        <w:t xml:space="preserve"> the system’s critical info</w:t>
      </w:r>
      <w:r>
        <w:rPr>
          <w:rFonts w:eastAsia="Times New Roman"/>
        </w:rPr>
        <w:t>rmation, technical capacity to modify it, operational infrastructure, or the power to halt it no longer occupy the same governance position, existing control mechanisms cannot necessarily realign the two.</w:t>
      </w:r>
    </w:p>
    <w:p w:rsidR="004C3798" w:rsidRDefault="00DA54E2">
      <w:pPr>
        <w:spacing w:after="120" w:line="360" w:lineRule="auto"/>
        <w:jc w:val="both"/>
      </w:pPr>
      <w:r>
        <w:rPr>
          <w:rFonts w:eastAsia="Times New Roman"/>
        </w:rPr>
        <w:t>The truly unabsorbed anomaly, then, is not simply t</w:t>
      </w:r>
      <w:r>
        <w:rPr>
          <w:rFonts w:eastAsia="Times New Roman"/>
        </w:rPr>
        <w:t>he algorithmic black box, bias, or degree of automation, but rather:</w:t>
      </w:r>
    </w:p>
    <w:p w:rsidR="004C3798" w:rsidRDefault="00DA54E2">
      <w:pPr>
        <w:spacing w:after="120" w:line="360" w:lineRule="auto"/>
        <w:jc w:val="both"/>
      </w:pPr>
      <w:r>
        <w:rPr>
          <w:rFonts w:eastAsia="Times New Roman"/>
          <w:b/>
          <w:bCs/>
        </w:rPr>
        <w:t>The structural separation between the locus of public-law responsibility and the locus of substantive control.</w:t>
      </w:r>
    </w:p>
    <w:p w:rsidR="004C3798" w:rsidRDefault="00DA54E2">
      <w:pPr>
        <w:spacing w:after="120" w:line="360" w:lineRule="auto"/>
        <w:jc w:val="both"/>
      </w:pPr>
      <w:r>
        <w:rPr>
          <w:rFonts w:eastAsia="Times New Roman"/>
        </w:rPr>
        <w:t>Public administration’s own accountability literature has long shown that re</w:t>
      </w:r>
      <w:r>
        <w:rPr>
          <w:rFonts w:eastAsia="Times New Roman"/>
        </w:rPr>
        <w:t xml:space="preserve">sponsibility, controllability, transparency, and legal consequence are not the same concept. </w:t>
      </w:r>
      <w:proofErr w:type="spellStart"/>
      <w:r>
        <w:rPr>
          <w:rFonts w:eastAsia="Times New Roman"/>
        </w:rPr>
        <w:t>Bovens</w:t>
      </w:r>
      <w:proofErr w:type="spellEnd"/>
      <w:r>
        <w:rPr>
          <w:rFonts w:eastAsia="Times New Roman"/>
        </w:rPr>
        <w:t xml:space="preserve"> (2007) defines accountability as an institutional relationship in which an actor owes a duty of explanation and justification to a specific forum, and may f</w:t>
      </w:r>
      <w:r>
        <w:rPr>
          <w:rFonts w:eastAsia="Times New Roman"/>
        </w:rPr>
        <w:t xml:space="preserve">ace evaluation and consequences; </w:t>
      </w:r>
      <w:proofErr w:type="spellStart"/>
      <w:r>
        <w:rPr>
          <w:rFonts w:eastAsia="Times New Roman"/>
        </w:rPr>
        <w:t>Koppell</w:t>
      </w:r>
      <w:proofErr w:type="spellEnd"/>
      <w:r>
        <w:rPr>
          <w:rFonts w:eastAsia="Times New Roman"/>
        </w:rPr>
        <w:t xml:space="preserve"> (2005) explicitly distinguishes transparency, liability, controllability, responsibility, and responsiveness as separate dimensions. The anomaly this paper identifies is therefore not simply “a lack of accountabilit</w:t>
      </w:r>
      <w:r>
        <w:rPr>
          <w:rFonts w:eastAsia="Times New Roman"/>
        </w:rPr>
        <w:t>y,” but a more specific structural problem: a public agency may remain, in law, the responsible subject that must explain itself, bear consequences, and submit to review, while not necessarily possessing the substantive control capacity to understand, veri</w:t>
      </w:r>
      <w:r>
        <w:rPr>
          <w:rFonts w:eastAsia="Times New Roman"/>
        </w:rPr>
        <w:t>fy, correct, or terminate the system’s operation.</w:t>
      </w:r>
    </w:p>
    <w:p w:rsidR="004C3798" w:rsidRDefault="00DA54E2">
      <w:pPr>
        <w:spacing w:after="120" w:line="360" w:lineRule="auto"/>
        <w:jc w:val="both"/>
      </w:pPr>
      <w:r>
        <w:rPr>
          <w:rFonts w:eastAsia="Times New Roman"/>
        </w:rPr>
        <w:t xml:space="preserve">Existing theories offer a range of tools for managing technological complexity, but none has answered a more fundamental question: under what conditions does public authority possess </w:t>
      </w:r>
      <w:proofErr w:type="gramStart"/>
      <w:r>
        <w:rPr>
          <w:rFonts w:eastAsia="Times New Roman"/>
        </w:rPr>
        <w:t>sufficient</w:t>
      </w:r>
      <w:proofErr w:type="gramEnd"/>
      <w:r>
        <w:rPr>
          <w:rFonts w:eastAsia="Times New Roman"/>
        </w:rPr>
        <w:t xml:space="preserve"> substantive </w:t>
      </w:r>
      <w:r>
        <w:rPr>
          <w:rFonts w:eastAsia="Times New Roman"/>
        </w:rPr>
        <w:t>control capacity for an AI system to be qualified for inclusion in the exercise of public power? This threshold differs in kind from the observable indicators in Section 2—those indicators diagnose whether separation has already occurred, whereas MSCC asks</w:t>
      </w:r>
      <w:r>
        <w:rPr>
          <w:rFonts w:eastAsia="Times New Roman"/>
        </w:rPr>
        <w:t xml:space="preserve"> what minimum level of control capacity must be reached before separation occurs, </w:t>
      </w:r>
      <w:proofErr w:type="gramStart"/>
      <w:r>
        <w:rPr>
          <w:rFonts w:eastAsia="Times New Roman"/>
        </w:rPr>
        <w:t>in order to</w:t>
      </w:r>
      <w:proofErr w:type="gramEnd"/>
      <w:r>
        <w:rPr>
          <w:rFonts w:eastAsia="Times New Roman"/>
        </w:rPr>
        <w:t xml:space="preserve"> justify AI’s involvement in the exercise of public power in the first place. This constitutes the first theoretical gap.</w:t>
      </w:r>
    </w:p>
    <w:p w:rsidR="004C3798" w:rsidRDefault="00DA54E2">
      <w:pPr>
        <w:spacing w:after="120" w:line="360" w:lineRule="auto"/>
        <w:jc w:val="both"/>
      </w:pPr>
      <w:r>
        <w:rPr>
          <w:rFonts w:eastAsia="Times New Roman"/>
        </w:rPr>
        <w:t xml:space="preserve">Further, if government cannot obtain the </w:t>
      </w:r>
      <w:r>
        <w:rPr>
          <w:rFonts w:eastAsia="Times New Roman"/>
        </w:rPr>
        <w:t xml:space="preserve">control capacity necessary to discharge its legal responsibilities, public administration theory must answer a second question: when this minimum control condition cannot be obtained, what institutional capacity must government possess </w:t>
      </w:r>
      <w:proofErr w:type="gramStart"/>
      <w:r>
        <w:rPr>
          <w:rFonts w:eastAsia="Times New Roman"/>
        </w:rPr>
        <w:t>in order to</w:t>
      </w:r>
      <w:proofErr w:type="gramEnd"/>
      <w:r>
        <w:rPr>
          <w:rFonts w:eastAsia="Times New Roman"/>
        </w:rPr>
        <w:t xml:space="preserve"> refuse, </w:t>
      </w:r>
      <w:r>
        <w:rPr>
          <w:rFonts w:eastAsia="Times New Roman"/>
        </w:rPr>
        <w:t>halt, or withdraw from its dependence on the system?</w:t>
      </w:r>
    </w:p>
    <w:p w:rsidR="004C3798" w:rsidRDefault="00DA54E2">
      <w:pPr>
        <w:pStyle w:val="2"/>
      </w:pPr>
      <w:r>
        <w:t>Three Supporting Mechanism Gaps</w:t>
      </w:r>
    </w:p>
    <w:p w:rsidR="004C3798" w:rsidRDefault="00DA54E2">
      <w:pPr>
        <w:spacing w:after="120" w:line="360" w:lineRule="auto"/>
        <w:jc w:val="both"/>
      </w:pPr>
      <w:r>
        <w:rPr>
          <w:rFonts w:eastAsia="Times New Roman"/>
        </w:rPr>
        <w:lastRenderedPageBreak/>
        <w:t>To close off every avenue of retreat for existing theory, this paper identifies three supporting mechanism gaps:</w:t>
      </w:r>
    </w:p>
    <w:p w:rsidR="004C3798" w:rsidRDefault="00DA54E2">
      <w:pPr>
        <w:pStyle w:val="a4"/>
        <w:numPr>
          <w:ilvl w:val="0"/>
          <w:numId w:val="4"/>
        </w:numPr>
        <w:spacing w:after="80" w:line="360" w:lineRule="auto"/>
      </w:pPr>
      <w:r>
        <w:rPr>
          <w:rFonts w:eastAsia="Times New Roman"/>
          <w:b/>
          <w:bCs/>
        </w:rPr>
        <w:t>The Illusion of “Human-in-the-Loop” and the “Moral Crumple</w:t>
      </w:r>
      <w:r>
        <w:rPr>
          <w:rFonts w:eastAsia="Times New Roman"/>
          <w:b/>
          <w:bCs/>
        </w:rPr>
        <w:t xml:space="preserve"> Zone”:</w:t>
      </w:r>
      <w:r>
        <w:rPr>
          <w:rFonts w:eastAsia="Times New Roman"/>
        </w:rPr>
        <w:t xml:space="preserve"> Current regulation (such as the EU AI Act) often treats “human oversight” as a cure-all. But the literature has already demonstrated that human officials facing highly complex, high-speed algorithms are highly prone to automation bias. Once an offi</w:t>
      </w:r>
      <w:r>
        <w:rPr>
          <w:rFonts w:eastAsia="Times New Roman"/>
        </w:rPr>
        <w:t>cial cannot substantively question the system, “human oversight” effectively becomes a mechanism of responsibility transfer—leaving front-line officials to bear legal liability for the system’s errors without giving them the capacity to correct it (</w:t>
      </w:r>
      <w:proofErr w:type="spellStart"/>
      <w:r>
        <w:rPr>
          <w:rFonts w:eastAsia="Times New Roman"/>
        </w:rPr>
        <w:t>Elish</w:t>
      </w:r>
      <w:proofErr w:type="spellEnd"/>
      <w:r>
        <w:rPr>
          <w:rFonts w:eastAsia="Times New Roman"/>
        </w:rPr>
        <w:t xml:space="preserve">, </w:t>
      </w:r>
      <w:r>
        <w:rPr>
          <w:rFonts w:eastAsia="Times New Roman"/>
        </w:rPr>
        <w:t xml:space="preserve">2019; Parasuraman &amp; Riley, 1997; </w:t>
      </w:r>
      <w:proofErr w:type="spellStart"/>
      <w:r>
        <w:rPr>
          <w:rFonts w:eastAsia="Times New Roman"/>
        </w:rPr>
        <w:t>Skitka</w:t>
      </w:r>
      <w:proofErr w:type="spellEnd"/>
      <w:r>
        <w:rPr>
          <w:rFonts w:eastAsia="Times New Roman"/>
        </w:rPr>
        <w:t xml:space="preserve"> et al., 1999).</w:t>
      </w:r>
    </w:p>
    <w:p w:rsidR="004C3798" w:rsidRDefault="00DA54E2">
      <w:pPr>
        <w:pStyle w:val="a4"/>
        <w:numPr>
          <w:ilvl w:val="0"/>
          <w:numId w:val="4"/>
        </w:numPr>
        <w:spacing w:after="80" w:line="360" w:lineRule="auto"/>
      </w:pPr>
      <w:r>
        <w:rPr>
          <w:rFonts w:eastAsia="Times New Roman"/>
          <w:b/>
          <w:bCs/>
        </w:rPr>
        <w:t>Technological Lock-in and Infrastructure Dependency:</w:t>
      </w:r>
      <w:r>
        <w:rPr>
          <w:rFonts w:eastAsia="Times New Roman"/>
        </w:rPr>
        <w:t xml:space="preserve"> Algorithms are not software that runs independently; they are built on massive computing power, proprietary databases, and cloud architecture. DEG a</w:t>
      </w:r>
      <w:r>
        <w:rPr>
          <w:rFonts w:eastAsia="Times New Roman"/>
        </w:rPr>
        <w:t>ssumes government can “integrate and command digital architecture,” but public institutions today are already highly locked into private platforms within the technological ecosystem, to the point that government may lack even the autonomy to “stop using” o</w:t>
      </w:r>
      <w:r>
        <w:rPr>
          <w:rFonts w:eastAsia="Times New Roman"/>
        </w:rPr>
        <w:t>r “switch vendors” (</w:t>
      </w:r>
      <w:proofErr w:type="spellStart"/>
      <w:r>
        <w:rPr>
          <w:rFonts w:eastAsia="Times New Roman"/>
        </w:rPr>
        <w:t>Plantin</w:t>
      </w:r>
      <w:proofErr w:type="spellEnd"/>
      <w:r>
        <w:rPr>
          <w:rFonts w:eastAsia="Times New Roman"/>
        </w:rPr>
        <w:t xml:space="preserve"> et al., 2018; Fountain, 2001).</w:t>
      </w:r>
    </w:p>
    <w:p w:rsidR="004C3798" w:rsidRDefault="00DA54E2">
      <w:pPr>
        <w:pStyle w:val="a4"/>
        <w:numPr>
          <w:ilvl w:val="0"/>
          <w:numId w:val="4"/>
        </w:numPr>
        <w:spacing w:after="120" w:line="360" w:lineRule="auto"/>
      </w:pPr>
      <w:r>
        <w:rPr>
          <w:rFonts w:eastAsia="Times New Roman"/>
          <w:b/>
          <w:bCs/>
        </w:rPr>
        <w:t>Contractual Incompleteness and Extreme Information Asymmetry:</w:t>
      </w:r>
      <w:r>
        <w:rPr>
          <w:rFonts w:eastAsia="Times New Roman"/>
        </w:rPr>
        <w:t xml:space="preserve"> NPM relies on contracts and specification-based oversight, but the operating logic of generative or dynamically learning models is emer</w:t>
      </w:r>
      <w:r>
        <w:rPr>
          <w:rFonts w:eastAsia="Times New Roman"/>
        </w:rPr>
        <w:t xml:space="preserve">gent. Government cannot exhaustively enumerate every anomalous scenario in a procurement contract, nor can traditional after-the-fact </w:t>
      </w:r>
      <w:proofErr w:type="gramStart"/>
      <w:r>
        <w:rPr>
          <w:rFonts w:eastAsia="Times New Roman"/>
        </w:rPr>
        <w:t>auditing</w:t>
      </w:r>
      <w:proofErr w:type="gramEnd"/>
      <w:r>
        <w:rPr>
          <w:rFonts w:eastAsia="Times New Roman"/>
        </w:rPr>
        <w:t xml:space="preserve"> capture algorithmic drift in real time (</w:t>
      </w:r>
      <w:proofErr w:type="spellStart"/>
      <w:r>
        <w:rPr>
          <w:rFonts w:eastAsia="Times New Roman"/>
        </w:rPr>
        <w:t>Kettl</w:t>
      </w:r>
      <w:proofErr w:type="spellEnd"/>
      <w:r>
        <w:rPr>
          <w:rFonts w:eastAsia="Times New Roman"/>
        </w:rPr>
        <w:t xml:space="preserve">, 1993, 2002; Milward &amp; </w:t>
      </w:r>
      <w:proofErr w:type="spellStart"/>
      <w:r>
        <w:rPr>
          <w:rFonts w:eastAsia="Times New Roman"/>
        </w:rPr>
        <w:t>Provan</w:t>
      </w:r>
      <w:proofErr w:type="spellEnd"/>
      <w:r>
        <w:rPr>
          <w:rFonts w:eastAsia="Times New Roman"/>
        </w:rPr>
        <w:t xml:space="preserve">, 2000; </w:t>
      </w:r>
      <w:proofErr w:type="spellStart"/>
      <w:r>
        <w:rPr>
          <w:rFonts w:eastAsia="Times New Roman"/>
        </w:rPr>
        <w:t>Romzek</w:t>
      </w:r>
      <w:proofErr w:type="spellEnd"/>
      <w:r>
        <w:rPr>
          <w:rFonts w:eastAsia="Times New Roman"/>
        </w:rPr>
        <w:t xml:space="preserve"> &amp; Johnston, 2002).</w:t>
      </w:r>
    </w:p>
    <w:p w:rsidR="004C3798" w:rsidRDefault="00DA54E2">
      <w:pPr>
        <w:pStyle w:val="2"/>
      </w:pPr>
      <w:r>
        <w:t xml:space="preserve">How </w:t>
      </w:r>
      <w:r>
        <w:t>the Mechanism Gaps Map onto the Theoretical Questions</w:t>
      </w:r>
    </w:p>
    <w:p w:rsidR="004C3798" w:rsidRDefault="00DA54E2">
      <w:pPr>
        <w:spacing w:after="120" w:line="360" w:lineRule="auto"/>
        <w:jc w:val="both"/>
      </w:pPr>
      <w:r>
        <w:rPr>
          <w:rFonts w:eastAsia="Times New Roman"/>
        </w:rPr>
        <w:t>The three mechanism gaps above map onto the two theoretical questions as follows. Mechanism Gap 1 (the illusion of human-in-the-loop) and Mechanism Gap 2 (technological lock-in) point directly to the qu</w:t>
      </w:r>
      <w:r>
        <w:rPr>
          <w:rFonts w:eastAsia="Times New Roman"/>
        </w:rPr>
        <w:t xml:space="preserve">estion of “Withdrawal Power”: once human oversight retains only formal significance and infrastructure is highly locked in, government must possess the institutional capacity to refuse or withdraw, or else the locus of responsibility will remain separated </w:t>
      </w:r>
      <w:r>
        <w:rPr>
          <w:rFonts w:eastAsia="Times New Roman"/>
        </w:rPr>
        <w:t xml:space="preserve">from the locus of control indefinitely. Mechanism Gap 3 (contractual incompleteness) bears on both questions at once: it explains why contractual tools struggle to guarantee “Minimum Substantive Control Capacity” (MSCC), and it also explains why, when the </w:t>
      </w:r>
      <w:r>
        <w:rPr>
          <w:rFonts w:eastAsia="Times New Roman"/>
        </w:rPr>
        <w:t xml:space="preserve">control </w:t>
      </w:r>
      <w:r>
        <w:rPr>
          <w:rFonts w:eastAsia="Times New Roman"/>
        </w:rPr>
        <w:lastRenderedPageBreak/>
        <w:t>condition cannot be obtained, a withdrawal mechanism must exist as a backstop. In short, the three mechanism gaps together support the diagnosis of why existing repair mechanisms are insufficient, and separately supply the empirical and normative p</w:t>
      </w:r>
      <w:r>
        <w:rPr>
          <w:rFonts w:eastAsia="Times New Roman"/>
        </w:rPr>
        <w:t>roblem awareness underlying the two theoretical questions of MSCC and Withdrawal Power.</w:t>
      </w:r>
    </w:p>
    <w:p w:rsidR="004C3798" w:rsidRDefault="00DA54E2">
      <w:pPr>
        <w:spacing w:after="120" w:line="360" w:lineRule="auto"/>
        <w:jc w:val="both"/>
      </w:pPr>
      <w:r>
        <w:rPr>
          <w:rFonts w:eastAsia="Times New Roman"/>
        </w:rPr>
        <w:t>This paper’s literature review and paradigm stress test therefore do not directly propose a new governance model; instead, they precisely locate two theoretical questio</w:t>
      </w:r>
      <w:r>
        <w:rPr>
          <w:rFonts w:eastAsia="Times New Roman"/>
        </w:rPr>
        <w:t>ns that existing theory cannot absorb and that are forced open by that failure:</w:t>
      </w:r>
    </w:p>
    <w:p w:rsidR="004C3798" w:rsidRDefault="00DA54E2">
      <w:pPr>
        <w:pStyle w:val="a4"/>
        <w:numPr>
          <w:ilvl w:val="0"/>
          <w:numId w:val="5"/>
        </w:numPr>
        <w:spacing w:after="80" w:line="360" w:lineRule="auto"/>
      </w:pPr>
      <w:r>
        <w:rPr>
          <w:rFonts w:eastAsia="Times New Roman"/>
          <w:b/>
          <w:bCs/>
        </w:rPr>
        <w:t>Minimum Substantive Control Capacity (MSCC):</w:t>
      </w:r>
      <w:r>
        <w:rPr>
          <w:rFonts w:eastAsia="Times New Roman"/>
        </w:rPr>
        <w:t xml:space="preserve"> What minimum level of substantive control capacity must government possess before AI is qualified to be placed within the operation</w:t>
      </w:r>
      <w:r>
        <w:rPr>
          <w:rFonts w:eastAsia="Times New Roman"/>
        </w:rPr>
        <w:t xml:space="preserve"> of public power?</w:t>
      </w:r>
    </w:p>
    <w:p w:rsidR="004C3798" w:rsidRDefault="00DA54E2">
      <w:pPr>
        <w:pStyle w:val="a4"/>
        <w:numPr>
          <w:ilvl w:val="0"/>
          <w:numId w:val="5"/>
        </w:numPr>
        <w:spacing w:after="120" w:line="360" w:lineRule="auto"/>
      </w:pPr>
      <w:r>
        <w:rPr>
          <w:rFonts w:eastAsia="Times New Roman"/>
          <w:b/>
          <w:bCs/>
        </w:rPr>
        <w:t>Withdrawal Power:</w:t>
      </w:r>
      <w:r>
        <w:rPr>
          <w:rFonts w:eastAsia="Times New Roman"/>
        </w:rPr>
        <w:t xml:space="preserve"> When this minimum control condition cannot be obtained, what institutional capacity must government possess </w:t>
      </w:r>
      <w:proofErr w:type="gramStart"/>
      <w:r>
        <w:rPr>
          <w:rFonts w:eastAsia="Times New Roman"/>
        </w:rPr>
        <w:t>in order to</w:t>
      </w:r>
      <w:proofErr w:type="gramEnd"/>
      <w:r>
        <w:rPr>
          <w:rFonts w:eastAsia="Times New Roman"/>
        </w:rPr>
        <w:t xml:space="preserve"> refuse, halt, or withdraw from its dependence on a system that cannot be adequately controlled?</w:t>
      </w:r>
    </w:p>
    <w:p w:rsidR="004C3798" w:rsidRDefault="00DA54E2">
      <w:pPr>
        <w:spacing w:after="120" w:line="360" w:lineRule="auto"/>
        <w:jc w:val="both"/>
      </w:pPr>
      <w:r>
        <w:rPr>
          <w:rFonts w:eastAsia="Times New Roman"/>
        </w:rPr>
        <w:t>These two questions are the starting point for future theory-building, not answers this paper has already completed.</w:t>
      </w:r>
    </w:p>
    <w:p w:rsidR="004C3798" w:rsidRDefault="00DA54E2">
      <w:pPr>
        <w:pStyle w:val="1"/>
      </w:pPr>
      <w:r>
        <w:t>8. Conclusion</w:t>
      </w:r>
    </w:p>
    <w:p w:rsidR="004C3798" w:rsidRDefault="00DA54E2">
      <w:pPr>
        <w:spacing w:after="120" w:line="360" w:lineRule="auto"/>
        <w:jc w:val="both"/>
      </w:pPr>
      <w:r>
        <w:rPr>
          <w:rFonts w:eastAsia="Times New Roman"/>
        </w:rPr>
        <w:t>This paper has completed a review of the paradigm literature on how public administration has historically absorbed technolog</w:t>
      </w:r>
      <w:r>
        <w:rPr>
          <w:rFonts w:eastAsia="Times New Roman"/>
        </w:rPr>
        <w:t>ical change, and has conducted a stress test using a unified standard. The conclusion is that existing theory, confronted with the “structural separation between the locus of responsibility and the locus of control,” can offer only mechanisms of partial re</w:t>
      </w:r>
      <w:r>
        <w:rPr>
          <w:rFonts w:eastAsia="Times New Roman"/>
        </w:rPr>
        <w:t>pair, without clarifying the threshold at which substantive control counts as restored—thereby producing a theoretical gap.</w:t>
      </w:r>
    </w:p>
    <w:p w:rsidR="004C3798" w:rsidRDefault="00DA54E2">
      <w:pPr>
        <w:spacing w:after="120" w:line="360" w:lineRule="auto"/>
        <w:jc w:val="both"/>
      </w:pPr>
      <w:r>
        <w:rPr>
          <w:rFonts w:eastAsia="Times New Roman"/>
        </w:rPr>
        <w:t>This paper’s theoretical chain therefore remains clean:</w:t>
      </w:r>
    </w:p>
    <w:p w:rsidR="004C3798" w:rsidRDefault="00DA54E2">
      <w:pPr>
        <w:spacing w:after="120" w:line="360" w:lineRule="auto"/>
        <w:jc w:val="both"/>
      </w:pPr>
      <w:r>
        <w:rPr>
          <w:rFonts w:eastAsia="Times New Roman"/>
          <w:b/>
          <w:bCs/>
        </w:rPr>
        <w:t>How public administration handles technology → how existing theory maintains</w:t>
      </w:r>
      <w:r>
        <w:rPr>
          <w:rFonts w:eastAsia="Times New Roman"/>
          <w:b/>
          <w:bCs/>
        </w:rPr>
        <w:t xml:space="preserve"> control → algorithmic infrastructure separates the locus of responsibility from the locus of control → existing governance mechanisms achieve only partial repair → the unabsorbed anomaly → the theoretical gap</w:t>
      </w:r>
    </w:p>
    <w:p w:rsidR="004C3798" w:rsidRDefault="00DA54E2">
      <w:pPr>
        <w:spacing w:after="120" w:line="360" w:lineRule="auto"/>
        <w:jc w:val="both"/>
      </w:pPr>
      <w:r>
        <w:rPr>
          <w:rFonts w:eastAsia="Times New Roman"/>
        </w:rPr>
        <w:t xml:space="preserve">Only once it has been shown that existing </w:t>
      </w:r>
      <w:r>
        <w:rPr>
          <w:rFonts w:eastAsia="Times New Roman"/>
        </w:rPr>
        <w:t>theory truly cannot handle the problem does a new theoretical response acquire legitimacy. This paper locates the anomaly and the gap; future research will separately take up the theoretical construction of MSCC and Withdrawal Power.</w:t>
      </w:r>
    </w:p>
    <w:p w:rsidR="004C3798" w:rsidRDefault="00DA54E2">
      <w:pPr>
        <w:pStyle w:val="1"/>
      </w:pPr>
      <w:r>
        <w:lastRenderedPageBreak/>
        <w:t>References</w:t>
      </w:r>
    </w:p>
    <w:p w:rsidR="004C3798" w:rsidRDefault="00DA54E2">
      <w:pPr>
        <w:spacing w:after="120" w:line="360" w:lineRule="auto"/>
        <w:jc w:val="both"/>
      </w:pPr>
      <w:r>
        <w:rPr>
          <w:rFonts w:eastAsia="Times New Roman"/>
          <w:b/>
          <w:bCs/>
        </w:rPr>
        <w:t>Classical P</w:t>
      </w:r>
      <w:r>
        <w:rPr>
          <w:rFonts w:eastAsia="Times New Roman"/>
          <w:b/>
          <w:bCs/>
        </w:rPr>
        <w:t>ublic Administration</w:t>
      </w:r>
    </w:p>
    <w:p w:rsidR="004C3798" w:rsidRDefault="00DA54E2">
      <w:pPr>
        <w:spacing w:after="120" w:line="360" w:lineRule="auto"/>
        <w:jc w:val="both"/>
      </w:pPr>
      <w:r>
        <w:rPr>
          <w:rFonts w:eastAsia="Times New Roman"/>
        </w:rPr>
        <w:t xml:space="preserve">Gulick, L. (1937). Notes on the theory of organization. In L. Gulick &amp; L. </w:t>
      </w:r>
      <w:proofErr w:type="spellStart"/>
      <w:r>
        <w:rPr>
          <w:rFonts w:eastAsia="Times New Roman"/>
        </w:rPr>
        <w:t>Urwick</w:t>
      </w:r>
      <w:proofErr w:type="spellEnd"/>
      <w:r>
        <w:rPr>
          <w:rFonts w:eastAsia="Times New Roman"/>
        </w:rPr>
        <w:t xml:space="preserve"> (Eds.), Papers on the science of administration (pp. 1–45). Institute of Public Administration.</w:t>
      </w:r>
    </w:p>
    <w:p w:rsidR="004C3798" w:rsidRDefault="00DA54E2">
      <w:pPr>
        <w:spacing w:after="120" w:line="360" w:lineRule="auto"/>
        <w:jc w:val="both"/>
      </w:pPr>
      <w:r>
        <w:rPr>
          <w:rFonts w:eastAsia="Times New Roman"/>
        </w:rPr>
        <w:t>Lipsky, M. (1980). Street-level bureaucracy: Dilemmas of t</w:t>
      </w:r>
      <w:r>
        <w:rPr>
          <w:rFonts w:eastAsia="Times New Roman"/>
        </w:rPr>
        <w:t>he individual in public services. Russell Sage Foundation.</w:t>
      </w:r>
    </w:p>
    <w:p w:rsidR="004C3798" w:rsidRDefault="00DA54E2">
      <w:pPr>
        <w:spacing w:after="120" w:line="360" w:lineRule="auto"/>
        <w:jc w:val="both"/>
      </w:pPr>
      <w:r>
        <w:rPr>
          <w:rFonts w:eastAsia="Times New Roman"/>
        </w:rPr>
        <w:t>Simon, H. A. (1997). Administrative behavior: A study of decision-making processes in administrative organizations (4th ed.). Free Press. (Original work published 1947)</w:t>
      </w:r>
    </w:p>
    <w:p w:rsidR="004C3798" w:rsidRDefault="00DA54E2">
      <w:pPr>
        <w:spacing w:after="120" w:line="360" w:lineRule="auto"/>
        <w:jc w:val="both"/>
      </w:pPr>
      <w:r>
        <w:rPr>
          <w:rFonts w:eastAsia="Times New Roman"/>
        </w:rPr>
        <w:t>Waldo, D. (1948). The admini</w:t>
      </w:r>
      <w:r>
        <w:rPr>
          <w:rFonts w:eastAsia="Times New Roman"/>
        </w:rPr>
        <w:t>strative state: A study of the political theory of American public administration. Ronald Press.</w:t>
      </w:r>
    </w:p>
    <w:p w:rsidR="004C3798" w:rsidRDefault="00DA54E2">
      <w:pPr>
        <w:spacing w:after="120" w:line="360" w:lineRule="auto"/>
        <w:jc w:val="both"/>
      </w:pPr>
      <w:r>
        <w:rPr>
          <w:rFonts w:eastAsia="Times New Roman"/>
        </w:rPr>
        <w:t>Weber, M. (1978). Economy and society: An outline of interpretive sociology. University of California Press.</w:t>
      </w:r>
    </w:p>
    <w:p w:rsidR="004C3798" w:rsidRDefault="00DA54E2">
      <w:pPr>
        <w:spacing w:after="120" w:line="360" w:lineRule="auto"/>
        <w:jc w:val="both"/>
      </w:pPr>
      <w:r>
        <w:rPr>
          <w:rFonts w:eastAsia="Times New Roman"/>
        </w:rPr>
        <w:t>Wilson, W. (1887). The study of administration. Po</w:t>
      </w:r>
      <w:r>
        <w:rPr>
          <w:rFonts w:eastAsia="Times New Roman"/>
        </w:rPr>
        <w:t>litical Science Quarterly, 2(2), 197–222.</w:t>
      </w:r>
    </w:p>
    <w:p w:rsidR="004C3798" w:rsidRDefault="00DA54E2">
      <w:pPr>
        <w:spacing w:after="120" w:line="360" w:lineRule="auto"/>
        <w:jc w:val="both"/>
      </w:pPr>
      <w:r>
        <w:rPr>
          <w:rFonts w:eastAsia="Times New Roman"/>
          <w:b/>
          <w:bCs/>
        </w:rPr>
        <w:t>NPM, Outsourcing, and Control</w:t>
      </w:r>
    </w:p>
    <w:p w:rsidR="004C3798" w:rsidRDefault="00DA54E2">
      <w:pPr>
        <w:spacing w:after="120" w:line="360" w:lineRule="auto"/>
        <w:jc w:val="both"/>
      </w:pPr>
      <w:proofErr w:type="spellStart"/>
      <w:r>
        <w:rPr>
          <w:rFonts w:eastAsia="Times New Roman"/>
        </w:rPr>
        <w:t>Bovens</w:t>
      </w:r>
      <w:proofErr w:type="spellEnd"/>
      <w:r>
        <w:rPr>
          <w:rFonts w:eastAsia="Times New Roman"/>
        </w:rPr>
        <w:t xml:space="preserve">, M. (2007). </w:t>
      </w:r>
      <w:proofErr w:type="spellStart"/>
      <w:r>
        <w:rPr>
          <w:rFonts w:eastAsia="Times New Roman"/>
        </w:rPr>
        <w:t>Analysing</w:t>
      </w:r>
      <w:proofErr w:type="spellEnd"/>
      <w:r>
        <w:rPr>
          <w:rFonts w:eastAsia="Times New Roman"/>
        </w:rPr>
        <w:t xml:space="preserve"> and assessing accountability: A conceptual framework. European Law Journal, 13(4), 447–468.</w:t>
      </w:r>
    </w:p>
    <w:p w:rsidR="004C3798" w:rsidRDefault="00DA54E2">
      <w:pPr>
        <w:spacing w:after="120" w:line="360" w:lineRule="auto"/>
        <w:jc w:val="both"/>
      </w:pPr>
      <w:r>
        <w:rPr>
          <w:rFonts w:eastAsia="Times New Roman"/>
        </w:rPr>
        <w:t>Hood, C. (1991). A public management for all seasons? Public Ad</w:t>
      </w:r>
      <w:r>
        <w:rPr>
          <w:rFonts w:eastAsia="Times New Roman"/>
        </w:rPr>
        <w:t>ministration, 69(1), 3–19.</w:t>
      </w:r>
    </w:p>
    <w:p w:rsidR="004C3798" w:rsidRDefault="00DA54E2">
      <w:pPr>
        <w:spacing w:after="120" w:line="360" w:lineRule="auto"/>
        <w:jc w:val="both"/>
      </w:pPr>
      <w:r>
        <w:rPr>
          <w:rFonts w:eastAsia="Times New Roman"/>
        </w:rPr>
        <w:t>Hood, C. (1995). The “new public management” in the 1980s: Variations on a theme. Accounting, Organizations and Society, 20(2–3), 93–109.</w:t>
      </w:r>
    </w:p>
    <w:p w:rsidR="004C3798" w:rsidRDefault="00DA54E2">
      <w:pPr>
        <w:spacing w:after="120" w:line="360" w:lineRule="auto"/>
        <w:jc w:val="both"/>
      </w:pPr>
      <w:proofErr w:type="spellStart"/>
      <w:r>
        <w:rPr>
          <w:rFonts w:eastAsia="Times New Roman"/>
        </w:rPr>
        <w:t>Kettl</w:t>
      </w:r>
      <w:proofErr w:type="spellEnd"/>
      <w:r>
        <w:rPr>
          <w:rFonts w:eastAsia="Times New Roman"/>
        </w:rPr>
        <w:t>, D. F. (1993). Sharing power: Public governance and private markets. Brookings Instit</w:t>
      </w:r>
      <w:r>
        <w:rPr>
          <w:rFonts w:eastAsia="Times New Roman"/>
        </w:rPr>
        <w:t>ution.</w:t>
      </w:r>
    </w:p>
    <w:p w:rsidR="004C3798" w:rsidRDefault="00DA54E2">
      <w:pPr>
        <w:spacing w:after="120" w:line="360" w:lineRule="auto"/>
        <w:jc w:val="both"/>
      </w:pPr>
      <w:proofErr w:type="spellStart"/>
      <w:r>
        <w:rPr>
          <w:rFonts w:eastAsia="Times New Roman"/>
        </w:rPr>
        <w:t>Kettl</w:t>
      </w:r>
      <w:proofErr w:type="spellEnd"/>
      <w:r>
        <w:rPr>
          <w:rFonts w:eastAsia="Times New Roman"/>
        </w:rPr>
        <w:t>, D. F. (2002). The transformation of governance: Public administration for twenty-first century America. Johns Hopkins University Press.</w:t>
      </w:r>
    </w:p>
    <w:p w:rsidR="004C3798" w:rsidRDefault="00DA54E2">
      <w:pPr>
        <w:spacing w:after="120" w:line="360" w:lineRule="auto"/>
        <w:jc w:val="both"/>
      </w:pPr>
      <w:proofErr w:type="spellStart"/>
      <w:r>
        <w:rPr>
          <w:rFonts w:eastAsia="Times New Roman"/>
        </w:rPr>
        <w:t>Koppell</w:t>
      </w:r>
      <w:proofErr w:type="spellEnd"/>
      <w:r>
        <w:rPr>
          <w:rFonts w:eastAsia="Times New Roman"/>
        </w:rPr>
        <w:t>, J. G. S. (2005). Pathologies of accountability: ICANN and the challenge of “multiple accountabili</w:t>
      </w:r>
      <w:r>
        <w:rPr>
          <w:rFonts w:eastAsia="Times New Roman"/>
        </w:rPr>
        <w:t>ties disorder.” Public Administration Review, 65(1), 94–108.</w:t>
      </w:r>
    </w:p>
    <w:p w:rsidR="004C3798" w:rsidRDefault="00DA54E2">
      <w:pPr>
        <w:spacing w:after="120" w:line="360" w:lineRule="auto"/>
        <w:jc w:val="both"/>
      </w:pPr>
      <w:r>
        <w:rPr>
          <w:rFonts w:eastAsia="Times New Roman"/>
        </w:rPr>
        <w:t xml:space="preserve">Milward, H. B., &amp; </w:t>
      </w:r>
      <w:proofErr w:type="spellStart"/>
      <w:r>
        <w:rPr>
          <w:rFonts w:eastAsia="Times New Roman"/>
        </w:rPr>
        <w:t>Provan</w:t>
      </w:r>
      <w:proofErr w:type="spellEnd"/>
      <w:r>
        <w:rPr>
          <w:rFonts w:eastAsia="Times New Roman"/>
        </w:rPr>
        <w:t>, K. G. (2000). Governing the hollow state. Journal of Public Administration Research and Theory, 10(2), 359–380.</w:t>
      </w:r>
    </w:p>
    <w:p w:rsidR="004C3798" w:rsidRDefault="00DA54E2">
      <w:pPr>
        <w:spacing w:after="120" w:line="360" w:lineRule="auto"/>
        <w:jc w:val="both"/>
      </w:pPr>
      <w:r>
        <w:rPr>
          <w:rFonts w:eastAsia="Times New Roman"/>
        </w:rPr>
        <w:t xml:space="preserve">Osborne, D., &amp; </w:t>
      </w:r>
      <w:proofErr w:type="spellStart"/>
      <w:r>
        <w:rPr>
          <w:rFonts w:eastAsia="Times New Roman"/>
        </w:rPr>
        <w:t>Gaebler</w:t>
      </w:r>
      <w:proofErr w:type="spellEnd"/>
      <w:r>
        <w:rPr>
          <w:rFonts w:eastAsia="Times New Roman"/>
        </w:rPr>
        <w:t>, T. (1992). Reinventing government</w:t>
      </w:r>
      <w:r>
        <w:rPr>
          <w:rFonts w:eastAsia="Times New Roman"/>
        </w:rPr>
        <w:t>. Addison-Wesley.</w:t>
      </w:r>
    </w:p>
    <w:p w:rsidR="004C3798" w:rsidRDefault="00DA54E2">
      <w:pPr>
        <w:spacing w:after="120" w:line="360" w:lineRule="auto"/>
        <w:jc w:val="both"/>
      </w:pPr>
      <w:r>
        <w:rPr>
          <w:rFonts w:eastAsia="Times New Roman"/>
        </w:rPr>
        <w:t>Pierre, J., &amp; Peters, B. G. (2000). Governance, politics and the state. Macmillan.</w:t>
      </w:r>
    </w:p>
    <w:p w:rsidR="004C3798" w:rsidRDefault="00DA54E2">
      <w:pPr>
        <w:spacing w:after="120" w:line="360" w:lineRule="auto"/>
        <w:jc w:val="both"/>
      </w:pPr>
      <w:r>
        <w:rPr>
          <w:rFonts w:eastAsia="Times New Roman"/>
        </w:rPr>
        <w:lastRenderedPageBreak/>
        <w:t xml:space="preserve">Pollitt, C., &amp; </w:t>
      </w:r>
      <w:proofErr w:type="spellStart"/>
      <w:r>
        <w:rPr>
          <w:rFonts w:eastAsia="Times New Roman"/>
        </w:rPr>
        <w:t>Bouckaert</w:t>
      </w:r>
      <w:proofErr w:type="spellEnd"/>
      <w:r>
        <w:rPr>
          <w:rFonts w:eastAsia="Times New Roman"/>
        </w:rPr>
        <w:t>, G. (2017). Public management reform: A comparative analysis (4th ed.). Oxford University Press.</w:t>
      </w:r>
    </w:p>
    <w:p w:rsidR="004C3798" w:rsidRDefault="00DA54E2">
      <w:pPr>
        <w:spacing w:after="120" w:line="360" w:lineRule="auto"/>
        <w:jc w:val="both"/>
      </w:pPr>
      <w:r>
        <w:rPr>
          <w:rFonts w:eastAsia="Times New Roman"/>
        </w:rPr>
        <w:t xml:space="preserve">Rhodes, R. A. W. (1996). The new </w:t>
      </w:r>
      <w:r>
        <w:rPr>
          <w:rFonts w:eastAsia="Times New Roman"/>
        </w:rPr>
        <w:t>governance: Governing without government. Political Studies, 44(4), 652–667.</w:t>
      </w:r>
    </w:p>
    <w:p w:rsidR="004C3798" w:rsidRDefault="00DA54E2">
      <w:pPr>
        <w:spacing w:after="120" w:line="360" w:lineRule="auto"/>
        <w:jc w:val="both"/>
      </w:pPr>
      <w:proofErr w:type="spellStart"/>
      <w:r>
        <w:rPr>
          <w:rFonts w:eastAsia="Times New Roman"/>
        </w:rPr>
        <w:t>Romzek</w:t>
      </w:r>
      <w:proofErr w:type="spellEnd"/>
      <w:r>
        <w:rPr>
          <w:rFonts w:eastAsia="Times New Roman"/>
        </w:rPr>
        <w:t>, B. S., &amp; Johnston, J. M. (2002). Effective contract implementation and management: A preliminary model. Journal of Public Administration Research and Theory, 12(3), 423–453.</w:t>
      </w:r>
    </w:p>
    <w:p w:rsidR="004C3798" w:rsidRDefault="00DA54E2">
      <w:pPr>
        <w:spacing w:after="120" w:line="360" w:lineRule="auto"/>
        <w:jc w:val="both"/>
      </w:pPr>
      <w:r>
        <w:rPr>
          <w:rFonts w:eastAsia="Times New Roman"/>
          <w:b/>
          <w:bCs/>
        </w:rPr>
        <w:t>DEG and Digital Government</w:t>
      </w:r>
    </w:p>
    <w:p w:rsidR="004C3798" w:rsidRDefault="00DA54E2">
      <w:pPr>
        <w:spacing w:after="120" w:line="360" w:lineRule="auto"/>
        <w:jc w:val="both"/>
      </w:pPr>
      <w:r>
        <w:rPr>
          <w:rFonts w:eastAsia="Times New Roman"/>
        </w:rPr>
        <w:t>Bannister, F., &amp; Connolly, R. (2014). ICT, publ</w:t>
      </w:r>
      <w:r>
        <w:rPr>
          <w:rFonts w:eastAsia="Times New Roman"/>
        </w:rPr>
        <w:t xml:space="preserve">ic values and transformative government: A framework and </w:t>
      </w:r>
      <w:proofErr w:type="spellStart"/>
      <w:r>
        <w:rPr>
          <w:rFonts w:eastAsia="Times New Roman"/>
        </w:rPr>
        <w:t>programme</w:t>
      </w:r>
      <w:proofErr w:type="spellEnd"/>
      <w:r>
        <w:rPr>
          <w:rFonts w:eastAsia="Times New Roman"/>
        </w:rPr>
        <w:t xml:space="preserve"> for research. Government Information Quarterly, 31(1), 119–128.</w:t>
      </w:r>
    </w:p>
    <w:p w:rsidR="004C3798" w:rsidRDefault="00DA54E2">
      <w:pPr>
        <w:spacing w:after="120" w:line="360" w:lineRule="auto"/>
        <w:jc w:val="both"/>
      </w:pPr>
      <w:r>
        <w:rPr>
          <w:rFonts w:eastAsia="Times New Roman"/>
        </w:rPr>
        <w:t>Dunleavy, P., &amp; Margetts, H. (2015). Design principles for essentially digital governance. In D. Levi-</w:t>
      </w:r>
      <w:proofErr w:type="spellStart"/>
      <w:r>
        <w:rPr>
          <w:rFonts w:eastAsia="Times New Roman"/>
        </w:rPr>
        <w:t>Faur</w:t>
      </w:r>
      <w:proofErr w:type="spellEnd"/>
      <w:r>
        <w:rPr>
          <w:rFonts w:eastAsia="Times New Roman"/>
        </w:rPr>
        <w:t xml:space="preserve"> (Ed.), The Oxford </w:t>
      </w:r>
      <w:r>
        <w:rPr>
          <w:rFonts w:eastAsia="Times New Roman"/>
        </w:rPr>
        <w:t>handbook of governance (pp. 682–698). Oxford University Press.</w:t>
      </w:r>
    </w:p>
    <w:p w:rsidR="004C3798" w:rsidRDefault="00DA54E2">
      <w:pPr>
        <w:spacing w:after="120" w:line="360" w:lineRule="auto"/>
        <w:jc w:val="both"/>
      </w:pPr>
      <w:r>
        <w:rPr>
          <w:rFonts w:eastAsia="Times New Roman"/>
        </w:rPr>
        <w:t xml:space="preserve">Dunleavy, P., Margetts, H., </w:t>
      </w:r>
      <w:proofErr w:type="spellStart"/>
      <w:r>
        <w:rPr>
          <w:rFonts w:eastAsia="Times New Roman"/>
        </w:rPr>
        <w:t>Bastow</w:t>
      </w:r>
      <w:proofErr w:type="spellEnd"/>
      <w:r>
        <w:rPr>
          <w:rFonts w:eastAsia="Times New Roman"/>
        </w:rPr>
        <w:t xml:space="preserve">, S., &amp; </w:t>
      </w:r>
      <w:proofErr w:type="spellStart"/>
      <w:r>
        <w:rPr>
          <w:rFonts w:eastAsia="Times New Roman"/>
        </w:rPr>
        <w:t>Tinkler</w:t>
      </w:r>
      <w:proofErr w:type="spellEnd"/>
      <w:r>
        <w:rPr>
          <w:rFonts w:eastAsia="Times New Roman"/>
        </w:rPr>
        <w:t>, J. (2006). Digital era governance: IT corporations, the state, and e-government. Oxford University Press.</w:t>
      </w:r>
    </w:p>
    <w:p w:rsidR="004C3798" w:rsidRDefault="00DA54E2">
      <w:pPr>
        <w:spacing w:after="120" w:line="360" w:lineRule="auto"/>
        <w:jc w:val="both"/>
      </w:pPr>
      <w:r>
        <w:rPr>
          <w:rFonts w:eastAsia="Times New Roman"/>
        </w:rPr>
        <w:t>Fountain, J. E. (2001). Building the</w:t>
      </w:r>
      <w:r>
        <w:rPr>
          <w:rFonts w:eastAsia="Times New Roman"/>
        </w:rPr>
        <w:t xml:space="preserve"> virtual state: Information technology and institutional change. Brookings Institution Press.</w:t>
      </w:r>
    </w:p>
    <w:p w:rsidR="004C3798" w:rsidRDefault="00DA54E2">
      <w:pPr>
        <w:spacing w:after="120" w:line="360" w:lineRule="auto"/>
        <w:jc w:val="both"/>
      </w:pPr>
      <w:r>
        <w:rPr>
          <w:rFonts w:eastAsia="Times New Roman"/>
        </w:rPr>
        <w:t>Gil-Garcia, J. R., Dawes, S. S., &amp; Pardo, T. A. (2018). Digital government and public management research: Finding the crossroads. Public Management Review, 20(5)</w:t>
      </w:r>
      <w:r>
        <w:rPr>
          <w:rFonts w:eastAsia="Times New Roman"/>
        </w:rPr>
        <w:t>, 633–646.</w:t>
      </w:r>
    </w:p>
    <w:p w:rsidR="004C3798" w:rsidRDefault="00DA54E2">
      <w:pPr>
        <w:spacing w:after="120" w:line="360" w:lineRule="auto"/>
        <w:jc w:val="both"/>
      </w:pPr>
      <w:r>
        <w:rPr>
          <w:rFonts w:eastAsia="Times New Roman"/>
        </w:rPr>
        <w:t>Margetts, H., &amp; Dunleavy, P. (2013). The second wave of digital-era governance: A quasi-paradigm for government on the Web. Philosophical Transactions of the Royal Society A, 371(1987), 20120382.</w:t>
      </w:r>
    </w:p>
    <w:p w:rsidR="004C3798" w:rsidRDefault="00DA54E2">
      <w:pPr>
        <w:spacing w:after="120" w:line="360" w:lineRule="auto"/>
        <w:jc w:val="both"/>
      </w:pPr>
      <w:r>
        <w:rPr>
          <w:rFonts w:eastAsia="Times New Roman"/>
          <w:b/>
          <w:bCs/>
        </w:rPr>
        <w:t>Algorithmic Governance / Accountability</w:t>
      </w:r>
    </w:p>
    <w:p w:rsidR="004C3798" w:rsidRDefault="00DA54E2">
      <w:pPr>
        <w:spacing w:after="120" w:line="360" w:lineRule="auto"/>
        <w:jc w:val="both"/>
      </w:pPr>
      <w:proofErr w:type="spellStart"/>
      <w:r>
        <w:rPr>
          <w:rFonts w:eastAsia="Times New Roman"/>
        </w:rPr>
        <w:t>Ananny</w:t>
      </w:r>
      <w:proofErr w:type="spellEnd"/>
      <w:r>
        <w:rPr>
          <w:rFonts w:eastAsia="Times New Roman"/>
        </w:rPr>
        <w:t>, M</w:t>
      </w:r>
      <w:r>
        <w:rPr>
          <w:rFonts w:eastAsia="Times New Roman"/>
        </w:rPr>
        <w:t>., &amp; Crawford, K. (2018). Seeing without knowing: Limitations of the transparency ideal and its application to algorithmic accountability. New Media &amp; Society, 20(3), 973–989.</w:t>
      </w:r>
    </w:p>
    <w:p w:rsidR="004C3798" w:rsidRDefault="00DA54E2">
      <w:pPr>
        <w:spacing w:after="120" w:line="360" w:lineRule="auto"/>
        <w:jc w:val="both"/>
      </w:pPr>
      <w:r>
        <w:rPr>
          <w:rFonts w:eastAsia="Times New Roman"/>
        </w:rPr>
        <w:t>Bullock, J. B. (2019). Artificial intelligence, discretion, and bureaucracy. The</w:t>
      </w:r>
      <w:r>
        <w:rPr>
          <w:rFonts w:eastAsia="Times New Roman"/>
        </w:rPr>
        <w:t xml:space="preserve"> American Review of Public Administration, 49(7), 751–761.</w:t>
      </w:r>
    </w:p>
    <w:p w:rsidR="004C3798" w:rsidRDefault="00DA54E2">
      <w:pPr>
        <w:spacing w:after="120" w:line="360" w:lineRule="auto"/>
        <w:jc w:val="both"/>
      </w:pPr>
      <w:r>
        <w:rPr>
          <w:rFonts w:eastAsia="Times New Roman"/>
        </w:rPr>
        <w:t>Busch, P. A., &amp; Henriksen, H. Z. (2018). Digital discretion: A systematic literature review of ICT and street-level discretion. Information Polity, 23(1), 3–28.</w:t>
      </w:r>
    </w:p>
    <w:p w:rsidR="004C3798" w:rsidRDefault="00DA54E2">
      <w:pPr>
        <w:spacing w:after="120" w:line="360" w:lineRule="auto"/>
        <w:jc w:val="both"/>
      </w:pPr>
      <w:r>
        <w:rPr>
          <w:rFonts w:eastAsia="Times New Roman"/>
        </w:rPr>
        <w:t xml:space="preserve">Citron, D. K. (2008). Technological </w:t>
      </w:r>
      <w:r>
        <w:rPr>
          <w:rFonts w:eastAsia="Times New Roman"/>
        </w:rPr>
        <w:t xml:space="preserve">due process. Washington University Law Review, 85(6), </w:t>
      </w:r>
      <w:r>
        <w:rPr>
          <w:rFonts w:eastAsia="Times New Roman"/>
        </w:rPr>
        <w:lastRenderedPageBreak/>
        <w:t>1249–1313.</w:t>
      </w:r>
    </w:p>
    <w:p w:rsidR="004C3798" w:rsidRDefault="00DA54E2">
      <w:pPr>
        <w:spacing w:after="120" w:line="360" w:lineRule="auto"/>
        <w:jc w:val="both"/>
      </w:pPr>
      <w:proofErr w:type="spellStart"/>
      <w:r>
        <w:rPr>
          <w:rFonts w:eastAsia="Times New Roman"/>
        </w:rPr>
        <w:t>Coglianese</w:t>
      </w:r>
      <w:proofErr w:type="spellEnd"/>
      <w:r>
        <w:rPr>
          <w:rFonts w:eastAsia="Times New Roman"/>
        </w:rPr>
        <w:t>, C., &amp; Lehr, D. (2017). Regulating by robot: Administrative decision making in the machine-learning era. Georgetown Law Journal, 105, 1147–1223.</w:t>
      </w:r>
    </w:p>
    <w:p w:rsidR="004C3798" w:rsidRDefault="00DA54E2">
      <w:pPr>
        <w:spacing w:after="120" w:line="360" w:lineRule="auto"/>
        <w:jc w:val="both"/>
      </w:pPr>
      <w:r>
        <w:rPr>
          <w:rFonts w:eastAsia="Times New Roman"/>
        </w:rPr>
        <w:t xml:space="preserve">Danaher, J., Hogan, M. J., </w:t>
      </w:r>
      <w:proofErr w:type="spellStart"/>
      <w:r>
        <w:rPr>
          <w:rFonts w:eastAsia="Times New Roman"/>
        </w:rPr>
        <w:t>Noone</w:t>
      </w:r>
      <w:proofErr w:type="spellEnd"/>
      <w:r>
        <w:rPr>
          <w:rFonts w:eastAsia="Times New Roman"/>
        </w:rPr>
        <w:t>, C</w:t>
      </w:r>
      <w:r>
        <w:rPr>
          <w:rFonts w:eastAsia="Times New Roman"/>
        </w:rPr>
        <w:t xml:space="preserve">., Kennedy, R., Behan, A., De </w:t>
      </w:r>
      <w:proofErr w:type="spellStart"/>
      <w:r>
        <w:rPr>
          <w:rFonts w:eastAsia="Times New Roman"/>
        </w:rPr>
        <w:t>Paor</w:t>
      </w:r>
      <w:proofErr w:type="spellEnd"/>
      <w:r>
        <w:rPr>
          <w:rFonts w:eastAsia="Times New Roman"/>
        </w:rPr>
        <w:t xml:space="preserve">, A., </w:t>
      </w:r>
      <w:proofErr w:type="spellStart"/>
      <w:r>
        <w:rPr>
          <w:rFonts w:eastAsia="Times New Roman"/>
        </w:rPr>
        <w:t>Felzmann</w:t>
      </w:r>
      <w:proofErr w:type="spellEnd"/>
      <w:r>
        <w:rPr>
          <w:rFonts w:eastAsia="Times New Roman"/>
        </w:rPr>
        <w:t xml:space="preserve">, H., </w:t>
      </w:r>
      <w:proofErr w:type="spellStart"/>
      <w:r>
        <w:rPr>
          <w:rFonts w:eastAsia="Times New Roman"/>
        </w:rPr>
        <w:t>Haklay</w:t>
      </w:r>
      <w:proofErr w:type="spellEnd"/>
      <w:r>
        <w:rPr>
          <w:rFonts w:eastAsia="Times New Roman"/>
        </w:rPr>
        <w:t xml:space="preserve">, M., Khoo, S.-M., Morison, J., Murphy, M. H., </w:t>
      </w:r>
      <w:proofErr w:type="spellStart"/>
      <w:r>
        <w:rPr>
          <w:rFonts w:eastAsia="Times New Roman"/>
        </w:rPr>
        <w:t>O’Brolchain</w:t>
      </w:r>
      <w:proofErr w:type="spellEnd"/>
      <w:r>
        <w:rPr>
          <w:rFonts w:eastAsia="Times New Roman"/>
        </w:rPr>
        <w:t>, N., Schafer, B., &amp; Shankar, K. (2017). Algorithmic governance: Developing a research agenda through the power of collective intelligence</w:t>
      </w:r>
      <w:r>
        <w:rPr>
          <w:rFonts w:eastAsia="Times New Roman"/>
        </w:rPr>
        <w:t>. Big Data &amp; Society, 4(2), 1–21.</w:t>
      </w:r>
    </w:p>
    <w:p w:rsidR="004C3798" w:rsidRDefault="00DA54E2">
      <w:pPr>
        <w:spacing w:after="120" w:line="360" w:lineRule="auto"/>
        <w:jc w:val="both"/>
      </w:pPr>
      <w:proofErr w:type="spellStart"/>
      <w:r>
        <w:rPr>
          <w:rFonts w:eastAsia="Times New Roman"/>
        </w:rPr>
        <w:t>Diakopoulos</w:t>
      </w:r>
      <w:proofErr w:type="spellEnd"/>
      <w:r>
        <w:rPr>
          <w:rFonts w:eastAsia="Times New Roman"/>
        </w:rPr>
        <w:t>, N. (2016). Accountability in algorithmic decision making. Communications of the ACM, 59(2), 56–62.</w:t>
      </w:r>
    </w:p>
    <w:p w:rsidR="004C3798" w:rsidRDefault="00DA54E2">
      <w:pPr>
        <w:spacing w:after="120" w:line="360" w:lineRule="auto"/>
        <w:jc w:val="both"/>
      </w:pPr>
      <w:proofErr w:type="spellStart"/>
      <w:r>
        <w:rPr>
          <w:rFonts w:eastAsia="Times New Roman"/>
        </w:rPr>
        <w:t>Elish</w:t>
      </w:r>
      <w:proofErr w:type="spellEnd"/>
      <w:r>
        <w:rPr>
          <w:rFonts w:eastAsia="Times New Roman"/>
        </w:rPr>
        <w:t>, M. C. (2019). Moral crumple zones: Cautionary tales in human-robot interaction. Engaging Science, Techn</w:t>
      </w:r>
      <w:r>
        <w:rPr>
          <w:rFonts w:eastAsia="Times New Roman"/>
        </w:rPr>
        <w:t>ology, and Society, 5, 40–60.</w:t>
      </w:r>
    </w:p>
    <w:p w:rsidR="004C3798" w:rsidRDefault="00DA54E2">
      <w:pPr>
        <w:spacing w:after="120" w:line="360" w:lineRule="auto"/>
        <w:jc w:val="both"/>
      </w:pPr>
      <w:r>
        <w:rPr>
          <w:rFonts w:eastAsia="Times New Roman"/>
        </w:rPr>
        <w:t xml:space="preserve">Just, N., &amp; </w:t>
      </w:r>
      <w:proofErr w:type="spellStart"/>
      <w:r>
        <w:rPr>
          <w:rFonts w:eastAsia="Times New Roman"/>
        </w:rPr>
        <w:t>Latzer</w:t>
      </w:r>
      <w:proofErr w:type="spellEnd"/>
      <w:r>
        <w:rPr>
          <w:rFonts w:eastAsia="Times New Roman"/>
        </w:rPr>
        <w:t>, M. (2017). Governance by algorithms: Reality construction by algorithmic selection on the Internet. Media, Culture &amp; Society, 39(2), 238–258.</w:t>
      </w:r>
    </w:p>
    <w:p w:rsidR="004C3798" w:rsidRDefault="00DA54E2">
      <w:pPr>
        <w:spacing w:after="120" w:line="360" w:lineRule="auto"/>
        <w:jc w:val="both"/>
      </w:pPr>
      <w:r>
        <w:rPr>
          <w:rFonts w:eastAsia="Times New Roman"/>
        </w:rPr>
        <w:t>Katzenbach, C., &amp; Ulbricht, L. (2019). Algorithmic governance. I</w:t>
      </w:r>
      <w:r>
        <w:rPr>
          <w:rFonts w:eastAsia="Times New Roman"/>
        </w:rPr>
        <w:t>nternet Policy Review, 8(4). https://doi.org/10.14763/2019.4.1424</w:t>
      </w:r>
    </w:p>
    <w:p w:rsidR="004C3798" w:rsidRDefault="00DA54E2">
      <w:pPr>
        <w:spacing w:after="120" w:line="360" w:lineRule="auto"/>
        <w:jc w:val="both"/>
      </w:pPr>
      <w:r>
        <w:rPr>
          <w:rFonts w:eastAsia="Times New Roman"/>
        </w:rPr>
        <w:t xml:space="preserve">Kroll, J. A., Huey, J., </w:t>
      </w:r>
      <w:proofErr w:type="spellStart"/>
      <w:r>
        <w:rPr>
          <w:rFonts w:eastAsia="Times New Roman"/>
        </w:rPr>
        <w:t>Barocas</w:t>
      </w:r>
      <w:proofErr w:type="spellEnd"/>
      <w:r>
        <w:rPr>
          <w:rFonts w:eastAsia="Times New Roman"/>
        </w:rPr>
        <w:t xml:space="preserve">, S., </w:t>
      </w:r>
      <w:proofErr w:type="spellStart"/>
      <w:r>
        <w:rPr>
          <w:rFonts w:eastAsia="Times New Roman"/>
        </w:rPr>
        <w:t>Felten</w:t>
      </w:r>
      <w:proofErr w:type="spellEnd"/>
      <w:r>
        <w:rPr>
          <w:rFonts w:eastAsia="Times New Roman"/>
        </w:rPr>
        <w:t xml:space="preserve">, E. W., </w:t>
      </w:r>
      <w:proofErr w:type="spellStart"/>
      <w:r>
        <w:rPr>
          <w:rFonts w:eastAsia="Times New Roman"/>
        </w:rPr>
        <w:t>Reidenberg</w:t>
      </w:r>
      <w:proofErr w:type="spellEnd"/>
      <w:r>
        <w:rPr>
          <w:rFonts w:eastAsia="Times New Roman"/>
        </w:rPr>
        <w:t>, J. R., Robinson, D. G., &amp; Yu, H. (2017). Accountable algorithms. University of Pennsylvania Law Review, 165, 633–705.</w:t>
      </w:r>
    </w:p>
    <w:p w:rsidR="004C3798" w:rsidRDefault="00DA54E2">
      <w:pPr>
        <w:spacing w:after="120" w:line="360" w:lineRule="auto"/>
        <w:jc w:val="both"/>
      </w:pPr>
      <w:r>
        <w:rPr>
          <w:rFonts w:eastAsia="Times New Roman"/>
        </w:rPr>
        <w:t xml:space="preserve">Meijer, A., Lorenz, L., &amp; Wessels, M. (2021). </w:t>
      </w:r>
      <w:proofErr w:type="spellStart"/>
      <w:r>
        <w:rPr>
          <w:rFonts w:eastAsia="Times New Roman"/>
        </w:rPr>
        <w:t>Algorithmization</w:t>
      </w:r>
      <w:proofErr w:type="spellEnd"/>
      <w:r>
        <w:rPr>
          <w:rFonts w:eastAsia="Times New Roman"/>
        </w:rPr>
        <w:t xml:space="preserve"> of bureaucratic organizations: Using a practice lens to study how context shapes predictive policing systems. Public Administration Review, 81(5), 837–846.</w:t>
      </w:r>
    </w:p>
    <w:p w:rsidR="004C3798" w:rsidRDefault="00DA54E2">
      <w:pPr>
        <w:spacing w:after="120" w:line="360" w:lineRule="auto"/>
        <w:jc w:val="both"/>
      </w:pPr>
      <w:r>
        <w:rPr>
          <w:rFonts w:eastAsia="Times New Roman"/>
        </w:rPr>
        <w:t>Raji, I. D., Smart, A., White, R. N.,</w:t>
      </w:r>
      <w:r>
        <w:rPr>
          <w:rFonts w:eastAsia="Times New Roman"/>
        </w:rPr>
        <w:t xml:space="preserve"> Mitchell, M., </w:t>
      </w:r>
      <w:proofErr w:type="spellStart"/>
      <w:r>
        <w:rPr>
          <w:rFonts w:eastAsia="Times New Roman"/>
        </w:rPr>
        <w:t>Gebru</w:t>
      </w:r>
      <w:proofErr w:type="spellEnd"/>
      <w:r>
        <w:rPr>
          <w:rFonts w:eastAsia="Times New Roman"/>
        </w:rPr>
        <w:t>, T., Hutchinson, B., Smith-Loud, J., Theron, D., &amp; Barnes, P. (2020). Closing the AI accountability gap: Defining an end-to-end framework for internal algorithmic auditing. In Proceedings of the 2020 Conference on Fairness, Accountabil</w:t>
      </w:r>
      <w:r>
        <w:rPr>
          <w:rFonts w:eastAsia="Times New Roman"/>
        </w:rPr>
        <w:t>ity, and Transparency (pp. 33–44).</w:t>
      </w:r>
    </w:p>
    <w:p w:rsidR="004C3798" w:rsidRDefault="00DA54E2">
      <w:pPr>
        <w:spacing w:after="120" w:line="360" w:lineRule="auto"/>
        <w:jc w:val="both"/>
      </w:pPr>
      <w:r>
        <w:rPr>
          <w:rFonts w:eastAsia="Times New Roman"/>
        </w:rPr>
        <w:t>Roehl, U. B. U. (2024). Automated, administrative decision-making and good governance: A systematic review. Public Administration Review, 84(6), 1184–1199.</w:t>
      </w:r>
    </w:p>
    <w:p w:rsidR="004C3798" w:rsidRDefault="00DA54E2">
      <w:pPr>
        <w:spacing w:after="120" w:line="360" w:lineRule="auto"/>
        <w:jc w:val="both"/>
      </w:pPr>
      <w:proofErr w:type="spellStart"/>
      <w:r>
        <w:rPr>
          <w:rFonts w:eastAsia="Times New Roman"/>
        </w:rPr>
        <w:t>Santoni</w:t>
      </w:r>
      <w:proofErr w:type="spellEnd"/>
      <w:r>
        <w:rPr>
          <w:rFonts w:eastAsia="Times New Roman"/>
        </w:rPr>
        <w:t xml:space="preserve"> de </w:t>
      </w:r>
      <w:proofErr w:type="spellStart"/>
      <w:r>
        <w:rPr>
          <w:rFonts w:eastAsia="Times New Roman"/>
        </w:rPr>
        <w:t>Sio</w:t>
      </w:r>
      <w:proofErr w:type="spellEnd"/>
      <w:r>
        <w:rPr>
          <w:rFonts w:eastAsia="Times New Roman"/>
        </w:rPr>
        <w:t xml:space="preserve">, F., &amp; van den Hoven, J. (2018). Meaningful human </w:t>
      </w:r>
      <w:r>
        <w:rPr>
          <w:rFonts w:eastAsia="Times New Roman"/>
        </w:rPr>
        <w:t>control over autonomous systems: A philosophical account. Frontiers in Robotics and AI, 5, Article 15.</w:t>
      </w:r>
    </w:p>
    <w:p w:rsidR="004C3798" w:rsidRDefault="00DA54E2">
      <w:pPr>
        <w:spacing w:after="120" w:line="360" w:lineRule="auto"/>
        <w:jc w:val="both"/>
      </w:pPr>
      <w:proofErr w:type="spellStart"/>
      <w:r>
        <w:rPr>
          <w:rFonts w:eastAsia="Times New Roman"/>
        </w:rPr>
        <w:t>Selbst</w:t>
      </w:r>
      <w:proofErr w:type="spellEnd"/>
      <w:r>
        <w:rPr>
          <w:rFonts w:eastAsia="Times New Roman"/>
        </w:rPr>
        <w:t xml:space="preserve">, A. D., Boyd, D., </w:t>
      </w:r>
      <w:proofErr w:type="spellStart"/>
      <w:r>
        <w:rPr>
          <w:rFonts w:eastAsia="Times New Roman"/>
        </w:rPr>
        <w:t>Friedler</w:t>
      </w:r>
      <w:proofErr w:type="spellEnd"/>
      <w:r>
        <w:rPr>
          <w:rFonts w:eastAsia="Times New Roman"/>
        </w:rPr>
        <w:t xml:space="preserve">, S. A., </w:t>
      </w:r>
      <w:proofErr w:type="spellStart"/>
      <w:r>
        <w:rPr>
          <w:rFonts w:eastAsia="Times New Roman"/>
        </w:rPr>
        <w:t>Venkatasubramanian</w:t>
      </w:r>
      <w:proofErr w:type="spellEnd"/>
      <w:r>
        <w:rPr>
          <w:rFonts w:eastAsia="Times New Roman"/>
        </w:rPr>
        <w:t xml:space="preserve">, S., &amp; </w:t>
      </w:r>
      <w:proofErr w:type="spellStart"/>
      <w:r>
        <w:rPr>
          <w:rFonts w:eastAsia="Times New Roman"/>
        </w:rPr>
        <w:t>Vertesi</w:t>
      </w:r>
      <w:proofErr w:type="spellEnd"/>
      <w:r>
        <w:rPr>
          <w:rFonts w:eastAsia="Times New Roman"/>
        </w:rPr>
        <w:t>, J. (2019). Fairness and abstraction in sociotechnical systems. In Proceeding</w:t>
      </w:r>
      <w:r>
        <w:rPr>
          <w:rFonts w:eastAsia="Times New Roman"/>
        </w:rPr>
        <w:t xml:space="preserve">s of the Conference on Fairness, </w:t>
      </w:r>
      <w:r>
        <w:rPr>
          <w:rFonts w:eastAsia="Times New Roman"/>
        </w:rPr>
        <w:lastRenderedPageBreak/>
        <w:t>Accountability, and Transparency (pp. 59–68).</w:t>
      </w:r>
    </w:p>
    <w:p w:rsidR="004C3798" w:rsidRDefault="00DA54E2">
      <w:pPr>
        <w:spacing w:after="120" w:line="360" w:lineRule="auto"/>
        <w:jc w:val="both"/>
      </w:pPr>
      <w:r>
        <w:rPr>
          <w:rFonts w:eastAsia="Times New Roman"/>
        </w:rPr>
        <w:t>Veale, M., &amp; Brass, I. (2019). Administration by algorithm? Public management meets public sector machine learning. In K. Yeung &amp; M. Lodge (Eds.), Algorithmic regulation (pp. 12</w:t>
      </w:r>
      <w:r>
        <w:rPr>
          <w:rFonts w:eastAsia="Times New Roman"/>
        </w:rPr>
        <w:t>1–149). Oxford University Press.</w:t>
      </w:r>
    </w:p>
    <w:p w:rsidR="004C3798" w:rsidRDefault="00DA54E2">
      <w:pPr>
        <w:spacing w:after="120" w:line="360" w:lineRule="auto"/>
        <w:jc w:val="both"/>
      </w:pPr>
      <w:r>
        <w:rPr>
          <w:rFonts w:eastAsia="Times New Roman"/>
        </w:rPr>
        <w:t>Wagner, B. (2019). Liable, but not in control? Ensuring meaningful human agency in automated decision-making systems. Policy &amp; Internet, 11(1), 104–122.</w:t>
      </w:r>
    </w:p>
    <w:p w:rsidR="004C3798" w:rsidRDefault="00DA54E2">
      <w:pPr>
        <w:spacing w:after="120" w:line="360" w:lineRule="auto"/>
        <w:jc w:val="both"/>
      </w:pPr>
      <w:proofErr w:type="spellStart"/>
      <w:r>
        <w:rPr>
          <w:rFonts w:eastAsia="Times New Roman"/>
        </w:rPr>
        <w:t>Wieringa</w:t>
      </w:r>
      <w:proofErr w:type="spellEnd"/>
      <w:r>
        <w:rPr>
          <w:rFonts w:eastAsia="Times New Roman"/>
        </w:rPr>
        <w:t>, M. (2020). What to account for when accounting for algorithm</w:t>
      </w:r>
      <w:r>
        <w:rPr>
          <w:rFonts w:eastAsia="Times New Roman"/>
        </w:rPr>
        <w:t>s: A systematic literature review on algorithmic accountability. In Proceedings of the 2020 Conference on Fairness, Accountability, and Transparency (pp. 1–18).</w:t>
      </w:r>
    </w:p>
    <w:p w:rsidR="004C3798" w:rsidRDefault="00DA54E2">
      <w:pPr>
        <w:spacing w:after="120" w:line="360" w:lineRule="auto"/>
        <w:jc w:val="both"/>
      </w:pPr>
      <w:r>
        <w:rPr>
          <w:rFonts w:eastAsia="Times New Roman"/>
        </w:rPr>
        <w:t xml:space="preserve">Wihlborg, E., Larsson, H., &amp; </w:t>
      </w:r>
      <w:proofErr w:type="spellStart"/>
      <w:r>
        <w:rPr>
          <w:rFonts w:eastAsia="Times New Roman"/>
        </w:rPr>
        <w:t>Hedström</w:t>
      </w:r>
      <w:proofErr w:type="spellEnd"/>
      <w:r>
        <w:rPr>
          <w:rFonts w:eastAsia="Times New Roman"/>
        </w:rPr>
        <w:t>, K. (2016). “The computer says no!”—A case study on automated decision-making in public authorities. In Proceedings of the 49th Hawaii International Conference on System Sciences (HICSS) (pp. 2903–2912). IEEE.</w:t>
      </w:r>
    </w:p>
    <w:p w:rsidR="004C3798" w:rsidRDefault="00DA54E2">
      <w:pPr>
        <w:spacing w:after="120" w:line="360" w:lineRule="auto"/>
        <w:jc w:val="both"/>
      </w:pPr>
      <w:r>
        <w:rPr>
          <w:rFonts w:eastAsia="Times New Roman"/>
        </w:rPr>
        <w:t>Yeung, K</w:t>
      </w:r>
      <w:r>
        <w:rPr>
          <w:rFonts w:eastAsia="Times New Roman"/>
        </w:rPr>
        <w:t>. (2018). Algorithmic regulation: A critical interrogation. Regulation &amp; Governance, 12(4), 505–523.</w:t>
      </w:r>
    </w:p>
    <w:p w:rsidR="004C3798" w:rsidRDefault="00DA54E2">
      <w:pPr>
        <w:spacing w:after="120" w:line="360" w:lineRule="auto"/>
        <w:jc w:val="both"/>
      </w:pPr>
      <w:r>
        <w:rPr>
          <w:rFonts w:eastAsia="Times New Roman"/>
        </w:rPr>
        <w:t xml:space="preserve">Young, M. M., Bullock, J. B., &amp; </w:t>
      </w:r>
      <w:proofErr w:type="spellStart"/>
      <w:r>
        <w:rPr>
          <w:rFonts w:eastAsia="Times New Roman"/>
        </w:rPr>
        <w:t>Lecy</w:t>
      </w:r>
      <w:proofErr w:type="spellEnd"/>
      <w:r>
        <w:rPr>
          <w:rFonts w:eastAsia="Times New Roman"/>
        </w:rPr>
        <w:t>, J. D. (2019). Artificial discretion as a tool of governance: A framework for understanding the impact of artificial i</w:t>
      </w:r>
      <w:r>
        <w:rPr>
          <w:rFonts w:eastAsia="Times New Roman"/>
        </w:rPr>
        <w:t>ntelligence on public administration. Perspectives on Public Management and Governance, 2(4), 301–313.</w:t>
      </w:r>
    </w:p>
    <w:p w:rsidR="004C3798" w:rsidRDefault="00DA54E2">
      <w:pPr>
        <w:spacing w:after="120" w:line="360" w:lineRule="auto"/>
        <w:jc w:val="both"/>
      </w:pPr>
      <w:r>
        <w:rPr>
          <w:rFonts w:eastAsia="Times New Roman"/>
          <w:b/>
          <w:bCs/>
        </w:rPr>
        <w:t>Literature on the Supporting Mechanism Gaps</w:t>
      </w:r>
    </w:p>
    <w:p w:rsidR="004C3798" w:rsidRDefault="00DA54E2">
      <w:pPr>
        <w:spacing w:after="120" w:line="360" w:lineRule="auto"/>
        <w:jc w:val="both"/>
      </w:pPr>
      <w:r>
        <w:rPr>
          <w:rFonts w:eastAsia="Times New Roman"/>
        </w:rPr>
        <w:t>Parasuraman, R., &amp; Riley, V. (1997). Humans and automation: Use, misuse, disuse, abuse. Human Factors, 39(2),</w:t>
      </w:r>
      <w:r>
        <w:rPr>
          <w:rFonts w:eastAsia="Times New Roman"/>
        </w:rPr>
        <w:t xml:space="preserve"> 230–253.</w:t>
      </w:r>
    </w:p>
    <w:p w:rsidR="004C3798" w:rsidRDefault="00DA54E2">
      <w:pPr>
        <w:spacing w:after="120" w:line="360" w:lineRule="auto"/>
        <w:jc w:val="both"/>
      </w:pPr>
      <w:proofErr w:type="spellStart"/>
      <w:r>
        <w:rPr>
          <w:rFonts w:eastAsia="Times New Roman"/>
        </w:rPr>
        <w:t>Plantin</w:t>
      </w:r>
      <w:proofErr w:type="spellEnd"/>
      <w:r>
        <w:rPr>
          <w:rFonts w:eastAsia="Times New Roman"/>
        </w:rPr>
        <w:t xml:space="preserve">, J.-C., </w:t>
      </w:r>
      <w:proofErr w:type="spellStart"/>
      <w:r>
        <w:rPr>
          <w:rFonts w:eastAsia="Times New Roman"/>
        </w:rPr>
        <w:t>Lagoze</w:t>
      </w:r>
      <w:proofErr w:type="spellEnd"/>
      <w:r>
        <w:rPr>
          <w:rFonts w:eastAsia="Times New Roman"/>
        </w:rPr>
        <w:t xml:space="preserve">, C., Edwards, P. N., &amp; </w:t>
      </w:r>
      <w:proofErr w:type="spellStart"/>
      <w:r>
        <w:rPr>
          <w:rFonts w:eastAsia="Times New Roman"/>
        </w:rPr>
        <w:t>Sandvig</w:t>
      </w:r>
      <w:proofErr w:type="spellEnd"/>
      <w:r>
        <w:rPr>
          <w:rFonts w:eastAsia="Times New Roman"/>
        </w:rPr>
        <w:t>, C. (2018). Infrastructure studies meet platform studies in the age of Google and Facebook. New Media &amp; Society, 20(1), 293–310.</w:t>
      </w:r>
    </w:p>
    <w:p w:rsidR="004C3798" w:rsidRDefault="00DA54E2">
      <w:pPr>
        <w:spacing w:after="120" w:line="360" w:lineRule="auto"/>
        <w:jc w:val="both"/>
      </w:pPr>
      <w:proofErr w:type="spellStart"/>
      <w:r>
        <w:rPr>
          <w:rFonts w:eastAsia="Times New Roman"/>
        </w:rPr>
        <w:t>Skitka</w:t>
      </w:r>
      <w:proofErr w:type="spellEnd"/>
      <w:r>
        <w:rPr>
          <w:rFonts w:eastAsia="Times New Roman"/>
        </w:rPr>
        <w:t>, L. J., Mosier, K. L., &amp; Burdick, M. (1999). Does automa</w:t>
      </w:r>
      <w:r>
        <w:rPr>
          <w:rFonts w:eastAsia="Times New Roman"/>
        </w:rPr>
        <w:t>tion bias decision-making? International Journal of Human-Computer Studies, 51(5), 991–1010.</w:t>
      </w:r>
    </w:p>
    <w:p w:rsidR="004C3798" w:rsidRDefault="00DA54E2">
      <w:pPr>
        <w:spacing w:after="120" w:line="360" w:lineRule="auto"/>
        <w:jc w:val="both"/>
      </w:pPr>
      <w:r>
        <w:rPr>
          <w:rFonts w:eastAsia="Times New Roman"/>
          <w:b/>
          <w:bCs/>
        </w:rPr>
        <w:t>Taiwan-Specific Literature</w:t>
      </w:r>
    </w:p>
    <w:p w:rsidR="004C3798" w:rsidRDefault="00DA54E2">
      <w:pPr>
        <w:spacing w:after="120" w:line="360" w:lineRule="auto"/>
        <w:jc w:val="both"/>
      </w:pPr>
      <w:r>
        <w:rPr>
          <w:rFonts w:eastAsia="Times New Roman"/>
        </w:rPr>
        <w:t>Chan, C.-J. (2014). Privatization of administrative tasks and the construction of the state’s guarantee-responsibility theory [</w:t>
      </w:r>
      <w:proofErr w:type="spellStart"/>
      <w:r>
        <w:rPr>
          <w:rFonts w:eastAsia="Times New Roman"/>
        </w:rPr>
        <w:t>行政任務私有化與國</w:t>
      </w:r>
      <w:r>
        <w:rPr>
          <w:rFonts w:eastAsia="Times New Roman"/>
        </w:rPr>
        <w:t>家擔保責任理論之建構</w:t>
      </w:r>
      <w:proofErr w:type="spellEnd"/>
      <w:r>
        <w:rPr>
          <w:rFonts w:eastAsia="Times New Roman"/>
        </w:rPr>
        <w:t>]. National Taiwan University Law Journal, 43(2), 385–435.</w:t>
      </w:r>
    </w:p>
    <w:p w:rsidR="004C3798" w:rsidRDefault="00DA54E2">
      <w:pPr>
        <w:spacing w:after="120" w:line="360" w:lineRule="auto"/>
        <w:jc w:val="both"/>
      </w:pPr>
      <w:r>
        <w:rPr>
          <w:rFonts w:eastAsia="Times New Roman"/>
        </w:rPr>
        <w:t xml:space="preserve">Chen, D.-Y., Huang, T.-Y., &amp; Hsiao, N. (2016). Governance challenges of smart government: Data-driven organizational change and cross-boundary integration in the public sector </w:t>
      </w:r>
      <w:r>
        <w:rPr>
          <w:rFonts w:eastAsia="Times New Roman"/>
        </w:rPr>
        <w:lastRenderedPageBreak/>
        <w:t>[</w:t>
      </w:r>
      <w:proofErr w:type="spellStart"/>
      <w:r>
        <w:rPr>
          <w:rFonts w:eastAsia="Times New Roman"/>
        </w:rPr>
        <w:t>智慧政府的治理挑戰：</w:t>
      </w:r>
      <w:r>
        <w:rPr>
          <w:rFonts w:eastAsia="Times New Roman"/>
        </w:rPr>
        <w:t>資料驅動下的公部門組織變革與跨域整合</w:t>
      </w:r>
      <w:proofErr w:type="spellEnd"/>
      <w:r>
        <w:rPr>
          <w:rFonts w:eastAsia="Times New Roman"/>
        </w:rPr>
        <w:t>]. The Chinese Public Administration Review, 22(3), 1–28.</w:t>
      </w:r>
    </w:p>
    <w:p w:rsidR="004C3798" w:rsidRDefault="00DA54E2">
      <w:pPr>
        <w:spacing w:after="120" w:line="360" w:lineRule="auto"/>
        <w:jc w:val="both"/>
      </w:pPr>
      <w:r>
        <w:rPr>
          <w:rFonts w:eastAsia="Times New Roman"/>
        </w:rPr>
        <w:t>Hsiao, N., &amp; Huang, X.-Y. (2012). Outsourcing contract management and performance evaluation of e-government information systems: An analysis from the perspectives of contractual i</w:t>
      </w:r>
      <w:r>
        <w:rPr>
          <w:rFonts w:eastAsia="Times New Roman"/>
        </w:rPr>
        <w:t>ncompleteness and information asymmetry [</w:t>
      </w:r>
      <w:proofErr w:type="spellStart"/>
      <w:r>
        <w:rPr>
          <w:rFonts w:eastAsia="Times New Roman"/>
        </w:rPr>
        <w:t>電子化政府資訊系統委外履約管理與績效評估：以契約不完備性與資訊不對稱觀點分析</w:t>
      </w:r>
      <w:proofErr w:type="spellEnd"/>
      <w:r>
        <w:rPr>
          <w:rFonts w:eastAsia="Times New Roman"/>
        </w:rPr>
        <w:t>]. Journal of Public Administration, 42, 35–72.</w:t>
      </w:r>
    </w:p>
    <w:p w:rsidR="004C3798" w:rsidRDefault="00DA54E2">
      <w:pPr>
        <w:spacing w:after="120" w:line="360" w:lineRule="auto"/>
        <w:jc w:val="both"/>
      </w:pPr>
      <w:r>
        <w:rPr>
          <w:rFonts w:eastAsia="Times New Roman"/>
        </w:rPr>
        <w:t>Xin, N.-F. (2020). The legality of automated administrative dispositions and due process of law: The application of artificial in</w:t>
      </w:r>
      <w:r>
        <w:rPr>
          <w:rFonts w:eastAsia="Times New Roman"/>
        </w:rPr>
        <w:t>telligence in administrative review [</w:t>
      </w:r>
      <w:proofErr w:type="spellStart"/>
      <w:r>
        <w:rPr>
          <w:rFonts w:eastAsia="Times New Roman"/>
        </w:rPr>
        <w:t>自動化行政處分之合法性與正當法律程序：以人工智慧在行政審查之應用為中心</w:t>
      </w:r>
      <w:proofErr w:type="spellEnd"/>
      <w:r>
        <w:rPr>
          <w:rFonts w:eastAsia="Times New Roman"/>
        </w:rPr>
        <w:t>]. The Taiwan Law Review, 305, 45–62.</w:t>
      </w:r>
    </w:p>
    <w:p w:rsidR="004C3798" w:rsidRDefault="00DA54E2">
      <w:pPr>
        <w:spacing w:after="120" w:line="360" w:lineRule="auto"/>
        <w:jc w:val="both"/>
      </w:pPr>
      <w:r>
        <w:rPr>
          <w:rFonts w:eastAsia="Times New Roman"/>
        </w:rPr>
        <w:t xml:space="preserve">Zeng, W.-C. (2022). </w:t>
      </w:r>
      <w:proofErr w:type="spellStart"/>
      <w:r>
        <w:rPr>
          <w:rFonts w:eastAsia="Times New Roman"/>
        </w:rPr>
        <w:t>Explainability</w:t>
      </w:r>
      <w:proofErr w:type="spellEnd"/>
      <w:r>
        <w:rPr>
          <w:rFonts w:eastAsia="Times New Roman"/>
        </w:rPr>
        <w:t xml:space="preserve"> requirements and public-law accountability mechanisms for AI-assisted administrative decision-making [</w:t>
      </w:r>
      <w:proofErr w:type="spellStart"/>
      <w:r>
        <w:rPr>
          <w:rFonts w:eastAsia="Times New Roman"/>
        </w:rPr>
        <w:t>人工智慧輔助行政決</w:t>
      </w:r>
      <w:r>
        <w:rPr>
          <w:rFonts w:eastAsia="Times New Roman"/>
        </w:rPr>
        <w:t>策之可解釋性要求與公法課責機制</w:t>
      </w:r>
      <w:proofErr w:type="spellEnd"/>
      <w:r>
        <w:rPr>
          <w:rFonts w:eastAsia="Times New Roman"/>
        </w:rPr>
        <w:t>]. Political Science Review, 91, 79–118.</w:t>
      </w:r>
    </w:p>
    <w:sectPr w:rsidR="004C3798">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4E2" w:rsidRDefault="00DA54E2">
      <w:r>
        <w:separator/>
      </w:r>
    </w:p>
  </w:endnote>
  <w:endnote w:type="continuationSeparator" w:id="0">
    <w:p w:rsidR="00DA54E2" w:rsidRDefault="00DA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798" w:rsidRDefault="00DA54E2">
    <w:pPr>
      <w:jc w:val="center"/>
    </w:pPr>
    <w:r>
      <w:rPr>
        <w:rFonts w:eastAsia="Times New Roman"/>
        <w:sz w:val="20"/>
        <w:szCs w:val="20"/>
      </w:rPr>
      <w:t xml:space="preserve">— </w:t>
    </w:r>
    <w:r>
      <w:rPr>
        <w:sz w:val="20"/>
        <w:szCs w:val="20"/>
      </w:rPr>
      <w:fldChar w:fldCharType="begin"/>
    </w:r>
    <w:r>
      <w:rPr>
        <w:rFonts w:eastAsia="Times New Roman"/>
        <w:sz w:val="20"/>
        <w:szCs w:val="20"/>
      </w:rPr>
      <w:instrText>PAGE</w:instrText>
    </w:r>
    <w:r w:rsidR="00043AF1">
      <w:rPr>
        <w:sz w:val="20"/>
        <w:szCs w:val="20"/>
      </w:rPr>
      <w:fldChar w:fldCharType="separate"/>
    </w:r>
    <w:r w:rsidR="00043AF1">
      <w:rPr>
        <w:rFonts w:eastAsia="Times New Roman"/>
        <w:noProof/>
        <w:sz w:val="20"/>
        <w:szCs w:val="20"/>
      </w:rPr>
      <w:t>1</w:t>
    </w:r>
    <w:r>
      <w:rPr>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4E2" w:rsidRDefault="00DA54E2">
      <w:r>
        <w:separator/>
      </w:r>
    </w:p>
  </w:footnote>
  <w:footnote w:type="continuationSeparator" w:id="0">
    <w:p w:rsidR="00DA54E2" w:rsidRDefault="00DA5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C1B61"/>
    <w:multiLevelType w:val="hybridMultilevel"/>
    <w:tmpl w:val="FDEE405C"/>
    <w:lvl w:ilvl="0" w:tplc="747C53C4">
      <w:start w:val="1"/>
      <w:numFmt w:val="decimal"/>
      <w:lvlText w:val="%1."/>
      <w:lvlJc w:val="left"/>
      <w:pPr>
        <w:ind w:left="720" w:hanging="360"/>
      </w:pPr>
    </w:lvl>
    <w:lvl w:ilvl="1" w:tplc="221E2A24">
      <w:numFmt w:val="decimal"/>
      <w:lvlText w:val=""/>
      <w:lvlJc w:val="left"/>
    </w:lvl>
    <w:lvl w:ilvl="2" w:tplc="3022E5E2">
      <w:numFmt w:val="decimal"/>
      <w:lvlText w:val=""/>
      <w:lvlJc w:val="left"/>
    </w:lvl>
    <w:lvl w:ilvl="3" w:tplc="9A2AD194">
      <w:numFmt w:val="decimal"/>
      <w:lvlText w:val=""/>
      <w:lvlJc w:val="left"/>
    </w:lvl>
    <w:lvl w:ilvl="4" w:tplc="A0FEDDCE">
      <w:numFmt w:val="decimal"/>
      <w:lvlText w:val=""/>
      <w:lvlJc w:val="left"/>
    </w:lvl>
    <w:lvl w:ilvl="5" w:tplc="AA203F20">
      <w:numFmt w:val="decimal"/>
      <w:lvlText w:val=""/>
      <w:lvlJc w:val="left"/>
    </w:lvl>
    <w:lvl w:ilvl="6" w:tplc="0F64F684">
      <w:numFmt w:val="decimal"/>
      <w:lvlText w:val=""/>
      <w:lvlJc w:val="left"/>
    </w:lvl>
    <w:lvl w:ilvl="7" w:tplc="BC327A9A">
      <w:numFmt w:val="decimal"/>
      <w:lvlText w:val=""/>
      <w:lvlJc w:val="left"/>
    </w:lvl>
    <w:lvl w:ilvl="8" w:tplc="CCF2EE66">
      <w:numFmt w:val="decimal"/>
      <w:lvlText w:val=""/>
      <w:lvlJc w:val="left"/>
    </w:lvl>
  </w:abstractNum>
  <w:abstractNum w:abstractNumId="1" w15:restartNumberingAfterBreak="0">
    <w:nsid w:val="286971C2"/>
    <w:multiLevelType w:val="hybridMultilevel"/>
    <w:tmpl w:val="C35EA378"/>
    <w:lvl w:ilvl="0" w:tplc="A06CC48E">
      <w:start w:val="1"/>
      <w:numFmt w:val="bullet"/>
      <w:lvlText w:val="●"/>
      <w:lvlJc w:val="left"/>
      <w:pPr>
        <w:ind w:left="720" w:hanging="360"/>
      </w:pPr>
    </w:lvl>
    <w:lvl w:ilvl="1" w:tplc="EE5E4804">
      <w:start w:val="1"/>
      <w:numFmt w:val="bullet"/>
      <w:lvlText w:val="○"/>
      <w:lvlJc w:val="left"/>
      <w:pPr>
        <w:ind w:left="1440" w:hanging="360"/>
      </w:pPr>
    </w:lvl>
    <w:lvl w:ilvl="2" w:tplc="2B30502C">
      <w:start w:val="1"/>
      <w:numFmt w:val="bullet"/>
      <w:lvlText w:val="■"/>
      <w:lvlJc w:val="left"/>
      <w:pPr>
        <w:ind w:left="2160" w:hanging="360"/>
      </w:pPr>
    </w:lvl>
    <w:lvl w:ilvl="3" w:tplc="F93058FE">
      <w:start w:val="1"/>
      <w:numFmt w:val="bullet"/>
      <w:lvlText w:val="●"/>
      <w:lvlJc w:val="left"/>
      <w:pPr>
        <w:ind w:left="2880" w:hanging="360"/>
      </w:pPr>
    </w:lvl>
    <w:lvl w:ilvl="4" w:tplc="6B484886">
      <w:start w:val="1"/>
      <w:numFmt w:val="bullet"/>
      <w:lvlText w:val="○"/>
      <w:lvlJc w:val="left"/>
      <w:pPr>
        <w:ind w:left="3600" w:hanging="360"/>
      </w:pPr>
    </w:lvl>
    <w:lvl w:ilvl="5" w:tplc="D0A844D8">
      <w:start w:val="1"/>
      <w:numFmt w:val="bullet"/>
      <w:lvlText w:val="■"/>
      <w:lvlJc w:val="left"/>
      <w:pPr>
        <w:ind w:left="4320" w:hanging="360"/>
      </w:pPr>
    </w:lvl>
    <w:lvl w:ilvl="6" w:tplc="92985E96">
      <w:start w:val="1"/>
      <w:numFmt w:val="bullet"/>
      <w:lvlText w:val="●"/>
      <w:lvlJc w:val="left"/>
      <w:pPr>
        <w:ind w:left="5040" w:hanging="360"/>
      </w:pPr>
    </w:lvl>
    <w:lvl w:ilvl="7" w:tplc="3DB4A916">
      <w:start w:val="1"/>
      <w:numFmt w:val="bullet"/>
      <w:lvlText w:val="●"/>
      <w:lvlJc w:val="left"/>
      <w:pPr>
        <w:ind w:left="5760" w:hanging="360"/>
      </w:pPr>
    </w:lvl>
    <w:lvl w:ilvl="8" w:tplc="4FB41D54">
      <w:start w:val="1"/>
      <w:numFmt w:val="bullet"/>
      <w:lvlText w:val="●"/>
      <w:lvlJc w:val="left"/>
      <w:pPr>
        <w:ind w:left="6480" w:hanging="360"/>
      </w:pPr>
    </w:lvl>
  </w:abstractNum>
  <w:abstractNum w:abstractNumId="2" w15:restartNumberingAfterBreak="0">
    <w:nsid w:val="2A541B0E"/>
    <w:multiLevelType w:val="hybridMultilevel"/>
    <w:tmpl w:val="37B6BD56"/>
    <w:lvl w:ilvl="0" w:tplc="13D4F322">
      <w:start w:val="1"/>
      <w:numFmt w:val="decimal"/>
      <w:lvlText w:val="%1."/>
      <w:lvlJc w:val="left"/>
      <w:pPr>
        <w:ind w:left="720" w:hanging="360"/>
      </w:pPr>
    </w:lvl>
    <w:lvl w:ilvl="1" w:tplc="E028182A">
      <w:numFmt w:val="decimal"/>
      <w:lvlText w:val=""/>
      <w:lvlJc w:val="left"/>
    </w:lvl>
    <w:lvl w:ilvl="2" w:tplc="515223E4">
      <w:numFmt w:val="decimal"/>
      <w:lvlText w:val=""/>
      <w:lvlJc w:val="left"/>
    </w:lvl>
    <w:lvl w:ilvl="3" w:tplc="514E9B8E">
      <w:numFmt w:val="decimal"/>
      <w:lvlText w:val=""/>
      <w:lvlJc w:val="left"/>
    </w:lvl>
    <w:lvl w:ilvl="4" w:tplc="1BC6DAEA">
      <w:numFmt w:val="decimal"/>
      <w:lvlText w:val=""/>
      <w:lvlJc w:val="left"/>
    </w:lvl>
    <w:lvl w:ilvl="5" w:tplc="BFB04C9A">
      <w:numFmt w:val="decimal"/>
      <w:lvlText w:val=""/>
      <w:lvlJc w:val="left"/>
    </w:lvl>
    <w:lvl w:ilvl="6" w:tplc="00424288">
      <w:numFmt w:val="decimal"/>
      <w:lvlText w:val=""/>
      <w:lvlJc w:val="left"/>
    </w:lvl>
    <w:lvl w:ilvl="7" w:tplc="AD646DC4">
      <w:numFmt w:val="decimal"/>
      <w:lvlText w:val=""/>
      <w:lvlJc w:val="left"/>
    </w:lvl>
    <w:lvl w:ilvl="8" w:tplc="5504F4BE">
      <w:numFmt w:val="decimal"/>
      <w:lvlText w:val=""/>
      <w:lvlJc w:val="left"/>
    </w:lvl>
  </w:abstractNum>
  <w:abstractNum w:abstractNumId="3" w15:restartNumberingAfterBreak="0">
    <w:nsid w:val="32F171FD"/>
    <w:multiLevelType w:val="hybridMultilevel"/>
    <w:tmpl w:val="7C02F360"/>
    <w:lvl w:ilvl="0" w:tplc="402E9F02">
      <w:start w:val="1"/>
      <w:numFmt w:val="decimal"/>
      <w:lvlText w:val="%1."/>
      <w:lvlJc w:val="left"/>
      <w:pPr>
        <w:ind w:left="720" w:hanging="360"/>
      </w:pPr>
    </w:lvl>
    <w:lvl w:ilvl="1" w:tplc="830CC18C">
      <w:numFmt w:val="decimal"/>
      <w:lvlText w:val=""/>
      <w:lvlJc w:val="left"/>
    </w:lvl>
    <w:lvl w:ilvl="2" w:tplc="95D228B6">
      <w:numFmt w:val="decimal"/>
      <w:lvlText w:val=""/>
      <w:lvlJc w:val="left"/>
    </w:lvl>
    <w:lvl w:ilvl="3" w:tplc="3F90F814">
      <w:numFmt w:val="decimal"/>
      <w:lvlText w:val=""/>
      <w:lvlJc w:val="left"/>
    </w:lvl>
    <w:lvl w:ilvl="4" w:tplc="DEF2A652">
      <w:numFmt w:val="decimal"/>
      <w:lvlText w:val=""/>
      <w:lvlJc w:val="left"/>
    </w:lvl>
    <w:lvl w:ilvl="5" w:tplc="08F4BE02">
      <w:numFmt w:val="decimal"/>
      <w:lvlText w:val=""/>
      <w:lvlJc w:val="left"/>
    </w:lvl>
    <w:lvl w:ilvl="6" w:tplc="C1F698A0">
      <w:numFmt w:val="decimal"/>
      <w:lvlText w:val=""/>
      <w:lvlJc w:val="left"/>
    </w:lvl>
    <w:lvl w:ilvl="7" w:tplc="A6D277EA">
      <w:numFmt w:val="decimal"/>
      <w:lvlText w:val=""/>
      <w:lvlJc w:val="left"/>
    </w:lvl>
    <w:lvl w:ilvl="8" w:tplc="B4B6244E">
      <w:numFmt w:val="decimal"/>
      <w:lvlText w:val=""/>
      <w:lvlJc w:val="left"/>
    </w:lvl>
  </w:abstractNum>
  <w:abstractNum w:abstractNumId="4" w15:restartNumberingAfterBreak="0">
    <w:nsid w:val="68BD66EF"/>
    <w:multiLevelType w:val="hybridMultilevel"/>
    <w:tmpl w:val="66F09B88"/>
    <w:lvl w:ilvl="0" w:tplc="596AA680">
      <w:start w:val="1"/>
      <w:numFmt w:val="bullet"/>
      <w:lvlText w:val="•"/>
      <w:lvlJc w:val="left"/>
      <w:pPr>
        <w:ind w:left="720" w:hanging="360"/>
      </w:pPr>
    </w:lvl>
    <w:lvl w:ilvl="1" w:tplc="13F298A4">
      <w:numFmt w:val="decimal"/>
      <w:lvlText w:val=""/>
      <w:lvlJc w:val="left"/>
    </w:lvl>
    <w:lvl w:ilvl="2" w:tplc="54E89D5E">
      <w:numFmt w:val="decimal"/>
      <w:lvlText w:val=""/>
      <w:lvlJc w:val="left"/>
    </w:lvl>
    <w:lvl w:ilvl="3" w:tplc="B61C03D2">
      <w:numFmt w:val="decimal"/>
      <w:lvlText w:val=""/>
      <w:lvlJc w:val="left"/>
    </w:lvl>
    <w:lvl w:ilvl="4" w:tplc="C7349EA2">
      <w:numFmt w:val="decimal"/>
      <w:lvlText w:val=""/>
      <w:lvlJc w:val="left"/>
    </w:lvl>
    <w:lvl w:ilvl="5" w:tplc="3ED86BAA">
      <w:numFmt w:val="decimal"/>
      <w:lvlText w:val=""/>
      <w:lvlJc w:val="left"/>
    </w:lvl>
    <w:lvl w:ilvl="6" w:tplc="D27EB8F0">
      <w:numFmt w:val="decimal"/>
      <w:lvlText w:val=""/>
      <w:lvlJc w:val="left"/>
    </w:lvl>
    <w:lvl w:ilvl="7" w:tplc="88B03AA8">
      <w:numFmt w:val="decimal"/>
      <w:lvlText w:val=""/>
      <w:lvlJc w:val="left"/>
    </w:lvl>
    <w:lvl w:ilvl="8" w:tplc="9A4264AE">
      <w:numFmt w:val="decimal"/>
      <w:lvlText w:val=""/>
      <w:lvlJc w:val="left"/>
    </w:lvl>
  </w:abstractNum>
  <w:num w:numId="1">
    <w:abstractNumId w:val="1"/>
    <w:lvlOverride w:ilvl="0">
      <w:startOverride w:val="1"/>
    </w:lvlOverride>
  </w:num>
  <w:num w:numId="2">
    <w:abstractNumId w:val="3"/>
    <w:lvlOverride w:ilvl="0">
      <w:startOverride w:val="1"/>
    </w:lvlOverride>
  </w:num>
  <w:num w:numId="3">
    <w:abstractNumId w:val="0"/>
    <w:lvlOverride w:ilvl="0">
      <w:startOverride w:val="1"/>
    </w:lvlOverride>
  </w:num>
  <w:num w:numId="4">
    <w:abstractNumId w:val="2"/>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98"/>
    <w:rsid w:val="00043AF1"/>
    <w:rsid w:val="004C3798"/>
    <w:rsid w:val="00DA54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827A"/>
  <w15:docId w15:val="{847EBCFB-2427-42E3-A800-1A7652919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spacing w:before="360" w:after="200"/>
      <w:outlineLvl w:val="0"/>
    </w:pPr>
    <w:rPr>
      <w:rFonts w:eastAsia="Times New Roman"/>
      <w:b/>
      <w:bCs/>
      <w:sz w:val="28"/>
      <w:szCs w:val="28"/>
    </w:rPr>
  </w:style>
  <w:style w:type="paragraph" w:styleId="2">
    <w:name w:val="heading 2"/>
    <w:uiPriority w:val="9"/>
    <w:unhideWhenUsed/>
    <w:qFormat/>
    <w:pPr>
      <w:spacing w:before="280" w:after="160"/>
      <w:outlineLvl w:val="1"/>
    </w:pPr>
    <w:rPr>
      <w:rFonts w:eastAsia="Times New Roman"/>
      <w:b/>
      <w:bCs/>
      <w:sz w:val="26"/>
      <w:szCs w:val="26"/>
    </w:rPr>
  </w:style>
  <w:style w:type="paragraph" w:styleId="3">
    <w:name w:val="heading 3"/>
    <w:uiPriority w:val="9"/>
    <w:semiHidden/>
    <w:unhideWhenUsed/>
    <w:qFormat/>
    <w:pPr>
      <w:spacing w:before="200" w:after="120"/>
      <w:outlineLvl w:val="2"/>
    </w:pPr>
    <w:rPr>
      <w:rFonts w:eastAsia="Times New Roman"/>
      <w:b/>
      <w:bCs/>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7948</Words>
  <Characters>45306</Characters>
  <Application>Microsoft Office Word</Application>
  <DocSecurity>0</DocSecurity>
  <Lines>377</Lines>
  <Paragraphs>106</Paragraphs>
  <ScaleCrop>false</ScaleCrop>
  <Company/>
  <LinksUpToDate>false</LinksUpToDate>
  <CharactersWithSpaces>53148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2026-08-19T05:39:00Z</dcterms:created>
  <dcterms:modified xsi:type="dcterms:W3CDTF">2026-08-20T08:19:00Z</dcterms:modified>
</cp:coreProperties>
</file>