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我們累積的是AI治理研究，還是AI治理知識？</w:t>
      </w:r>
    </w:p>
    <w:p>
      <w:pPr>
        <w:pStyle w:val="Heading2"/>
      </w:pPr>
      <w:r>
        <w:t>——臺灣研究的全球比較與理論壓力測試</w:t>
      </w:r>
    </w:p>
    <w:p>
      <w:pPr>
        <w:pStyle w:val="Normal"/>
      </w:pPr>
      <w:r>
        <w:t>Are We Accumulating AI Governance Research—or AI Governance Knowledge? A Global Comparison and Theoretical Stress Test of Taiwan’s AI Governance Research</w:t>
      </w:r>
    </w:p>
    <w:p>
      <w:pPr>
        <w:pStyle w:val="Normal"/>
      </w:pPr>
      <w:r>
        <w:t>Lancelot Lu</w:t>
      </w:r>
    </w:p>
    <w:p>
      <w:pPr>
        <w:pStyle w:val="Heading2"/>
      </w:pPr>
      <w:r>
        <w:t>摘要</w:t>
      </w:r>
    </w:p>
    <w:p>
      <w:pPr>
        <w:pStyle w:val="Normal"/>
      </w:pPr>
      <w:r>
        <w:t>人工智慧進入政府，早已不是單純的資訊系統導入。當演算法開始參與問題如何被界定、資格如何被認定、甚至權利義務如何被決定時，真正被改變的不是工具，而是行政權力本身。</w:t>
        <w:br/>
        <w:br/>
        <w:t>這幾年，相關研究確實快速增加。臺灣在公共行政、數位治理、法律與公共政策領域也累積了不少成果，從公共價值、倫理風險、行政裁量，到資料治理、演算法解釋權，幾乎都有人觸及。問題是，研究變多了，是否就代表我們已經形成一套可以被後續研究持續定位、連結、比較與檢驗的治理知識？這是兩個不同層次的問題。</w:t>
        <w:br/>
        <w:br/>
        <w:t>本文採取 Overview–Comparative–Test（OCT）策略。先分別整理全球與臺灣 AI 治理研究的主要累積，再比較兩者知識碎片化的型態差異，最後以 25 治理座標、三種權力功能（P1 情境建構、P2 行政裁量、P3 公權力影響）、三項結構效應、四條治理鏈與七項治理審計作為受測架構，進行反證式的理論壓力測試。判準有二：Coverage Failure（CF）指重要現象無法被合理涵蓋，Added-Value Failure（AVF）指架構雖能重新描述既有研究，卻未增加實質分析價值。</w:t>
        <w:br/>
        <w:br/>
        <w:t>結果顯示，全球與臺灣都不缺重要問題，也不缺治理處方。擴大至跨學科、制度與實務材料後，更可確認全球並非沒有架構，而是出現系統性回顧、多層治理模型、風險管理框架、管理系統標準、制度監理工具等大量並存的局面。全球較適合描述為「垂直與水平碎片化下的架構繁衍，但跨架構整合仍不完整」；臺灣則基於本文檢視的擴大樣本，呈現「議題持續深化、個別架構分散形成，但跨研究收斂仍有限」。擴大測試後，本文未辨識出確認的 CF，整體 25–3–3–4–7 亦未出現足以要求重構的 AVF，但部分構件的原創性主張確實被削弱：3E 不宜再被理解為三種全新現象，而應定位為整合性的結構診斷程序；七項治理審計若主張為獨立理論創新，面對 NIST AI RMF、ISO/IEC 42001、加拿大 AIA 等成熟工具時會構成 AVF，因此本文將其降格為承接前端公共行政分析結果的操作性審計介面。本文據此給予 25–3–3–4–7「經修正後的暫時支持」，而非原樣存活或永久證明。</w:t>
      </w:r>
    </w:p>
    <w:p>
      <w:pPr>
        <w:pStyle w:val="Normal"/>
      </w:pPr>
      <w:r>
        <w:t>關鍵詞：AI治理、公共行政、知識累積、知識碎片化、治理座標、行政裁量、理論壓力測試、反證式測試、臺灣</w:t>
      </w:r>
    </w:p>
    <w:p w:rsidR="00F676FC" w:rsidRDefault="0062439A">
      <w:pPr>
        <w:jc w:val="both"/>
      </w:pPr>
      <w:r>
        <w:t>Abstract</w:t>
      </w:r>
    </w:p>
    <w:p w:rsidR="00F676FC" w:rsidRDefault="0062439A">
      <w:pPr>
        <w:jc w:val="both"/>
      </w:pPr>
      <w:r>
        <w:t>Research on artificial intelligence in government has expanded rapidly. In Taiwan, public administration, digital governance, law, and public policy scholarship has addressed public values, ethical risks, administrative discretion, automation bias, organizational change, institutional design, regulatory adaptation, public services, civil-service capacity, data governance, and the right to explanation. Yet an increase in research output does not necessarily mean that a field has accumulated governance knowledge that can be continuously located, connected, compared, and tested.</w:t>
      </w:r>
    </w:p>
    <w:p w:rsidR="00F676FC" w:rsidRDefault="0062439A">
      <w:pPr>
        <w:jc w:val="both"/>
      </w:pPr>
      <w:r>
        <w:rPr>
          <w:rFonts w:ascii="Times New Roman" w:eastAsia="新細明體" w:hAnsi="Times New Roman"/>
          <w:sz w:val="24"/>
          <w:szCs w:val="24"/>
        </w:rPr>
        <w:t xml:space="preserve">This article adopts an Overview–Comparative–Test (OCT) strategy. It reviews major accumulations in global and Taiwanese AI governance research and compares their patterns of knowledge fragmentation. It then subjects the 25–3–3–4–7 framework to a falsification-oriented theoretical stress test using Coverage Failure (CF) and Added-Value Failure (AVF) as failure criteria. Based on the expanded Taiwanese sample examined in this article (covering public administration, data governance, fairness/rights, institutional design, local government, and generative AI clusters), Taiwan exhibits substantive deepening with dispersed framework formation but limited cross-study analytical convergence. The global literature is better characterized by framework proliferation under vertical and horizontal fragmentation with incomplete cross-framework integration.</w:t>
      </w:r>
    </w:p>
    <w:p w:rsidR="00F676FC" w:rsidRDefault="0062439A">
      <w:pPr>
        <w:jc w:val="both"/>
      </w:pPr>
      <w:r>
        <w:t>The expanded challenge set does not identify a confirmed CF or an AVF requiring reconstruction of the framework as a whole, but it does materially revise the status of several components. The three structural effects (3E) are retained as an integrative structural diagnostic procedure rather than as three wholly novel phenomena. The seven governance audits, when treated as an independent theoretical innovation, face AVF in light of mature instruments such as the NIST AI RMF, ISO/IEC 42001, and Canada’s Algorithmic Impact Assessment; they are therefore repositioned as an operational audit interface that translates upstream public-administration analysis into implementable governance checks. The resulting conclusion is revised provisional support, not proof of universal validity.</w:t>
      </w:r>
    </w:p>
    <w:p w:rsidR="00F676FC" w:rsidRDefault="0062439A">
      <w:pPr>
        <w:jc w:val="both"/>
      </w:pPr>
      <w:r>
        <w:t>Keywords: AI governance; public administration; knowledge accumulation; knowledge fragmentation; governance coordinates; administrative discretion; theoretical stress test; falsification test; Taiwan</w:t>
      </w:r>
    </w:p>
    <w:p>
      <w:pPr>
        <w:pStyle w:val="Heading2"/>
      </w:pPr>
      <w:r>
        <w:t>一、緒論：研究增加，是否等於知識累積？</w:t>
      </w:r>
    </w:p>
    <w:p>
      <w:pPr>
        <w:pStyle w:val="Normal"/>
      </w:pPr>
      <w:r>
        <w:t>人工智慧進入政府，早已不是單純的資訊系統導入。當演算法開始參與問題如何被界定、資格如何被認定、甚至權利義務如何被決定時，真正被改變的不是工具，而是行政權力本身。效率提升了，但公共價值如何被詮釋、裁量如何被行使、權威如何被配置、責任又該歸給誰，這些公共行政的老問題，並沒有因此消失，反而變得更難回答。</w:t>
        <w:br/>
        <w:br/>
        <w:t>這也解釋了近年國際研究的轉向。大家不再只問「政府能不能用 AI」，而是開始追問：「AI 進來之後，行政權力與治理責任究竟發生了什麼改變？」這是一個治理問題，而不只是技術問題。</w:t>
        <w:br/>
        <w:br/>
        <w:t>全球研究其實已經多到可以進行系統性回顧。Batool、Zowghi 與 Bano（2025）整理了多層級架構與治理構件；Roehl 與 Hansen（2024）從良善治理的角度檢視自動化行政決定的協同與權衡；Almeida 與 Santos Júnior（2025）則進一步問，公共組織如何把原則內化為制度與實務。Gagua 等人（2025）的回顧更直接點出我們的處境：公共部門的 Responsible AI 研究仍是碎片化的，同樣的介入，放到不同制度與組織情境，就會啟動不同機制，產生不同結果。</w:t>
        <w:br/>
        <w:br/>
        <w:t>臺灣亦非空白。黃心怡、曾冠球、廖洲棚與陳敦源（2021）從公共價值、倫理風險與行政裁量切入；黃心怡與陳敦源（2023）再從鉅觀、組織與微觀層次，討論價值錯置、多重代理人、AI 裁量與自動化偏誤；張濱璿等人（2024）則處理公共服務的制度設計與法規調適。往旁邊看，資料治理（曾憲立等人，2022；李洛維，2024）、公平與非意圖歧視（李翠萍等人，2022）、地方政府應用（王禕梵，2024）、行動者網絡（丁玉珍，2024）以及生成式 AI 採納與信任（林民偉，2026；數位治理研究中心，2025–2026）等研究，也顯示臺灣的知識已分散在多個叢集裡累積。</w:t>
        <w:br/>
        <w:br/>
        <w:t>所以，問題從來不是臺灣「沒有研究」。</w:t>
        <w:br/>
        <w:br/>
        <w:t>本文真正想問的是：我們已經累積了這麼多 AI 治理研究，但這些研究，究竟累積成什麼樣的治理知識？</w:t>
        <w:br/>
        <w:br/>
        <w:t>這兩件事是不一樣的。一個領域可以不斷辨識新的風險、新的應用場域，提出許多合理的建議，但若不同研究之間無法辨識彼此的治理位置、無法相互連結、無法跨案例比較，那麼後續研究就很難在既有成果上穩定地修正、反駁或延伸。這正是本文所擔心的斷點。</w:t>
        <w:br/>
        <w:br/>
        <w:t>因此，本文把「累積性治理知識」理解為一個很基本的門檻：不同研究成果能否被置於可辨識的治理關係中，讓後續研究至少具有可定位性（locability）、可連結性（connectability）與可比較性（comparability）。這三項不是什麼新的測量模型，而是判斷一個領域是否從「產出累積」走向「知識累積」的最低條件。</w:t>
      </w:r>
    </w:p>
    <w:p>
      <w:pPr>
        <w:pStyle w:val="Heading2"/>
      </w:pPr>
      <w:r>
        <w:t>二、研究問題與研究策略</w:t>
      </w:r>
    </w:p>
    <w:p>
      <w:pPr>
        <w:pStyle w:val="Normal"/>
      </w:pPr>
      <w:r>
        <w:t>本文不打算用論文數量來判斷一個領域是否成熟，而是採取三階段的 OCT 策略。</w:t>
        <w:br/>
        <w:br/>
        <w:t>第一階段 Overview，分別整理全球與臺灣 AI 治理研究到底在問什麼、用什麼理論、看到哪一層、找誰負責、又提出什麼解方。</w:t>
        <w:br/>
        <w:br/>
        <w:t>第二階段 Comparative，比較兩者的知識累積方式。這裡刻意不建立「全球成熟、臺灣落後」的階序，而是想辨識兩種不同的碎片化。</w:t>
        <w:br/>
        <w:br/>
        <w:t>第三階段 Test，把我們自己的 25–3–3–4–7 放進同一個比較環境。它不是裁判，而是受測者之一。</w:t>
        <w:br/>
        <w:br/>
        <w:t>三個研究問題也由此展開：</w:t>
        <w:br/>
        <w:t>RQ1：臺灣目前到底累積了哪些研究問題、理論取徑與治理知識？</w:t>
        <w:br/>
        <w:t>RQ2：與全球相比，臺灣在範圍、連結方式與治理轉譯上有何異同？</w:t>
        <w:br/>
        <w:t>RQ3：既有研究是否構成 25–3–3–4–7 的 Coverage Failure 或 Added-Value Failure？反之，這套架構又能否提供既有研究尚未提供的資訊？</w:t>
        <w:br/>
        <w:br/>
        <w:t>這裡有一個自我設限：CF 與 AVF 只能由納入比較的既有文獻與實際分析結果產生，不靠假想的極端案例來製造反證。架構能不能活下來，由實質碰撞決定，而不是由我們自己說了算。</w:t>
        <w:br/>
        <w:br/>
        <w:t>文獻選擇上，本文採取理論導向的目的性選擇。第一輪以公共行政與公共治理為核心；第二輪依審查意見，刻意把邊界打開，將資訊法制、資料治理、AI 管理系統、風險管理、制度監理、多層治理等實務框架納入 challenge set。公共行政仍是問題場域，但不是知識搜尋的邊界。目的不是多找支持者，而是多找最強的挑戰者。</w:t>
        <w:br/>
        <w:br/>
        <w:t>為求透明，第二輪的納入標準有三：（1）必須提出可與 25–3–3–4–7 在同一分析工作上直接比較的架構或工具；（2）必須處理定位、權力、結構、責任或可執行性等至少一項；（3）必須是可公開檢核的正式文獻、標準或政府工具。本輪檢視二十餘項，最終進入正文交鋒者為十餘項核心工具，如 NIST AI RMF、ISO/IEC 42001、加拿大 AIA 等。搜尋在「未再出現足以改變 CF／AVF 判讀的新架構類型」時停止，這是本文的飽和判斷，而非窮盡。</w:t>
        <w:br/>
        <w:br/>
        <w:t>本文承認，這個過程仍由作者主導何謂「最強挑戰」，無法完全等同 PRISMA 的雙審流程。這是方法上的限制，但也是本文選擇誠實面對而非迴避的部分。</w:t>
      </w:r>
    </w:p>
    <w:p>
      <w:pPr>
        <w:jc w:val="center"/>
      </w:pPr>
      <w:r>
        <w:drawing>
          <wp:inline xmlns:a="http://schemas.openxmlformats.org/drawingml/2006/main" xmlns:pic="http://schemas.openxmlformats.org/drawingml/2006/picture">
            <wp:extent cx="5852160" cy="3511296"/>
            <wp:docPr id="1" name="Picture 1"/>
            <wp:cNvGraphicFramePr>
              <a:graphicFrameLocks noChangeAspect="1"/>
            </wp:cNvGraphicFramePr>
            <a:graphic>
              <a:graphicData uri="http://schemas.openxmlformats.org/drawingml/2006/picture">
                <pic:pic>
                  <pic:nvPicPr>
                    <pic:cNvPr id="0" name="image1.png"/>
                    <pic:cNvPicPr/>
                  </pic:nvPicPr>
                  <pic:blipFill>
                    <a:blip r:embed="rId9"/>
                    <a:stretch>
                      <a:fillRect/>
                    </a:stretch>
                  </pic:blipFill>
                  <pic:spPr>
                    <a:xfrm>
                      <a:off x="0" y="0"/>
                      <a:ext cx="5852160" cy="3511296"/>
                    </a:xfrm>
                    <a:prstGeom prst="rect"/>
                  </pic:spPr>
                </pic:pic>
              </a:graphicData>
            </a:graphic>
          </wp:inline>
        </w:drawing>
      </w:r>
    </w:p>
    <w:p>
      <w:pPr>
        <w:jc w:val="center"/>
      </w:pPr>
      <w:r>
        <w:rPr>
          <w:b/>
          <w:i w:val="0"/>
        </w:rPr>
        <w:t>圖1　目的性檢索與挑戰組（Challenge Set）篩選流程</w:t>
      </w:r>
    </w:p>
    <w:p>
      <w:r>
        <w:rPr>
          <w:b w:val="0"/>
          <w:i w:val="0"/>
        </w:rPr>
        <w:t>註：本流程為理論導向目的性選擇之透明化呈現，不等同PRISMA式系統性文獻回顧。停止點為未再出現足以改變既有CF／AVF判讀之新架構類型。</w:t>
      </w:r>
    </w:p>
    <w:p>
      <w:pPr>
        <w:pStyle w:val="Heading2"/>
      </w:pPr>
      <w:r>
        <w:t>三、全球AI治理研究：問題與處方都不缺，缺的是整合</w:t>
      </w:r>
    </w:p>
    <w:p>
      <w:pPr>
        <w:pStyle w:val="Normal"/>
      </w:pPr>
      <w:r>
        <w:t>如果只看問題意識，全球 AI 治理研究早已超越單純的 AI ethics。它的累積是實質的，但不是一套已完成的統一理論。令人不解的是，研究一方面在多條路徑上持續深化，另一方面，路徑之間的整合卻仍然有限。</w:t>
        <w:br/>
        <w:br/>
        <w:t>先看價值與風險。Roehl 與 Hansen（2024）用九項良善治理價值檢視自動化行政決定，已經不再只說「AI 有風險」，而是開始處理不同公共價值之間如何衝突、如何權衡。這是重要的進展。</w:t>
        <w:br/>
        <w:br/>
        <w:t>再看治理層級。Batool 等人（2025）把 AI 治理放到 team、organization、industry、national 與 international 等層級，並整理 Who、What、When、How。這提醒我們，若不說清楚治理發生在哪一層、由誰負責，AI governance 這個詞本身就會過度寬泛。</w:t>
        <w:br/>
        <w:br/>
        <w:t>第三個轉向是從原則走向組織。Almeida 與 Santos Júnior（2025）以 28 個公共組織為經驗基礎，追問原則如何被內化為流程與能力。這類研究開始回答公共管理者真正需要的問題：組織如何建立治理能力，而不只是政府應該遵守什麼原則。</w:t>
        <w:br/>
        <w:br/>
        <w:t>第四，情境與機制的重要性上升。Gagua 等人（2025）綜合 21 項實證研究指出，高階 Responsible AI 原則要轉化為情境化的組織實務仍然困難；同樣的介入，在不同情境會啟動不同機制，產生不同結果。這對本文也是一個提醒：全球研究本身也尚未完成從一般原則到特定處方的統一轉譯。</w:t>
        <w:br/>
        <w:br/>
        <w:t>最後，跨域文獻進一步擴張了挑戰組。Zuiderwijk 等人（2021）指出公共治理中的 AI 研究仍以探索性、質性、實務導向為主；Choung 等人（2025）以政府、企業與公民三類利害關係人建構多層架構，並以信任維度連結層次。UNESCO（2023）、Jiang 與 Xie（2025）則顯示 AI 治理已進入制度安排與監理能力建構的實作層次。</w:t>
        <w:br/>
        <w:br/>
        <w:t>這些材料不是用來堆疊支持性引用，而是用來反問自己：我們是否低估了既有研究在多層治理與制度設計上的分析能力？整體而言，全球研究已從倫理原則、風險與價值衝突，逐步走向課責、層級、組織實施與情境機制。這是一種實質累積，但整合問題仍待解決。</w:t>
      </w:r>
    </w:p>
    <w:p>
      <w:pPr>
        <w:pStyle w:val="Heading2"/>
      </w:pPr>
      <w:r>
        <w:t>四、臺灣AI治理研究：議題深化了，但共享語言還沒形成</w:t>
      </w:r>
    </w:p>
    <w:p>
      <w:pPr>
        <w:pStyle w:val="Normal"/>
      </w:pPr>
      <w:r>
        <w:t>臺灣的第一個特徵，是重要問題並不少，而且已經跨越多個叢集。</w:t>
        <w:br/>
        <w:br/>
        <w:t>在公共行政核心裡，黃心怡等人（2021）從公共價值、倫理風險與行政裁量切入；黃心怡與陳敦源（2023）以韋伯式官僚與組織人本主義為上層視角，再由鉅觀、組織與微觀討論價值錯置、多重代理人、AI 裁量與自動化偏誤；張濱璿等人（2024）則延伸到公共服務的制度設計與法規調適。</w:t>
        <w:br/>
        <w:br/>
        <w:t>跨出核心後，旁邊的叢集也各自深化。李翠萍等人（2022）處理非意圖歧視與公平；曾憲立、廖洲棚與李天申（2022）、蕭乃沂與朱斌妤（2022）、李洛維等人（2023）與李洛維（2024）分別從公私協作、文官調適、內部利害關係人與資料治理成熟度發展可操作模型；廖興中（2024）、王禕梵（2024）補充整體機會與地方應用；丁玉珍（2024）用行動者網絡提供不同視角；林民偉（2026）與數位治理研究中心（2025–2026）則觸及生成式 AI 的採納與信任。</w:t>
        <w:br/>
        <w:br/>
        <w:t>為了避免誤讀，這裡先說明樣本。本節所依據的是目的性選取的 16 項臺灣來源，涵蓋公共行政、資料治理、公平與權利、制度設計、地方政府、生成式 AI 與 ANT 等不同叢集。這已大幅超越原先僅依賴同一作者群三篇論文的範圍，但仍非全景普查。因此，以下判斷應理解為「基於本文所檢視樣本的型態刻畫」，而非對臺灣研究母體的定論。</w:t>
        <w:br/>
        <w:br/>
        <w:t>這些材料顯示，臺灣不是沒有理論，也不是只停留在技術應用描述。資料治理已有成熟度模型與因果評估，公平研究已系統處理權利後果，ANT 提供網絡視角，生成式 AI 研究也開始觸及信任。</w:t>
        <w:br/>
        <w:br/>
        <w:t>真正困難之處在於：當不同研究在各自叢集上持續深化時，是否形成一套讓後續研究可以穩定辨識「問題在哪裡、誰在行動、哪一種權力受影響、責任落在哪裡」的共享語言？</w:t>
        <w:br/>
        <w:br/>
        <w:t>本文不把臺灣定性為「淺」或「沒有架構」。較精確的說法是 substantive deepening with dispersed framework formation, but limited cross-study analytical convergence——議題持續深化，個別架構分散形成，但跨研究的分析收斂仍有限。本文也不把研究者推定為穩定知識社群，現有證據尚不足以支持穩定互引、共同概念語言或共享綱領等社群條件。這是一個誠實的限制，而不是為了批判而批判。</w:t>
      </w:r>
    </w:p>
    <w:p>
      <w:pPr>
        <w:pStyle w:val="Heading2"/>
      </w:pPr>
      <w:r>
        <w:t>五、全球與臺灣的比較：兩種不同的碎片化</w:t>
      </w:r>
    </w:p>
    <w:p>
      <w:pPr>
        <w:pStyle w:val="Normal"/>
      </w:pPr>
      <w:r>
        <w:t>把全球與臺灣放在一起看，不宜理解為一條從碎片化走向成熟的單一路徑。兩者面臨的是不同型態的碎片化。</w:t>
        <w:br/>
        <w:br/>
        <w:t>全球較明顯是垂直與水平碎片化：垂直面向上，研究分別進入個人、團隊、組織、產業、國家與國際；水平面向上，AI 倫理、演算法課責、自動化行政決定、人機互動、組織實施、風險治理與法規監理等傳統平行發展。難題是已經有多條研究鏈，但彼此尚未充分整合。</w:t>
        <w:br/>
        <w:br/>
        <w:t>臺灣則較接近議題實質深化後的連結問題。公共價值、倫理風險、行政裁量、自動化偏誤、組織治理、制度設計、資料治理、公平權利等議題都有實質研究，斷點在於不同研究使用不同理論、分析單位與問題意識，成果之間不容易被下一項研究定位、比較與接續。</w:t>
        <w:br/>
        <w:br/>
        <w:t>這個比較的目的，不是以全球作為臺灣的標準答案，而是建立後續壓力測試的基準：同一套分析程序，能否同時處理全球的 integration problem 與臺灣的 connection problem？</w:t>
      </w:r>
    </w:p>
    <w:p>
      <w:r>
        <w:rPr>
          <w:b/>
          <w:i w:val="0"/>
        </w:rPr>
        <w:t>表1　全球與臺灣AI治理研究之知識碎片化型態比較</w:t>
      </w:r>
    </w:p>
    <w:tbl>
      <w:tblPr>
        <w:tblStyle w:val="LightShading"/>
        <w:tblW w:type="auto" w:w="0"/>
        <w:tblLook w:firstColumn="1" w:firstRow="1" w:lastColumn="0" w:lastRow="0" w:noHBand="0" w:noVBand="1" w:val="04A0"/>
      </w:tblPr>
      <w:tblGrid>
        <w:gridCol w:w="2880"/>
        <w:gridCol w:w="2880"/>
        <w:gridCol w:w="2880"/>
      </w:tblGrid>
      <w:tr>
        <w:tc>
          <w:tcPr>
            <w:tcW w:type="dxa" w:w="2880"/>
          </w:tcPr>
          <w:p>
            <w:r>
              <w:t>比較面向</w:t>
            </w:r>
          </w:p>
        </w:tc>
        <w:tc>
          <w:tcPr>
            <w:tcW w:type="dxa" w:w="2880"/>
          </w:tcPr>
          <w:p>
            <w:r>
              <w:t>全球AI治理研究</w:t>
            </w:r>
          </w:p>
        </w:tc>
        <w:tc>
          <w:tcPr>
            <w:tcW w:type="dxa" w:w="2880"/>
          </w:tcPr>
          <w:p>
            <w:r>
              <w:t>臺灣AI治理研究</w:t>
            </w:r>
          </w:p>
        </w:tc>
      </w:tr>
      <w:tr>
        <w:tc>
          <w:tcPr>
            <w:tcW w:type="dxa" w:w="2880"/>
          </w:tcPr>
          <w:p>
            <w:r>
              <w:t>主要碎片化型態</w:t>
            </w:r>
          </w:p>
        </w:tc>
        <w:tc>
          <w:tcPr>
            <w:tcW w:type="dxa" w:w="2880"/>
          </w:tcPr>
          <w:p>
            <w:r>
              <w:t>Framework proliferation under vertical &amp; horizontal fragmentation</w:t>
            </w:r>
          </w:p>
        </w:tc>
        <w:tc>
          <w:tcPr>
            <w:tcW w:type="dxa" w:w="2880"/>
          </w:tcPr>
          <w:p>
            <w:r>
              <w:t>Substantive deepening with dispersed framework formation</w:t>
            </w:r>
          </w:p>
        </w:tc>
      </w:tr>
      <w:tr>
        <w:tc>
          <w:tcPr>
            <w:tcW w:type="dxa" w:w="2880"/>
          </w:tcPr>
          <w:p>
            <w:r>
              <w:t>累積特徵</w:t>
            </w:r>
          </w:p>
        </w:tc>
        <w:tc>
          <w:tcPr>
            <w:tcW w:type="dxa" w:w="2880"/>
          </w:tcPr>
          <w:p>
            <w:r>
              <w:t>系統性回顧、多層框架、法律、標準、風險與制度工具大量並存</w:t>
            </w:r>
          </w:p>
        </w:tc>
        <w:tc>
          <w:tcPr>
            <w:tcW w:type="dxa" w:w="2880"/>
          </w:tcPr>
          <w:p>
            <w:r>
              <w:t>公共行政、資料治理、資訊法制、制度標準與實務治理各自深化</w:t>
            </w:r>
          </w:p>
        </w:tc>
      </w:tr>
      <w:tr>
        <w:tc>
          <w:tcPr>
            <w:tcW w:type="dxa" w:w="2880"/>
          </w:tcPr>
          <w:p>
            <w:r>
              <w:t>主要斷點</w:t>
            </w:r>
          </w:p>
        </w:tc>
        <w:tc>
          <w:tcPr>
            <w:tcW w:type="dxa" w:w="2880"/>
          </w:tcPr>
          <w:p>
            <w:r>
              <w:t>跨框架、跨層級與跨領域分析整合仍不完整</w:t>
            </w:r>
          </w:p>
        </w:tc>
        <w:tc>
          <w:tcPr>
            <w:tcW w:type="dxa" w:w="2880"/>
          </w:tcPr>
          <w:p>
            <w:r>
              <w:t>跨研究共享分析語言與分析收斂仍有限</w:t>
            </w:r>
          </w:p>
        </w:tc>
      </w:tr>
      <w:tr>
        <w:tc>
          <w:tcPr>
            <w:tcW w:type="dxa" w:w="2880"/>
          </w:tcPr>
          <w:p>
            <w:r>
              <w:t>核心挑戰</w:t>
            </w:r>
          </w:p>
        </w:tc>
        <w:tc>
          <w:tcPr>
            <w:tcW w:type="dxa" w:w="2880"/>
          </w:tcPr>
          <w:p>
            <w:r>
              <w:t>How to integrate across frameworks?</w:t>
            </w:r>
          </w:p>
        </w:tc>
        <w:tc>
          <w:tcPr>
            <w:tcW w:type="dxa" w:w="2880"/>
          </w:tcPr>
          <w:p>
            <w:r>
              <w:t>How to connect across studies and domains?</w:t>
            </w:r>
          </w:p>
        </w:tc>
      </w:tr>
      <w:tr>
        <w:tc>
          <w:tcPr>
            <w:tcW w:type="dxa" w:w="2880"/>
          </w:tcPr>
          <w:p>
            <w:r>
              <w:t>本文比較立場</w:t>
            </w:r>
          </w:p>
        </w:tc>
        <w:tc>
          <w:tcPr>
            <w:tcW w:type="dxa" w:w="2880"/>
          </w:tcPr>
          <w:p>
            <w:r>
              <w:t>不是「全球已有架構、本文補空白」，而是檢驗既有強框架能否取代公共行政連續推證</w:t>
            </w:r>
          </w:p>
        </w:tc>
        <w:tc>
          <w:tcPr>
            <w:tcW w:type="dxa" w:w="2880"/>
          </w:tcPr>
          <w:p>
            <w:r>
              <w:t>不是「臺灣沒有架構」，而是檢驗分散架構能否形成可定位、連結與比較的共同程序</w:t>
            </w:r>
          </w:p>
        </w:tc>
      </w:tr>
    </w:tbl>
    <w:p>
      <w:r>
        <w:rPr>
          <w:b w:val="0"/>
          <w:i w:val="0"/>
        </w:rPr>
        <w:t>註：臺灣研究型態係基於本文所檢視之16項擴大樣本之觀察，非對臺灣AI治理研究母體之全面推論。</w:t>
      </w:r>
    </w:p>
    <w:p>
      <w:pPr>
        <w:jc w:val="center"/>
      </w:pPr>
      <w:r>
        <w:drawing>
          <wp:inline xmlns:a="http://schemas.openxmlformats.org/drawingml/2006/main" xmlns:pic="http://schemas.openxmlformats.org/drawingml/2006/picture">
            <wp:extent cx="5614416" cy="5177739"/>
            <wp:docPr id="2" name="Picture 2"/>
            <wp:cNvGraphicFramePr>
              <a:graphicFrameLocks noChangeAspect="1"/>
            </wp:cNvGraphicFramePr>
            <a:graphic>
              <a:graphicData uri="http://schemas.openxmlformats.org/drawingml/2006/picture">
                <pic:pic>
                  <pic:nvPicPr>
                    <pic:cNvPr id="0" name="image2.png"/>
                    <pic:cNvPicPr/>
                  </pic:nvPicPr>
                  <pic:blipFill>
                    <a:blip r:embed="rId10"/>
                    <a:stretch>
                      <a:fillRect/>
                    </a:stretch>
                  </pic:blipFill>
                  <pic:spPr>
                    <a:xfrm>
                      <a:off x="0" y="0"/>
                      <a:ext cx="5614416" cy="5177739"/>
                    </a:xfrm>
                    <a:prstGeom prst="rect"/>
                  </pic:spPr>
                </pic:pic>
              </a:graphicData>
            </a:graphic>
          </wp:inline>
        </w:drawing>
      </w:r>
    </w:p>
    <w:p>
      <w:pPr>
        <w:jc w:val="center"/>
      </w:pPr>
      <w:r>
        <w:rPr>
          <w:b/>
          <w:i w:val="0"/>
        </w:rPr>
        <w:t>圖2　AI治理下的公共行政問題地圖</w:t>
      </w:r>
    </w:p>
    <w:p>
      <w:r>
        <w:rPr>
          <w:b/>
          <w:i w:val="0"/>
        </w:rPr>
        <w:t>表2　25–3–3–4–7構件之操作定義與判別問題</w:t>
      </w:r>
    </w:p>
    <w:tbl>
      <w:tblPr>
        <w:tblStyle w:val="LightShading"/>
        <w:tblW w:type="auto" w:w="0"/>
        <w:tblLook w:firstColumn="1" w:firstRow="1" w:lastColumn="0" w:lastRow="0" w:noHBand="0" w:noVBand="1" w:val="04A0"/>
      </w:tblPr>
      <w:tblGrid>
        <w:gridCol w:w="2160"/>
        <w:gridCol w:w="2160"/>
        <w:gridCol w:w="2160"/>
        <w:gridCol w:w="2160"/>
      </w:tblGrid>
      <w:tr>
        <w:tc>
          <w:tcPr>
            <w:tcW w:type="dxa" w:w="2160"/>
          </w:tcPr>
          <w:p>
            <w:r>
              <w:t>構件</w:t>
            </w:r>
          </w:p>
        </w:tc>
        <w:tc>
          <w:tcPr>
            <w:tcW w:type="dxa" w:w="2160"/>
          </w:tcPr>
          <w:p>
            <w:r>
              <w:t>本文操作定義</w:t>
            </w:r>
          </w:p>
        </w:tc>
        <w:tc>
          <w:tcPr>
            <w:tcW w:type="dxa" w:w="2160"/>
          </w:tcPr>
          <w:p>
            <w:r>
              <w:t>判別問題</w:t>
            </w:r>
          </w:p>
        </w:tc>
        <w:tc>
          <w:tcPr>
            <w:tcW w:type="dxa" w:w="2160"/>
          </w:tcPr>
          <w:p>
            <w:r>
              <w:t>OCT功能</w:t>
            </w:r>
          </w:p>
        </w:tc>
      </w:tr>
      <w:tr>
        <w:tc>
          <w:tcPr>
            <w:tcW w:type="dxa" w:w="2160"/>
          </w:tcPr>
          <w:p>
            <w:r>
              <w:t>25治理座標</w:t>
            </w:r>
          </w:p>
        </w:tc>
        <w:tc>
          <w:tcPr>
            <w:tcW w:type="dxa" w:w="2160"/>
          </w:tcPr>
          <w:p>
            <w:r>
              <w:t>5分析層次 × 5分析單位的雙重定位</w:t>
            </w:r>
          </w:p>
        </w:tc>
        <w:tc>
          <w:tcPr>
            <w:tcW w:type="dxa" w:w="2160"/>
          </w:tcPr>
          <w:p>
            <w:r>
              <w:t>問題發生在哪個level × unit？</w:t>
            </w:r>
          </w:p>
        </w:tc>
        <w:tc>
          <w:tcPr>
            <w:tcW w:type="dxa" w:w="2160"/>
          </w:tcPr>
          <w:p>
            <w:r>
              <w:t>Locability</w:t>
            </w:r>
          </w:p>
        </w:tc>
      </w:tr>
      <w:tr>
        <w:tc>
          <w:tcPr>
            <w:tcW w:type="dxa" w:w="2160"/>
          </w:tcPr>
          <w:p>
            <w:r>
              <w:t>P1 情境建構</w:t>
            </w:r>
          </w:p>
        </w:tc>
        <w:tc>
          <w:tcPr>
            <w:tcW w:type="dxa" w:w="2160"/>
          </w:tcPr>
          <w:p>
            <w:r>
              <w:t>影響問題如何被看見、分類與呈現</w:t>
            </w:r>
          </w:p>
        </w:tc>
        <w:tc>
          <w:tcPr>
            <w:tcW w:type="dxa" w:w="2160"/>
          </w:tcPr>
          <w:p>
            <w:r>
              <w:t>誰決定「看見什麼問題」？</w:t>
            </w:r>
          </w:p>
        </w:tc>
        <w:tc>
          <w:tcPr>
            <w:tcW w:type="dxa" w:w="2160"/>
          </w:tcPr>
          <w:p>
            <w:r>
              <w:t>Power identification</w:t>
            </w:r>
          </w:p>
        </w:tc>
      </w:tr>
      <w:tr>
        <w:tc>
          <w:tcPr>
            <w:tcW w:type="dxa" w:w="2160"/>
          </w:tcPr>
          <w:p>
            <w:r>
              <w:t>P2 行政裁量</w:t>
            </w:r>
          </w:p>
        </w:tc>
        <w:tc>
          <w:tcPr>
            <w:tcW w:type="dxa" w:w="2160"/>
          </w:tcPr>
          <w:p>
            <w:r>
              <w:t>影響選項、判斷與決策空間</w:t>
            </w:r>
          </w:p>
        </w:tc>
        <w:tc>
          <w:tcPr>
            <w:tcW w:type="dxa" w:w="2160"/>
          </w:tcPr>
          <w:p>
            <w:r>
              <w:t>誰實質改變行政判斷？</w:t>
            </w:r>
          </w:p>
        </w:tc>
        <w:tc>
          <w:tcPr>
            <w:tcW w:type="dxa" w:w="2160"/>
          </w:tcPr>
          <w:p>
            <w:r>
              <w:t>Power identification</w:t>
            </w:r>
          </w:p>
        </w:tc>
      </w:tr>
      <w:tr>
        <w:tc>
          <w:tcPr>
            <w:tcW w:type="dxa" w:w="2160"/>
          </w:tcPr>
          <w:p>
            <w:r>
              <w:t>P3 公權力影響</w:t>
            </w:r>
          </w:p>
        </w:tc>
        <w:tc>
          <w:tcPr>
            <w:tcW w:type="dxa" w:w="2160"/>
          </w:tcPr>
          <w:p>
            <w:r>
              <w:t>影響人民權利、利益或義務</w:t>
            </w:r>
          </w:p>
        </w:tc>
        <w:tc>
          <w:tcPr>
            <w:tcW w:type="dxa" w:w="2160"/>
          </w:tcPr>
          <w:p>
            <w:r>
              <w:t>AI輸出是否進入公權力效果？</w:t>
            </w:r>
          </w:p>
        </w:tc>
        <w:tc>
          <w:tcPr>
            <w:tcW w:type="dxa" w:w="2160"/>
          </w:tcPr>
          <w:p>
            <w:r>
              <w:t>Power identification</w:t>
            </w:r>
          </w:p>
        </w:tc>
      </w:tr>
      <w:tr>
        <w:tc>
          <w:tcPr>
            <w:tcW w:type="dxa" w:w="2160"/>
          </w:tcPr>
          <w:p>
            <w:r>
              <w:t>跨格移動</w:t>
            </w:r>
          </w:p>
        </w:tc>
        <w:tc>
          <w:tcPr>
            <w:tcW w:type="dxa" w:w="2160"/>
          </w:tcPr>
          <w:p>
            <w:r>
              <w:t>治理功能由一治理座標移往另一座標</w:t>
            </w:r>
          </w:p>
        </w:tc>
        <w:tc>
          <w:tcPr>
            <w:tcW w:type="dxa" w:w="2160"/>
          </w:tcPr>
          <w:p>
            <w:r>
              <w:t>什麼從哪裡移到哪裡？</w:t>
            </w:r>
          </w:p>
        </w:tc>
        <w:tc>
          <w:tcPr>
            <w:tcW w:type="dxa" w:w="2160"/>
          </w:tcPr>
          <w:p>
            <w:r>
              <w:t>Structural effect</w:t>
            </w:r>
          </w:p>
        </w:tc>
      </w:tr>
      <w:tr>
        <w:tc>
          <w:tcPr>
            <w:tcW w:type="dxa" w:w="2160"/>
          </w:tcPr>
          <w:p>
            <w:r>
              <w:t>邊界消解</w:t>
            </w:r>
          </w:p>
        </w:tc>
        <w:tc>
          <w:tcPr>
            <w:tcW w:type="dxa" w:w="2160"/>
          </w:tcPr>
          <w:p>
            <w:r>
              <w:t>原有治理單位的責任界線模糊</w:t>
            </w:r>
          </w:p>
        </w:tc>
        <w:tc>
          <w:tcPr>
            <w:tcW w:type="dxa" w:w="2160"/>
          </w:tcPr>
          <w:p>
            <w:r>
              <w:t>哪些責任界線變得難以辨認？</w:t>
            </w:r>
          </w:p>
        </w:tc>
        <w:tc>
          <w:tcPr>
            <w:tcW w:type="dxa" w:w="2160"/>
          </w:tcPr>
          <w:p>
            <w:r>
              <w:t>Structural effect</w:t>
            </w:r>
          </w:p>
        </w:tc>
      </w:tr>
      <w:tr>
        <w:tc>
          <w:tcPr>
            <w:tcW w:type="dxa" w:w="2160"/>
          </w:tcPr>
          <w:p>
            <w:r>
              <w:t>權威重構</w:t>
            </w:r>
          </w:p>
        </w:tc>
        <w:tc>
          <w:tcPr>
            <w:tcW w:type="dxa" w:w="2160"/>
          </w:tcPr>
          <w:p>
            <w:r>
              <w:t>法定權威與實質影響力發生分離</w:t>
            </w:r>
          </w:p>
        </w:tc>
        <w:tc>
          <w:tcPr>
            <w:tcW w:type="dxa" w:w="2160"/>
          </w:tcPr>
          <w:p>
            <w:r>
              <w:t>誰依法有權、誰實際影響？</w:t>
            </w:r>
          </w:p>
        </w:tc>
        <w:tc>
          <w:tcPr>
            <w:tcW w:type="dxa" w:w="2160"/>
          </w:tcPr>
          <w:p>
            <w:r>
              <w:t>Structural effect</w:t>
            </w:r>
          </w:p>
        </w:tc>
      </w:tr>
      <w:tr>
        <w:tc>
          <w:tcPr>
            <w:tcW w:type="dxa" w:w="2160"/>
          </w:tcPr>
          <w:p>
            <w:r>
              <w:t>四治理鏈</w:t>
            </w:r>
          </w:p>
        </w:tc>
        <w:tc>
          <w:tcPr>
            <w:tcW w:type="dxa" w:w="2160"/>
          </w:tcPr>
          <w:p>
            <w:r>
              <w:t>以情境、權威、理由、責任追蹤治理關係</w:t>
            </w:r>
          </w:p>
        </w:tc>
        <w:tc>
          <w:tcPr>
            <w:tcW w:type="dxa" w:w="2160"/>
          </w:tcPr>
          <w:p>
            <w:r>
              <w:t>能否由問題一路追到責任？</w:t>
            </w:r>
          </w:p>
        </w:tc>
        <w:tc>
          <w:tcPr>
            <w:tcW w:type="dxa" w:w="2160"/>
          </w:tcPr>
          <w:p>
            <w:r>
              <w:t>Prescription linkage</w:t>
            </w:r>
          </w:p>
        </w:tc>
      </w:tr>
      <w:tr>
        <w:tc>
          <w:tcPr>
            <w:tcW w:type="dxa" w:w="2160"/>
          </w:tcPr>
          <w:p>
            <w:r>
              <w:t>七治理審計</w:t>
            </w:r>
          </w:p>
        </w:tc>
        <w:tc>
          <w:tcPr>
            <w:tcW w:type="dxa" w:w="2160"/>
          </w:tcPr>
          <w:p>
            <w:r>
              <w:t>將前端分析轉為可檢查、可執行的治理項目（詳細操作定義及與既有工具之示意對照見表4）</w:t>
            </w:r>
          </w:p>
        </w:tc>
        <w:tc>
          <w:tcPr>
            <w:tcW w:type="dxa" w:w="2160"/>
          </w:tcPr>
          <w:p>
            <w:r>
              <w:t>能否形成可執行的治理檢查？</w:t>
            </w:r>
          </w:p>
        </w:tc>
        <w:tc>
          <w:tcPr>
            <w:tcW w:type="dxa" w:w="2160"/>
          </w:tcPr>
          <w:p>
            <w:r>
              <w:t>Operationalization</w:t>
            </w:r>
          </w:p>
        </w:tc>
      </w:tr>
    </w:tbl>
    <w:p>
      <w:r>
        <w:rPr>
          <w:b/>
          <w:i w:val="0"/>
        </w:rPr>
        <w:t>表3　從AI治理問題診斷到對象化治理處方：25–3–3–4–7推證程序</w:t>
      </w:r>
    </w:p>
    <w:tbl>
      <w:tblPr>
        <w:tblStyle w:val="LightShading"/>
        <w:tblW w:type="auto" w:w="0"/>
        <w:tblLook w:firstColumn="1" w:firstRow="1" w:lastColumn="0" w:lastRow="0" w:noHBand="0" w:noVBand="1" w:val="04A0"/>
      </w:tblPr>
      <w:tblGrid>
        <w:gridCol w:w="1728"/>
        <w:gridCol w:w="1728"/>
        <w:gridCol w:w="1728"/>
        <w:gridCol w:w="1728"/>
        <w:gridCol w:w="1728"/>
      </w:tblGrid>
      <w:tr>
        <w:tc>
          <w:tcPr>
            <w:tcW w:type="dxa" w:w="1728"/>
          </w:tcPr>
          <w:p>
            <w:r>
              <w:t>25治理座標</w:t>
              <w:br/>
              <w:t>病灶在哪裡？</w:t>
              <w:br/>
              <w:t>Level × Unit</w:t>
            </w:r>
          </w:p>
        </w:tc>
        <w:tc>
          <w:tcPr>
            <w:tcW w:type="dxa" w:w="1728"/>
          </w:tcPr>
          <w:p>
            <w:r>
              <w:t>P1／P2／P3</w:t>
              <w:br/>
              <w:t>哪種權力受影響？</w:t>
            </w:r>
          </w:p>
        </w:tc>
        <w:tc>
          <w:tcPr>
            <w:tcW w:type="dxa" w:w="1728"/>
          </w:tcPr>
          <w:p>
            <w:r>
              <w:t>3E結構效應</w:t>
              <w:br/>
              <w:t>治理關係怎麼變？</w:t>
            </w:r>
          </w:p>
        </w:tc>
        <w:tc>
          <w:tcPr>
            <w:tcW w:type="dxa" w:w="1728"/>
          </w:tcPr>
          <w:p>
            <w:r>
              <w:t>四治理鏈</w:t>
              <w:br/>
              <w:t>理由與責任在哪？</w:t>
            </w:r>
          </w:p>
        </w:tc>
        <w:tc>
          <w:tcPr>
            <w:tcW w:type="dxa" w:w="1728"/>
          </w:tcPr>
          <w:p>
            <w:r>
              <w:t>七治理審計</w:t>
              <w:br/>
              <w:t>如何檢查與執行？</w:t>
              <w:br/>
              <w:t>→ 對象化處方</w:t>
            </w:r>
          </w:p>
        </w:tc>
      </w:tr>
    </w:tbl>
    <w:p>
      <w:pPr>
        <w:pStyle w:val="Heading2"/>
      </w:pPr>
      <w:r>
        <w:t>六、理論壓力測試：診斷如何推到處方</w:t>
      </w:r>
    </w:p>
    <w:p>
      <w:pPr>
        <w:pStyle w:val="Normal"/>
      </w:pPr>
      <w:r>
        <w:t>前面的比較顯示，全球與臺灣都不缺問題，也不缺處方。真正值得檢驗的，是中間那段推證是否完整：特定問題發生在何種治理位置、涉及何種權力關係、應由何種行政主體介入、又如何追蹤責任？</w:t>
        <w:br/>
        <w:br/>
        <w:t>問題從來不是「有沒有診斷」或「有沒有處方」，而是診斷如何推到這張處方，以及這張處方究竟是開給誰。</w:t>
        <w:br/>
        <w:br/>
        <w:t>本文因此以 25 治理座標、P1/P2/P3 與三項結構效應作為主要測試。四條治理鏈與七項治理審計只在既有研究已提出具體處方時，才用來檢視責任與行動能否繼續向下追蹤。這是維持原有分析順序，而不是增加新測試。</w:t>
        <w:br/>
        <w:br/>
        <w:t>作為操作性介面，七項審計不重新做前端理論判斷，而是把診斷轉譯為檢查入口。例如，若 3E 辨識出外部供應商實質影響力上升，就啟動 G6 供應商與採購審計；若四治理鏈顯示覆核權、授權或理由記錄不清，就轉入 G3 權限與人機分工及 G4 程序與理由審計；若 P3 已進入資格、權利或利益效果，G5 權利影響與救濟審計就是必要入口。G1–G7 的功能是把前端分析結果轉為可執行檢核，而不是另起一套與 NIST、ISO 或 Canada AIA 競爭的平行理論。</w:t>
        <w:br/>
        <w:br/>
        <w:t>這裡最重要的方法論提醒是：25–3–3–4–7 不是預設正確的分類盒。若既有研究已能完成相同或更精確的分析，母架構就面臨 AVF；若重要現象無法在不扭曲原意下被表示，就構成 CF。測試不是問「文獻能不能被放進去」，而是問：「放進去之後，我們有沒有多知道什麼？」</w:t>
      </w:r>
    </w:p>
    <w:p>
      <w:r>
        <w:rPr>
          <w:b w:val="0"/>
          <w:i w:val="0"/>
        </w:rPr>
        <w:t>以下對照為本文根據既有工具公開文件所作之分析性歸類，用以說明七項審計如何承接、而非取代這些成熟工具；並非官方逐條對照，也不主張窮盡或優於NIST AI RMF、ISO/IEC 42001或加拿大AIA。</w:t>
      </w:r>
    </w:p>
    <w:p>
      <w:r>
        <w:rPr>
          <w:b/>
          <w:i w:val="0"/>
        </w:rPr>
        <w:t>表4　七項治理審計之操作定義與既有工具功能區塊之分析性對照（示意）</w:t>
      </w:r>
    </w:p>
    <w:tbl>
      <w:tblPr>
        <w:tblStyle w:val="LightShading"/>
        <w:tblW w:type="auto" w:w="0"/>
        <w:tblLook w:firstColumn="1" w:firstRow="1" w:lastColumn="0" w:lastRow="0" w:noHBand="0" w:noVBand="1" w:val="04A0"/>
      </w:tblPr>
      <w:tblGrid>
        <w:gridCol w:w="2160"/>
        <w:gridCol w:w="2160"/>
        <w:gridCol w:w="2160"/>
        <w:gridCol w:w="2160"/>
      </w:tblGrid>
      <w:tr>
        <w:tc>
          <w:tcPr>
            <w:tcW w:type="dxa" w:w="2160"/>
          </w:tcPr>
          <w:p>
            <w:r>
              <w:t>代碼</w:t>
            </w:r>
          </w:p>
        </w:tc>
        <w:tc>
          <w:tcPr>
            <w:tcW w:type="dxa" w:w="2160"/>
          </w:tcPr>
          <w:p>
            <w:r>
              <w:t>審計項目</w:t>
            </w:r>
          </w:p>
        </w:tc>
        <w:tc>
          <w:tcPr>
            <w:tcW w:type="dxa" w:w="2160"/>
          </w:tcPr>
          <w:p>
            <w:r>
              <w:t>審計內容（操作定義）</w:t>
            </w:r>
          </w:p>
        </w:tc>
        <w:tc>
          <w:tcPr>
            <w:tcW w:type="dxa" w:w="2160"/>
          </w:tcPr>
          <w:p>
            <w:r>
              <w:t>對應既有工具（示意，非官方逐條對照）</w:t>
            </w:r>
          </w:p>
        </w:tc>
      </w:tr>
      <w:tr>
        <w:tc>
          <w:tcPr>
            <w:tcW w:type="dxa" w:w="2160"/>
          </w:tcPr>
          <w:p>
            <w:r>
              <w:t>G1</w:t>
            </w:r>
          </w:p>
        </w:tc>
        <w:tc>
          <w:tcPr>
            <w:tcW w:type="dxa" w:w="2160"/>
          </w:tcPr>
          <w:p>
            <w:r>
              <w:t>資料治理審計</w:t>
            </w:r>
          </w:p>
        </w:tc>
        <w:tc>
          <w:tcPr>
            <w:tcW w:type="dxa" w:w="2160"/>
          </w:tcPr>
          <w:p>
            <w:r>
              <w:t>訓練與輸入資料之來源、代表性、更新與品質控管</w:t>
            </w:r>
          </w:p>
        </w:tc>
        <w:tc>
          <w:tcPr>
            <w:tcW w:type="dxa" w:w="2160"/>
          </w:tcPr>
          <w:p>
            <w:r>
              <w:t>NIST AI RMF—Map；ISO/IEC 42001—資源與資料管理條款；Canada AIA—資料相關評分項目</w:t>
            </w:r>
          </w:p>
        </w:tc>
      </w:tr>
      <w:tr>
        <w:tc>
          <w:tcPr>
            <w:tcW w:type="dxa" w:w="2160"/>
          </w:tcPr>
          <w:p>
            <w:r>
              <w:t>G2</w:t>
            </w:r>
          </w:p>
        </w:tc>
        <w:tc>
          <w:tcPr>
            <w:tcW w:type="dxa" w:w="2160"/>
          </w:tcPr>
          <w:p>
            <w:r>
              <w:t>模型／演算法審計</w:t>
            </w:r>
          </w:p>
        </w:tc>
        <w:tc>
          <w:tcPr>
            <w:tcW w:type="dxa" w:w="2160"/>
          </w:tcPr>
          <w:p>
            <w:r>
              <w:t>模型設計、效能、限制與已知風險之記錄與檢視</w:t>
            </w:r>
          </w:p>
        </w:tc>
        <w:tc>
          <w:tcPr>
            <w:tcW w:type="dxa" w:w="2160"/>
          </w:tcPr>
          <w:p>
            <w:r>
              <w:t>NIST AI RMF—Measure；ISO/IEC 42001—AI系統開發與設計控制；Canada AIA—演算法與設計問項</w:t>
            </w:r>
          </w:p>
        </w:tc>
      </w:tr>
      <w:tr>
        <w:tc>
          <w:tcPr>
            <w:tcW w:type="dxa" w:w="2160"/>
          </w:tcPr>
          <w:p>
            <w:r>
              <w:t>G3</w:t>
            </w:r>
          </w:p>
        </w:tc>
        <w:tc>
          <w:tcPr>
            <w:tcW w:type="dxa" w:w="2160"/>
          </w:tcPr>
          <w:p>
            <w:r>
              <w:t>權限與人機分工審計</w:t>
            </w:r>
          </w:p>
        </w:tc>
        <w:tc>
          <w:tcPr>
            <w:tcW w:type="dxa" w:w="2160"/>
          </w:tcPr>
          <w:p>
            <w:r>
              <w:t>人機決策分工、可否否決、覆核與介入權限之明確化</w:t>
            </w:r>
          </w:p>
        </w:tc>
        <w:tc>
          <w:tcPr>
            <w:tcW w:type="dxa" w:w="2160"/>
          </w:tcPr>
          <w:p>
            <w:r>
              <w:t>NIST AI RMF—Govern；ISO/IEC 42001—人為監督與角色責任條款；Canada AIA—人機協作減緩措施</w:t>
            </w:r>
          </w:p>
        </w:tc>
      </w:tr>
      <w:tr>
        <w:tc>
          <w:tcPr>
            <w:tcW w:type="dxa" w:w="2160"/>
          </w:tcPr>
          <w:p>
            <w:r>
              <w:t>G4</w:t>
            </w:r>
          </w:p>
        </w:tc>
        <w:tc>
          <w:tcPr>
            <w:tcW w:type="dxa" w:w="2160"/>
          </w:tcPr>
          <w:p>
            <w:r>
              <w:t>程序與理由審計</w:t>
            </w:r>
          </w:p>
        </w:tc>
        <w:tc>
          <w:tcPr>
            <w:tcW w:type="dxa" w:w="2160"/>
          </w:tcPr>
          <w:p>
            <w:r>
              <w:t>決策程序是否可追溯、理由是否可記錄與檢視</w:t>
            </w:r>
          </w:p>
        </w:tc>
        <w:tc>
          <w:tcPr>
            <w:tcW w:type="dxa" w:w="2160"/>
          </w:tcPr>
          <w:p>
            <w:r>
              <w:t>NIST AI RMF—Manage；ISO/IEC 42001—流程文件化與可追溯性條款；Canada AIA—決策紀錄要求</w:t>
            </w:r>
          </w:p>
        </w:tc>
      </w:tr>
      <w:tr>
        <w:tc>
          <w:tcPr>
            <w:tcW w:type="dxa" w:w="2160"/>
          </w:tcPr>
          <w:p>
            <w:r>
              <w:t>G5</w:t>
            </w:r>
          </w:p>
        </w:tc>
        <w:tc>
          <w:tcPr>
            <w:tcW w:type="dxa" w:w="2160"/>
          </w:tcPr>
          <w:p>
            <w:r>
              <w:t>權利影響與救濟審計</w:t>
            </w:r>
          </w:p>
        </w:tc>
        <w:tc>
          <w:tcPr>
            <w:tcW w:type="dxa" w:w="2160"/>
          </w:tcPr>
          <w:p>
            <w:r>
              <w:t>對人民權利、資格、利益之影響評估與救濟管道</w:t>
            </w:r>
          </w:p>
        </w:tc>
        <w:tc>
          <w:tcPr>
            <w:tcW w:type="dxa" w:w="2160"/>
          </w:tcPr>
          <w:p>
            <w:r>
              <w:t>NIST AI RMF—Manage（對個人之危害）；ISO/IEC 42001—衝擊評估條款；Canada AIA—影響等級與救濟規定</w:t>
            </w:r>
          </w:p>
        </w:tc>
      </w:tr>
      <w:tr>
        <w:tc>
          <w:tcPr>
            <w:tcW w:type="dxa" w:w="2160"/>
          </w:tcPr>
          <w:p>
            <w:r>
              <w:t>G6</w:t>
            </w:r>
          </w:p>
        </w:tc>
        <w:tc>
          <w:tcPr>
            <w:tcW w:type="dxa" w:w="2160"/>
          </w:tcPr>
          <w:p>
            <w:r>
              <w:t>供應商與採購審計</w:t>
            </w:r>
          </w:p>
        </w:tc>
        <w:tc>
          <w:tcPr>
            <w:tcW w:type="dxa" w:w="2160"/>
          </w:tcPr>
          <w:p>
            <w:r>
              <w:t>外部供應商、委外開發與採購合約之治理條件</w:t>
            </w:r>
          </w:p>
        </w:tc>
        <w:tc>
          <w:tcPr>
            <w:tcW w:type="dxa" w:w="2160"/>
          </w:tcPr>
          <w:p>
            <w:r>
              <w:t>NIST AI RMF—Govern（第三方風險）；ISO/IEC 42001—供應商管理條款；Canada AIA—外部開發揭露問項</w:t>
            </w:r>
          </w:p>
        </w:tc>
      </w:tr>
      <w:tr>
        <w:tc>
          <w:tcPr>
            <w:tcW w:type="dxa" w:w="2160"/>
          </w:tcPr>
          <w:p>
            <w:r>
              <w:t>G7</w:t>
            </w:r>
          </w:p>
        </w:tc>
        <w:tc>
          <w:tcPr>
            <w:tcW w:type="dxa" w:w="2160"/>
          </w:tcPr>
          <w:p>
            <w:r>
              <w:t>組織能力與監督審計</w:t>
            </w:r>
          </w:p>
        </w:tc>
        <w:tc>
          <w:tcPr>
            <w:tcW w:type="dxa" w:w="2160"/>
          </w:tcPr>
          <w:p>
            <w:r>
              <w:t>組織內部AI治理能力、同儕審查與持續監督機制</w:t>
            </w:r>
          </w:p>
        </w:tc>
        <w:tc>
          <w:tcPr>
            <w:tcW w:type="dxa" w:w="2160"/>
          </w:tcPr>
          <w:p>
            <w:r>
              <w:t>NIST AI RMF—Govern；ISO/IEC 42001—績效評估與持續改善條款；Canada AIA—同儕審查與部門監督要求</w:t>
            </w:r>
          </w:p>
        </w:tc>
      </w:tr>
    </w:tbl>
    <w:p>
      <w:pPr>
        <w:pStyle w:val="Heading2"/>
      </w:pPr>
      <w:r>
        <w:t>七、第一層測試：25座標——病灶究竟在哪裡？</w:t>
      </w:r>
    </w:p>
    <w:p>
      <w:pPr>
        <w:pStyle w:val="Normal"/>
      </w:pPr>
      <w:r>
        <w:t>25 座標要求同時回答「在哪一層」與「哪一個治理單位」。臺灣既有研究並非沒有層次觀點，例如黃心怡與陳敦源（2023）已使用鉅觀、組織與微觀。因此，若 25 座標只是把層次重新命名，並不構成增值。</w:t>
        <w:br/>
        <w:br/>
        <w:t>它的增值在於：level 之後，unit 仍必須被確定。同一個「組織層次」可能同時包含中央主管機關、地方政府、業務單位、資訊單位、採購單位與外部供應商，它們的法定權限、資源與責任完全不同。25 座標逼著我們回答，問題究竟落在「哪一個」治理位置。</w:t>
        <w:br/>
        <w:br/>
        <w:t>這項區辨讓「星辰圖」現象變得可觀察：每一項議題都可能成立，但若各自落在不同 level 與 unit，而關係沒被說明，重要發現仍會是分離節點。</w:t>
        <w:br/>
        <w:br/>
        <w:t>舉一個具體對照。Batool 等人（2025）可以把「地方政府採用 AI 輔助社福資格審查」定位在 organization 層級，並標註為 accountability 議題。這已經指出「這是組織層級的課責問題」。若改以 25 座標處理，我們必須進一步問：主要治理位置是誰？若焦點是承辦業務的局處或負責維運的資訊單位，定位是 L2–U3；若爭議直接來自模型與參數本身，定位是 L2–U1；若焦點是採購規範或技術標準，才以 L2–U5 為主要或衍生位置。三者指向完全不同的介入路徑——技術修正、組織責任或制度調整。這就是本文所稱「level 之後，unit 仍須確定」的增值。</w:t>
        <w:br/>
        <w:br/>
        <w:t>當然，這個增值目前僅以單一案例展示，穩定性仍待更多案例覆核。若既有 multi-level 或 multi-actor 架構能以更少構件、同等精度完成此工作，25 座標仍應判為 AVF。這是我們必須保留的退路。</w:t>
      </w:r>
    </w:p>
    <w:p w:rsidR="00F676FC" w:rsidRDefault="0062439A">
      <w:pPr>
        <w:ind w:firstLine="440"/>
        <w:jc w:val="both"/>
        <w:rPr>
          <w:lang w:eastAsia="zh-TW"/>
        </w:rPr>
      </w:pPr>
      <w:r>
        <w:rPr>
          <w:lang w:eastAsia="zh-TW"/>
        </w:rPr>
        <w:t>第二個等價性挑戰來自Choung等人（2025）的多層AI治理架構。該架構以政府、企業與公民三類相互依賴的治理主體，配合信任維度分析AI治理，已能比單純的層級分類更清楚地辨識多方行動者。若以「政府使用外部供應商之AI系統輔助行政資格判定」為例，Choung等人的架構可辨識政府—企業—公民之間的治理關係；25座標若不能再增加可操作資訊，即應承認AVF。本文目前可主張的增值僅在於：同一事件仍須進一步區分技術系統（U1）、承辦或專業行動者（U2）、政府機關與外部供應商等組織／機構行動者（U3）、受影響人民（U4）及約束各方的制度／治理環境（U5），並將主要治理位置向後連接P1／P2／P3與責任追蹤。故25座標的credit不在「多層次」本身，而在雙重定位及其後續推證連接；若既有multi-level／multi-actor架構能以同等精度與更少構件完成此工作，25座標仍應判為AVF。</w:t>
      </w:r>
    </w:p>
    <w:p>
      <w:r>
        <w:rPr>
          <w:b/>
          <w:i w:val="0"/>
        </w:rPr>
        <w:t>表5　25座標與既有multi-level／multi-actor架構之等價性挑戰摘要</w:t>
      </w:r>
    </w:p>
    <w:tbl>
      <w:tblPr>
        <w:tblStyle w:val="LightShading"/>
        <w:tblW w:type="auto" w:w="0"/>
        <w:tblLook w:firstColumn="1" w:firstRow="1" w:lastColumn="0" w:lastRow="0" w:noHBand="0" w:noVBand="1" w:val="04A0"/>
      </w:tblPr>
      <w:tblGrid>
        <w:gridCol w:w="2160"/>
        <w:gridCol w:w="2160"/>
        <w:gridCol w:w="2160"/>
        <w:gridCol w:w="2160"/>
      </w:tblGrid>
      <w:tr>
        <w:tc>
          <w:tcPr>
            <w:tcW w:type="dxa" w:w="2160"/>
          </w:tcPr>
          <w:p>
            <w:r>
              <w:t>比較工作</w:t>
            </w:r>
          </w:p>
        </w:tc>
        <w:tc>
          <w:tcPr>
            <w:tcW w:type="dxa" w:w="2160"/>
          </w:tcPr>
          <w:p>
            <w:r>
              <w:t>既有multi-level／multi-actor架構</w:t>
            </w:r>
          </w:p>
        </w:tc>
        <w:tc>
          <w:tcPr>
            <w:tcW w:type="dxa" w:w="2160"/>
          </w:tcPr>
          <w:p>
            <w:r>
              <w:t>25座標目前可增加之資訊</w:t>
            </w:r>
          </w:p>
        </w:tc>
        <w:tc>
          <w:tcPr>
            <w:tcW w:type="dxa" w:w="2160"/>
          </w:tcPr>
          <w:p>
            <w:r>
              <w:t>AVF判準</w:t>
            </w:r>
          </w:p>
        </w:tc>
      </w:tr>
      <w:tr>
        <w:tc>
          <w:tcPr>
            <w:tcW w:type="dxa" w:w="2160"/>
          </w:tcPr>
          <w:p>
            <w:r>
              <w:t>治理層級定位</w:t>
            </w:r>
          </w:p>
        </w:tc>
        <w:tc>
          <w:tcPr>
            <w:tcW w:type="dxa" w:w="2160"/>
          </w:tcPr>
          <w:p>
            <w:r>
              <w:t>可完成</w:t>
            </w:r>
          </w:p>
        </w:tc>
        <w:tc>
          <w:tcPr>
            <w:tcW w:type="dxa" w:w="2160"/>
          </w:tcPr>
          <w:p>
            <w:r>
              <w:t>不主張新增價值</w:t>
            </w:r>
          </w:p>
        </w:tc>
        <w:tc>
          <w:tcPr>
            <w:tcW w:type="dxa" w:w="2160"/>
          </w:tcPr>
          <w:p>
            <w:r>
              <w:t>若僅重述層級，AVF成立</w:t>
            </w:r>
          </w:p>
        </w:tc>
      </w:tr>
      <w:tr>
        <w:tc>
          <w:tcPr>
            <w:tcW w:type="dxa" w:w="2160"/>
          </w:tcPr>
          <w:p>
            <w:r>
              <w:t>多方行動者辨識</w:t>
            </w:r>
          </w:p>
        </w:tc>
        <w:tc>
          <w:tcPr>
            <w:tcW w:type="dxa" w:w="2160"/>
          </w:tcPr>
          <w:p>
            <w:r>
              <w:t>可完成</w:t>
            </w:r>
          </w:p>
        </w:tc>
        <w:tc>
          <w:tcPr>
            <w:tcW w:type="dxa" w:w="2160"/>
          </w:tcPr>
          <w:p>
            <w:r>
              <w:t>進一步區分level × unit之主要治理位置</w:t>
            </w:r>
          </w:p>
        </w:tc>
        <w:tc>
          <w:tcPr>
            <w:tcW w:type="dxa" w:w="2160"/>
          </w:tcPr>
          <w:p>
            <w:r>
              <w:t>若既有架構可同等精度定位，AVF成立</w:t>
            </w:r>
          </w:p>
        </w:tc>
      </w:tr>
      <w:tr>
        <w:tc>
          <w:tcPr>
            <w:tcW w:type="dxa" w:w="2160"/>
          </w:tcPr>
          <w:p>
            <w:r>
              <w:t>技術／組織／人民／制度區分</w:t>
            </w:r>
          </w:p>
        </w:tc>
        <w:tc>
          <w:tcPr>
            <w:tcW w:type="dxa" w:w="2160"/>
          </w:tcPr>
          <w:p>
            <w:r>
              <w:t>依架構而異</w:t>
            </w:r>
          </w:p>
        </w:tc>
        <w:tc>
          <w:tcPr>
            <w:tcW w:type="dxa" w:w="2160"/>
          </w:tcPr>
          <w:p>
            <w:r>
              <w:t>以U1–U5明示分析對象並允許primary/secondary locus</w:t>
            </w:r>
          </w:p>
        </w:tc>
        <w:tc>
          <w:tcPr>
            <w:tcW w:type="dxa" w:w="2160"/>
          </w:tcPr>
          <w:p>
            <w:r>
              <w:t>若無法導致不同責任或處方，AVF成立</w:t>
            </w:r>
          </w:p>
        </w:tc>
      </w:tr>
      <w:tr>
        <w:tc>
          <w:tcPr>
            <w:tcW w:type="dxa" w:w="2160"/>
          </w:tcPr>
          <w:p>
            <w:r>
              <w:t>向後連接權力與責任</w:t>
            </w:r>
          </w:p>
        </w:tc>
        <w:tc>
          <w:tcPr>
            <w:tcW w:type="dxa" w:w="2160"/>
          </w:tcPr>
          <w:p>
            <w:r>
              <w:t>部分架構可處理</w:t>
            </w:r>
          </w:p>
        </w:tc>
        <w:tc>
          <w:tcPr>
            <w:tcW w:type="dxa" w:w="2160"/>
          </w:tcPr>
          <w:p>
            <w:r>
              <w:t>連接P1/P2/P3、3E與責任追蹤</w:t>
            </w:r>
          </w:p>
        </w:tc>
        <w:tc>
          <w:tcPr>
            <w:tcW w:type="dxa" w:w="2160"/>
          </w:tcPr>
          <w:p>
            <w:r>
              <w:t>若替代架構以更少構件完成同等工作，AVF成立</w:t>
            </w:r>
          </w:p>
        </w:tc>
      </w:tr>
    </w:tbl>
    <w:p>
      <w:pPr>
        <w:pStyle w:val="Heading2"/>
      </w:pPr>
      <w:r>
        <w:t>八、第二層測試：P1、P2、P3——影響的是哪一種權力？</w:t>
      </w:r>
    </w:p>
    <w:p>
      <w:pPr>
        <w:pStyle w:val="Normal"/>
      </w:pPr>
      <w:r>
        <w:t>既有研究常說 AI 會影響公共價值、行政裁量或人民權利，但「影響」本身不是夠精確的權力概念。</w:t>
        <w:br/>
        <w:br/>
        <w:t>本文區分為三種：P1 情境建構，影響問題如何被看見、分類與呈現；P2 行政裁量，影響選項、判斷與決策空間；P3 公權力影響，影響人民資格、權利、利益或義務。</w:t>
        <w:br/>
        <w:br/>
        <w:t>同樣一句「AI 協助決策」，可能只是在 P1 提供資訊框架，也可能在 P2 改變承辦人的選項，甚至在 P3 直接進入資格、許可或福利決定。三者的治理後果完全不同。</w:t>
        <w:br/>
        <w:br/>
        <w:t>3P 的增值，在於把分散在資料、心理、組織與行政法研究中的現象重新連回權力功能。例如 automation bias 若使承辦人持續接受模型建議，就不再只是心理現象，而可能成為 P2 實質移動的機制；資料選取決定哪些人口、案件被看見，就可能參與 P1。</w:t>
        <w:br/>
        <w:br/>
        <w:t>為了避免 P1 與 P2 邊界模糊，本文提供一個簡單判準：先問「改變的是問題被看見的方式，還是個案選項與判斷本身？」若僅止於前者，歸為 P1；若已限縮或替換承辦人可選擇的方案，則歸為 P2；若二者皆有，應同時標記並註明何者為主。以資料選取為例：若選樣範圍只決定哪些人口被納入視野，但承辦人仍保有完整裁量空間，歸為 P1；若資料選取導致特定案件被自動篩除，承辦人已無從審視，則應同時標記為 P1 與 P2，並以 P2 為主要治理後果。</w:t>
      </w:r>
    </w:p>
    <w:p>
      <w:pPr>
        <w:pStyle w:val="Heading2"/>
      </w:pPr>
      <w:r>
        <w:t>九、第三層測試：三項結構效應——只是換名字嗎？</w:t>
      </w:r>
    </w:p>
    <w:p>
      <w:pPr>
        <w:pStyle w:val="Normal"/>
      </w:pPr>
      <w:r>
        <w:t>三項結構效應是最需要接受 AVF 挑戰的部分。全球文獻已大量討論 boundary、accountability gap、vendor influence 與 algorithmic authority，因此「跨格移動、邊界消解、權威重構」不能因名稱不同就被視為新理論。</w:t>
        <w:br/>
        <w:br/>
        <w:t>本文的自我要求是：跨格移動必須指出功能從哪個座標移往哪個座標；邊界消解必須指出哪些責任界線變得難以辨認；權威重構必須區分法定權威仍在何處，而實質影響力是否移往模型、資訊專業者或外部供應商。</w:t>
        <w:br/>
        <w:br/>
        <w:t>若既有研究已能以相同精度完成這些工作，三結構效應就應被視為 AVF 候選。第二輪擴大比較後，本文必須誠實撤回「三者是全新 AI 治理現象」的強主張。既有研究已從算法權力、系統官僚、去中心化、科技企業權力等不同路徑觸及高度相近的現象。</w:t>
        <w:br/>
        <w:br/>
        <w:t>3E 目前仍保留的增值，不在現象命名，而在作為連續診斷程序：追蹤功能從何處移動、邊界如何改變、法定與實質權威如何重配。因此，本文將其理論地位由「新穎結構效應」降為「整合性結構診斷程序」。這不是修辭上的退讓，而是壓力測試後的實質修正。</w:t>
        <w:br/>
        <w:br/>
        <w:t>降格後，有必要釐清 3E 與四治理鏈的分工：3E 處理「發生什麼改變」——結構關係如何變化；四治理鏈處理「應由誰、依何種理由、負何種責任」——把結構變化追蹤為可歸屬的行政理由鏈。簡言之，3E 是發現程序，四治理鏈是歸責程序。前者若無後者接續，僅止於描述；後者若無前者先行，則失去定位依據。為避免重複計數，同一證據可依序觸發兩者，但不得以同一命題同時計為兩項獨立發現。</w:t>
      </w:r>
    </w:p>
    <w:p>
      <w:pPr>
        <w:pStyle w:val="Heading2"/>
      </w:pPr>
      <w:r>
        <w:t>十、Multiple-Client Test：處方究竟開給誰？</w:t>
      </w:r>
    </w:p>
    <w:p>
      <w:pPr>
        <w:pStyle w:val="Normal"/>
      </w:pPr>
      <w:r>
        <w:t>治理處方不能只對病徵開立，而必須對治理位置與責任主體開立。</w:t>
        <w:br/>
        <w:br/>
        <w:t>同一句「政府應強化 AI 透明、監督與課責」，數發部部長、國科會主委、研究機構主管、地方資訊處長、業務局處首長、第一線公務員與行政相對人都可能點頭同意。但每一個人需要的行政資訊完全不同。</w:t>
        <w:br/>
        <w:br/>
        <w:t>Agreement does not imply actionability.</w:t>
        <w:br/>
        <w:br/>
        <w:t>只有當處方的適用對象、治理位置、權限與責任可以被辨識時，它才開始具有可行動性。Multiple-Client Test 不是新的量表，而是可定位性的實務檢查：一位公共管理者即使完全同意診斷，若仍不知道「是不是我的工作、我有沒有權做、我要在哪裡做」，則診斷與處方之間的推證仍未完成。</w:t>
        <w:br/>
        <w:br/>
        <w:t>為提高可重複性，本文固定為三問：Who？處方開給哪一個治理主體？Where？該主體位於哪一個治理位置？With what authority？其具有何種權限可以執行？若三問無法回答，即記錄為處方與位置的斷裂。</w:t>
      </w:r>
    </w:p>
    <w:p>
      <w:r>
        <w:rPr>
          <w:b/>
          <w:i w:val="0"/>
        </w:rPr>
        <w:t>表6　Multiple-Client Test：不同治理主體之定位需求</w:t>
      </w:r>
    </w:p>
    <w:tbl>
      <w:tblPr>
        <w:tblStyle w:val="LightShading"/>
        <w:tblW w:type="auto" w:w="0"/>
        <w:tblLook w:firstColumn="1" w:firstRow="1" w:lastColumn="0" w:lastRow="0" w:noHBand="0" w:noVBand="1" w:val="04A0"/>
      </w:tblPr>
      <w:tblGrid>
        <w:gridCol w:w="2160"/>
        <w:gridCol w:w="2160"/>
        <w:gridCol w:w="2160"/>
        <w:gridCol w:w="2160"/>
      </w:tblGrid>
      <w:tr>
        <w:tc>
          <w:tcPr>
            <w:tcW w:type="dxa" w:w="2160"/>
          </w:tcPr>
          <w:p>
            <w:r>
              <w:t>Client</w:t>
            </w:r>
          </w:p>
        </w:tc>
        <w:tc>
          <w:tcPr>
            <w:tcW w:type="dxa" w:w="2160"/>
          </w:tcPr>
          <w:p>
            <w:r>
              <w:t>真正需要知道什麼</w:t>
            </w:r>
          </w:p>
        </w:tc>
        <w:tc>
          <w:tcPr>
            <w:tcW w:type="dxa" w:w="2160"/>
          </w:tcPr>
          <w:p>
            <w:r>
              <w:t>若未定位的困境</w:t>
            </w:r>
          </w:p>
        </w:tc>
        <w:tc>
          <w:tcPr>
            <w:tcW w:type="dxa" w:w="2160"/>
          </w:tcPr>
          <w:p>
            <w:r>
              <w:t>25座標的功能</w:t>
            </w:r>
          </w:p>
        </w:tc>
      </w:tr>
      <w:tr>
        <w:tc>
          <w:tcPr>
            <w:tcW w:type="dxa" w:w="2160"/>
          </w:tcPr>
          <w:p>
            <w:r>
              <w:t>數發部部長</w:t>
            </w:r>
          </w:p>
        </w:tc>
        <w:tc>
          <w:tcPr>
            <w:tcW w:type="dxa" w:w="2160"/>
          </w:tcPr>
          <w:p>
            <w:r>
              <w:t>跨部會規範、基礎設施或監督制度？</w:t>
            </w:r>
          </w:p>
        </w:tc>
        <w:tc>
          <w:tcPr>
            <w:tcW w:type="dxa" w:w="2160"/>
          </w:tcPr>
          <w:p>
            <w:r>
              <w:t>國家治理責任不明</w:t>
            </w:r>
          </w:p>
        </w:tc>
        <w:tc>
          <w:tcPr>
            <w:tcW w:type="dxa" w:w="2160"/>
          </w:tcPr>
          <w:p>
            <w:r>
              <w:t>定位中央政策／制度位置</w:t>
            </w:r>
          </w:p>
        </w:tc>
      </w:tr>
      <w:tr>
        <w:tc>
          <w:tcPr>
            <w:tcW w:type="dxa" w:w="2160"/>
          </w:tcPr>
          <w:p>
            <w:r>
              <w:t>國科會主委</w:t>
            </w:r>
          </w:p>
        </w:tc>
        <w:tc>
          <w:tcPr>
            <w:tcW w:type="dxa" w:w="2160"/>
          </w:tcPr>
          <w:p>
            <w:r>
              <w:t>科研、人才、資源或國家AI戰略？</w:t>
            </w:r>
          </w:p>
        </w:tc>
        <w:tc>
          <w:tcPr>
            <w:tcW w:type="dxa" w:w="2160"/>
          </w:tcPr>
          <w:p>
            <w:r>
              <w:t>科技政策與行政治理混合</w:t>
            </w:r>
          </w:p>
        </w:tc>
        <w:tc>
          <w:tcPr>
            <w:tcW w:type="dxa" w:w="2160"/>
          </w:tcPr>
          <w:p>
            <w:r>
              <w:t>區辨政策與制度位置</w:t>
            </w:r>
          </w:p>
        </w:tc>
      </w:tr>
      <w:tr>
        <w:tc>
          <w:tcPr>
            <w:tcW w:type="dxa" w:w="2160"/>
          </w:tcPr>
          <w:p>
            <w:r>
              <w:t>研究機構主管</w:t>
            </w:r>
          </w:p>
        </w:tc>
        <w:tc>
          <w:tcPr>
            <w:tcW w:type="dxa" w:w="2160"/>
          </w:tcPr>
          <w:p>
            <w:r>
              <w:t>研發、技轉、法制或內部AI治理？</w:t>
            </w:r>
          </w:p>
        </w:tc>
        <w:tc>
          <w:tcPr>
            <w:tcW w:type="dxa" w:w="2160"/>
          </w:tcPr>
          <w:p>
            <w:r>
              <w:t>知識提供與執行角色混合</w:t>
            </w:r>
          </w:p>
        </w:tc>
        <w:tc>
          <w:tcPr>
            <w:tcW w:type="dxa" w:w="2160"/>
          </w:tcPr>
          <w:p>
            <w:r>
              <w:t>定位組織與專業治理</w:t>
            </w:r>
          </w:p>
        </w:tc>
      </w:tr>
      <w:tr>
        <w:tc>
          <w:tcPr>
            <w:tcW w:type="dxa" w:w="2160"/>
          </w:tcPr>
          <w:p>
            <w:r>
              <w:t>地方資訊處長</w:t>
            </w:r>
          </w:p>
        </w:tc>
        <w:tc>
          <w:tcPr>
            <w:tcW w:type="dxa" w:w="2160"/>
          </w:tcPr>
          <w:p>
            <w:r>
              <w:t>資料、模型、採購或業務AI決定？</w:t>
            </w:r>
          </w:p>
        </w:tc>
        <w:tc>
          <w:tcPr>
            <w:tcW w:type="dxa" w:w="2160"/>
          </w:tcPr>
          <w:p>
            <w:r>
              <w:t>技術責任與業務責任混合</w:t>
            </w:r>
          </w:p>
        </w:tc>
        <w:tc>
          <w:tcPr>
            <w:tcW w:type="dxa" w:w="2160"/>
          </w:tcPr>
          <w:p>
            <w:r>
              <w:t>定位資訊治理位置</w:t>
            </w:r>
          </w:p>
        </w:tc>
      </w:tr>
      <w:tr>
        <w:tc>
          <w:tcPr>
            <w:tcW w:type="dxa" w:w="2160"/>
          </w:tcPr>
          <w:p>
            <w:r>
              <w:t>業務局處首長</w:t>
            </w:r>
          </w:p>
        </w:tc>
        <w:tc>
          <w:tcPr>
            <w:tcW w:type="dxa" w:w="2160"/>
          </w:tcPr>
          <w:p>
            <w:r>
              <w:t>SOP、授權、人機分工或救濟？</w:t>
            </w:r>
          </w:p>
        </w:tc>
        <w:tc>
          <w:tcPr>
            <w:tcW w:type="dxa" w:w="2160"/>
          </w:tcPr>
          <w:p>
            <w:r>
              <w:t>不知道應在哪個流程介入</w:t>
            </w:r>
          </w:p>
        </w:tc>
        <w:tc>
          <w:tcPr>
            <w:tcW w:type="dxa" w:w="2160"/>
          </w:tcPr>
          <w:p>
            <w:r>
              <w:t>定位行政決策位置</w:t>
            </w:r>
          </w:p>
        </w:tc>
      </w:tr>
      <w:tr>
        <w:tc>
          <w:tcPr>
            <w:tcW w:type="dxa" w:w="2160"/>
          </w:tcPr>
          <w:p>
            <w:r>
              <w:t>第一線公務員</w:t>
            </w:r>
          </w:p>
        </w:tc>
        <w:tc>
          <w:tcPr>
            <w:tcW w:type="dxa" w:w="2160"/>
          </w:tcPr>
          <w:p>
            <w:r>
              <w:t>何時採納、拒絕或推翻AI建議？</w:t>
            </w:r>
          </w:p>
        </w:tc>
        <w:tc>
          <w:tcPr>
            <w:tcW w:type="dxa" w:w="2160"/>
          </w:tcPr>
          <w:p>
            <w:r>
              <w:t>Human oversight抽象化</w:t>
            </w:r>
          </w:p>
        </w:tc>
        <w:tc>
          <w:tcPr>
            <w:tcW w:type="dxa" w:w="2160"/>
          </w:tcPr>
          <w:p>
            <w:r>
              <w:t>定位個人操作位置</w:t>
            </w:r>
          </w:p>
        </w:tc>
      </w:tr>
      <w:tr>
        <w:tc>
          <w:tcPr>
            <w:tcW w:type="dxa" w:w="2160"/>
          </w:tcPr>
          <w:p>
            <w:r>
              <w:t>人民／行政相對人</w:t>
            </w:r>
          </w:p>
        </w:tc>
        <w:tc>
          <w:tcPr>
            <w:tcW w:type="dxa" w:w="2160"/>
          </w:tcPr>
          <w:p>
            <w:r>
              <w:t>AI是否影響案件？錯了找誰？</w:t>
            </w:r>
          </w:p>
        </w:tc>
        <w:tc>
          <w:tcPr>
            <w:tcW w:type="dxa" w:w="2160"/>
          </w:tcPr>
          <w:p>
            <w:r>
              <w:t>權利找不到行政入口</w:t>
            </w:r>
          </w:p>
        </w:tc>
        <w:tc>
          <w:tcPr>
            <w:tcW w:type="dxa" w:w="2160"/>
          </w:tcPr>
          <w:p>
            <w:r>
              <w:t>定位政府—人民互動位置</w:t>
            </w:r>
          </w:p>
        </w:tc>
      </w:tr>
    </w:tbl>
    <w:p>
      <w:pPr>
        <w:pStyle w:val="Heading2"/>
      </w:pPr>
      <w:r>
        <w:t>十一、CF與AVF：母架構的暫時判決</w:t>
      </w:r>
    </w:p>
    <w:p>
      <w:pPr>
        <w:pStyle w:val="Normal"/>
      </w:pPr>
      <w:r>
        <w:t>本文不以「什麼都能裝進去」作為成功標準。什麼都能裝，反而可能表示架構缺乏可反駁性。因此，CF 檢查是否有重要現象無法被合理涵蓋；AVF 檢查是否只是重新命名既有研究，而未增加治理價值。</w:t>
        <w:br/>
        <w:br/>
        <w:t>擴大臺灣樣本後，資料治理成熟度、公平與非意圖歧視、行動者網絡、生成式 AI 採納與信任等研究，確實增加了多層治理、權利後果、跨行動者關係與個人採納機制等競爭性資訊。重新檢視後，尚未發現必須扭曲原概念才能進入定位、權力辨識或結構追蹤的重大現象，故未新增確認的 CF。同時，這些研究本身已具成熟理論功能，因此也限制了本文可主張的新增價值：25 不能以「多層次」本身取得 credit，3E 不能以網絡、邊界或權威變動本身主張新穎，七項審計亦不能取代既有成熟工具。惟目前仍未發現任一單一架構或其簡約組合，能以同等精度完成本文所主張的定位、權力辨識、結構追蹤與責任連結之全部工作，因此未產生新的整體 AVF。</w:t>
        <w:br/>
        <w:br/>
        <w:t>第二輪跨域搜尋後，整體判斷是：未辨識出確認的 CF，但 AVF 確實產生修正效果。25 的增值須由「多層次」縮限為 level × unit 雙重定位及其向後連接能力；3E 的現象新穎性被削弱；四治理鏈應將增值集中於情境—權威—理由—責任的連續追蹤；七項治理審計若主張為獨立理論創新，面對 NIST、ISO、加拿大 AIA 等成熟工具時已無足夠新增價值，故降為操作介面。</w:t>
        <w:br/>
        <w:br/>
        <w:t>Survival is not proof; within the scope of the present test, however, survival with identifiable analytical gain warrants provisional support.</w:t>
      </w:r>
    </w:p>
    <w:p>
      <w:r>
        <w:rPr>
          <w:b/>
          <w:i w:val="0"/>
        </w:rPr>
        <w:t>表7　CF與AVF：母架構受測構件之暫時判決</w:t>
      </w:r>
    </w:p>
    <w:tbl>
      <w:tblPr>
        <w:tblStyle w:val="LightShading"/>
        <w:tblW w:type="auto" w:w="0"/>
        <w:tblLook w:firstColumn="1" w:firstRow="1" w:lastColumn="0" w:lastRow="0" w:noHBand="0" w:noVBand="1" w:val="04A0"/>
      </w:tblPr>
      <w:tblGrid>
        <w:gridCol w:w="1728"/>
        <w:gridCol w:w="1728"/>
        <w:gridCol w:w="1728"/>
        <w:gridCol w:w="1728"/>
        <w:gridCol w:w="1728"/>
      </w:tblGrid>
      <w:tr>
        <w:tc>
          <w:tcPr>
            <w:tcW w:type="dxa" w:w="1728"/>
          </w:tcPr>
          <w:p>
            <w:r>
              <w:t>受測構件</w:t>
            </w:r>
          </w:p>
        </w:tc>
        <w:tc>
          <w:tcPr>
            <w:tcW w:type="dxa" w:w="1728"/>
          </w:tcPr>
          <w:p>
            <w:r>
              <w:t>擴大比較後可辨識增值</w:t>
            </w:r>
          </w:p>
        </w:tc>
        <w:tc>
          <w:tcPr>
            <w:tcW w:type="dxa" w:w="1728"/>
          </w:tcPr>
          <w:p>
            <w:r>
              <w:t>最強挑戰</w:t>
            </w:r>
          </w:p>
        </w:tc>
        <w:tc>
          <w:tcPr>
            <w:tcW w:type="dxa" w:w="1728"/>
          </w:tcPr>
          <w:p>
            <w:r>
              <w:t>CF／AVF判讀</w:t>
            </w:r>
          </w:p>
        </w:tc>
        <w:tc>
          <w:tcPr>
            <w:tcW w:type="dxa" w:w="1728"/>
          </w:tcPr>
          <w:p>
            <w:r>
              <w:t>最終處理</w:t>
            </w:r>
          </w:p>
        </w:tc>
      </w:tr>
      <w:tr>
        <w:tc>
          <w:tcPr>
            <w:tcW w:type="dxa" w:w="1728"/>
          </w:tcPr>
          <w:p>
            <w:r>
              <w:t>25座標</w:t>
            </w:r>
          </w:p>
        </w:tc>
        <w:tc>
          <w:tcPr>
            <w:tcW w:type="dxa" w:w="1728"/>
          </w:tcPr>
          <w:p>
            <w:r>
              <w:t>level × unit雙重定位，並可向後連接權力與責任分析</w:t>
            </w:r>
          </w:p>
        </w:tc>
        <w:tc>
          <w:tcPr>
            <w:tcW w:type="dxa" w:w="1728"/>
          </w:tcPr>
          <w:p>
            <w:r>
              <w:t>multi-level / multi-actor governance、資料治理多層／成熟度模型、ANT</w:t>
            </w:r>
          </w:p>
        </w:tc>
        <w:tc>
          <w:tcPr>
            <w:tcW w:type="dxa" w:w="1728"/>
          </w:tcPr>
          <w:p>
            <w:r>
              <w:t>未見CF；未確認完整AVF，但「多層次」本身無原創性</w:t>
            </w:r>
          </w:p>
        </w:tc>
        <w:tc>
          <w:tcPr>
            <w:tcW w:type="dxa" w:w="1728"/>
          </w:tcPr>
          <w:p>
            <w:r>
              <w:t>保留；縮限credit至雙重定位與連續推證</w:t>
            </w:r>
          </w:p>
        </w:tc>
      </w:tr>
      <w:tr>
        <w:tc>
          <w:tcPr>
            <w:tcW w:type="dxa" w:w="1728"/>
          </w:tcPr>
          <w:p>
            <w:r>
              <w:t>P1/P2/P3</w:t>
            </w:r>
          </w:p>
        </w:tc>
        <w:tc>
          <w:tcPr>
            <w:tcW w:type="dxa" w:w="1728"/>
          </w:tcPr>
          <w:p>
            <w:r>
              <w:t>區分情境建構、行政裁量與公權力效果</w:t>
            </w:r>
          </w:p>
        </w:tc>
        <w:tc>
          <w:tcPr>
            <w:tcW w:type="dxa" w:w="1728"/>
          </w:tcPr>
          <w:p>
            <w:r>
              <w:t>automated decision-making、algorithmic discretion、Canada AIA、公平／權利與GenAI採納研究</w:t>
            </w:r>
          </w:p>
        </w:tc>
        <w:tc>
          <w:tcPr>
            <w:tcW w:type="dxa" w:w="1728"/>
          </w:tcPr>
          <w:p>
            <w:r>
              <w:t>未見CF；未確認AVF；目前added value最清楚</w:t>
            </w:r>
          </w:p>
        </w:tc>
        <w:tc>
          <w:tcPr>
            <w:tcW w:type="dxa" w:w="1728"/>
          </w:tcPr>
          <w:p>
            <w:r>
              <w:t>保留為核心權力功能構件</w:t>
            </w:r>
          </w:p>
        </w:tc>
      </w:tr>
      <w:tr>
        <w:tc>
          <w:tcPr>
            <w:tcW w:type="dxa" w:w="1728"/>
          </w:tcPr>
          <w:p>
            <w:r>
              <w:t>三結構效應（3E）</w:t>
            </w:r>
          </w:p>
        </w:tc>
        <w:tc>
          <w:tcPr>
            <w:tcW w:type="dxa" w:w="1728"/>
          </w:tcPr>
          <w:p>
            <w:r>
              <w:t>追蹤功能移動→邊界改變→法定／實質權威重配</w:t>
            </w:r>
          </w:p>
        </w:tc>
        <w:tc>
          <w:tcPr>
            <w:tcW w:type="dxa" w:w="1728"/>
          </w:tcPr>
          <w:p>
            <w:r>
              <w:t>boundary、algorithmic authority、de-centering、system/shadow bureaucracy、ANT網絡關係</w:t>
            </w:r>
          </w:p>
        </w:tc>
        <w:tc>
          <w:tcPr>
            <w:tcW w:type="dxa" w:w="1728"/>
          </w:tcPr>
          <w:p>
            <w:r>
              <w:t>未見CF；概念原創性受削弱，但整體功能AVF未確認</w:t>
            </w:r>
          </w:p>
        </w:tc>
        <w:tc>
          <w:tcPr>
            <w:tcW w:type="dxa" w:w="1728"/>
          </w:tcPr>
          <w:p>
            <w:r>
              <w:t>降為整合性結構診斷程序，不宣稱三現象本身為新發現</w:t>
            </w:r>
          </w:p>
        </w:tc>
      </w:tr>
      <w:tr>
        <w:tc>
          <w:tcPr>
            <w:tcW w:type="dxa" w:w="1728"/>
          </w:tcPr>
          <w:p>
            <w:r>
              <w:t>四治理鏈</w:t>
            </w:r>
          </w:p>
        </w:tc>
        <w:tc>
          <w:tcPr>
            <w:tcW w:type="dxa" w:w="1728"/>
          </w:tcPr>
          <w:p>
            <w:r>
              <w:t>情境→權威→理由→責任的公共行政追蹤</w:t>
            </w:r>
          </w:p>
        </w:tc>
        <w:tc>
          <w:tcPr>
            <w:tcW w:type="dxa" w:w="1728"/>
          </w:tcPr>
          <w:p>
            <w:r>
              <w:t>NIST、ISO、accountability / lifecycle frameworks</w:t>
            </w:r>
          </w:p>
        </w:tc>
        <w:tc>
          <w:tcPr>
            <w:tcW w:type="dxa" w:w="1728"/>
          </w:tcPr>
          <w:p>
            <w:r>
              <w:t>未見CF；高度重疊但未確認完整AVF</w:t>
            </w:r>
          </w:p>
        </w:tc>
        <w:tc>
          <w:tcPr>
            <w:tcW w:type="dxa" w:w="1728"/>
          </w:tcPr>
          <w:p>
            <w:r>
              <w:t>保留；將credit集中於行政理由與責任連續追蹤</w:t>
            </w:r>
          </w:p>
        </w:tc>
      </w:tr>
      <w:tr>
        <w:tc>
          <w:tcPr>
            <w:tcW w:type="dxa" w:w="1728"/>
          </w:tcPr>
          <w:p>
            <w:r>
              <w:t>七治理審計</w:t>
            </w:r>
          </w:p>
        </w:tc>
        <w:tc>
          <w:tcPr>
            <w:tcW w:type="dxa" w:w="1728"/>
          </w:tcPr>
          <w:p>
            <w:r>
              <w:t>把前端分析結果轉為可執行檢核</w:t>
            </w:r>
          </w:p>
        </w:tc>
        <w:tc>
          <w:tcPr>
            <w:tcW w:type="dxa" w:w="1728"/>
          </w:tcPr>
          <w:p>
            <w:r>
              <w:t>NIST AI RMF、ISO/IEC 42001、Canada AIA</w:t>
            </w:r>
          </w:p>
        </w:tc>
        <w:tc>
          <w:tcPr>
            <w:tcW w:type="dxa" w:w="1728"/>
          </w:tcPr>
          <w:p>
            <w:r>
              <w:t>未見CF；若主張獨立理論原創，AVF成立</w:t>
            </w:r>
          </w:p>
        </w:tc>
        <w:tc>
          <w:tcPr>
            <w:tcW w:type="dxa" w:w="1728"/>
          </w:tcPr>
          <w:p>
            <w:r>
              <w:t>降格為operational audit interface；不主張獨立理論原創</w:t>
            </w:r>
          </w:p>
        </w:tc>
      </w:tr>
      <w:tr>
        <w:tc>
          <w:tcPr>
            <w:tcW w:type="dxa" w:w="1728"/>
          </w:tcPr>
          <w:p>
            <w:r>
              <w:t>整體25→3P→3E→4→7</w:t>
            </w:r>
          </w:p>
        </w:tc>
        <w:tc>
          <w:tcPr>
            <w:tcW w:type="dxa" w:w="1728"/>
          </w:tcPr>
          <w:p>
            <w:r>
              <w:t>由定位、權力、結構推至理由、責任與對象化處方</w:t>
            </w:r>
          </w:p>
        </w:tc>
        <w:tc>
          <w:tcPr>
            <w:tcW w:type="dxa" w:w="1728"/>
          </w:tcPr>
          <w:p>
            <w:r>
              <w:t>既有框架的單獨與合理組合功能</w:t>
            </w:r>
          </w:p>
        </w:tc>
        <w:tc>
          <w:tcPr>
            <w:tcW w:type="dxa" w:w="1728"/>
          </w:tcPr>
          <w:p>
            <w:r>
              <w:t>未見CF；未確認足以要求整體重構的AVF</w:t>
            </w:r>
          </w:p>
        </w:tc>
        <w:tc>
          <w:tcPr>
            <w:tcW w:type="dxa" w:w="1728"/>
          </w:tcPr>
          <w:p>
            <w:r>
              <w:t>經修正後的暫時支持（revised provisional support）</w:t>
            </w:r>
          </w:p>
        </w:tc>
      </w:tr>
    </w:tbl>
    <w:p>
      <w:pPr>
        <w:pStyle w:val="Heading2"/>
      </w:pPr>
      <w:r>
        <w:t>十二、討論：問題不是沒有藥，而是診斷如何推到處方</w:t>
      </w:r>
    </w:p>
    <w:p>
      <w:pPr>
        <w:pStyle w:val="Normal"/>
      </w:pPr>
      <w:r>
        <w:t>比較後最重要的發現，不是臺灣或全球缺少問題意識。相反地，偏誤、透明、課責、行政裁量、human oversight、公共價值、組織能力、資料治理、供應商責任、法律權利與制度設計，幾乎都被辨識過。處方也不缺：透明、監督、問責、改善資料品質、人機協作、倫理規範、法規調適與能力建構，大家都提過。</w:t>
        <w:br/>
        <w:br/>
        <w:t>真正的缺口在於：從「發現病徵」到「開立處方」之間，是否有一套可以被他人追蹤的推證程序？</w:t>
        <w:br/>
        <w:br/>
        <w:t>用醫療比喻，發燒不是處方。醫師必須先辨識病人、病灶、病因、條件與治療對象，才可能判斷藥物應作用於何處。公共行政亦然：同一個 AI 治理症狀，在不同層級、單位、權力位置與責任主體上，可能需要完全不同的行政介入。</w:t>
        <w:br/>
        <w:br/>
        <w:t>因此，本文辨識的缺口不是「沒有解決方案」，而是一般性原則如何轉化為對象化的行政處方。25–3–3–4–7 目前的 credit 正在此處：25 先辨識治理位置，3P 辨識受影響的權力功能，3E 辨識治理關係的結構變化；當需要進一步提出介入時，四鏈與七審計再追問理由、責任與可執行性。</w:t>
        <w:br/>
        <w:br/>
        <w:t>這也說明為何不把全球與臺灣排成成熟度階序。全球較接近已有多條研究鏈而尚待整合；臺灣較接近議題持續深化後的連結問題。兩者都不是「沒有知識」，而是知識架構仍在發展。這是一個比較誠實、也比較有建設性的描述。</w:t>
      </w:r>
    </w:p>
    <w:p>
      <w:pPr>
        <w:pStyle w:val="Heading2"/>
      </w:pPr>
      <w:r>
        <w:t>十三、可證偽路線圖：本架構在何種條件下應被推翻</w:t>
      </w:r>
    </w:p>
    <w:p>
      <w:pPr>
        <w:pStyle w:val="Normal"/>
      </w:pPr>
      <w:r>
        <w:t>第十一節的飽和判斷仍由作者主導搜尋與停止時點，這是方法上尚未完全解決的限制。但「由作者主導」與「不可被推翻」是兩件不同的事。後者才是理論存活是否有意義的關鍵。</w:t>
        <w:br/>
        <w:br/>
        <w:t>為使「暫時支持」保持可否證性，而非防禦性修辭，本文明確列出三類推翻條件：</w:t>
        <w:br/>
        <w:br/>
        <w:t>第一，若後續研究發現重要 AI 治理現象，無法在不扭曲原意的情況下被 level × unit 定位、P1/P2/P3 歸類或 3E 追蹤所涵蓋，即構成 CF，本架構須修改涵蓋範圍或承認超出其分析能力。</w:t>
        <w:br/>
        <w:br/>
        <w:t>第二，若單一替代架構能以同等或更高精度、更少構件完成本文所宣稱的全部推證工作——同時完成定位、權力辨識、結構追蹤與責任連結——即構成 AVF，本架構應被取代或大幅精簡。</w:t>
        <w:br/>
        <w:br/>
        <w:t>第三，若實證顯示 25 座標的雙重定位在實際個案中無法對應到不同的治理處方或責任歸屬——亦即不同座標定位下，SOP、授權關係、停止或修正權限、監督責任或究責對象均未改變——則 25 座標的增值主張同樣構成 AVF，應撤回或降為描述性分類工具。</w:t>
        <w:br/>
        <w:br/>
        <w:t>本文把這三項條件公開列出，目的是讓「經修正後的暫時支持」成為可被後續研究實際挑戰的主張；若條件成立，作者承諾在後續研究中公開修正架構，而非以事後詮釋迴避推翻。</w:t>
      </w:r>
    </w:p>
    <w:p>
      <w:r>
        <w:rPr>
          <w:b w:val="0"/>
          <w:i w:val="0"/>
        </w:rPr>
        <w:t>所謂「無可辨識差異」，係指不同座標定位並未導致可觀察之行政介入差異，例如標準作業程序、授權關係、停止或修正權限、監督責任或究責對象均未因此改變；後續研究可透過個案文件、標準作業程序、授權文件、契約或訪談資料進行覆核。</w:t>
      </w:r>
    </w:p>
    <w:p>
      <w:pPr>
        <w:pStyle w:val="Heading2"/>
      </w:pPr>
      <w:r>
        <w:t>十四、結論：一套目前仍能工作的治理推證程序</w:t>
      </w:r>
    </w:p>
    <w:p>
      <w:pPr>
        <w:pStyle w:val="Normal"/>
      </w:pPr>
      <w:r>
        <w:t>本文的問題不是「誰研究得比較多」，而是 AI 治理研究能否由問題產出進一步形成可定位、可連結、可比較並可接受反證的治理知識。比較結果顯示，全球與臺灣都已累積重要問題與治理方案，但兩者呈現不同型態的碎片化。全球較偏向層級與領域平行發展後的整合問題；臺灣較偏向議題深化後的連結問題。</w:t>
        <w:br/>
        <w:br/>
        <w:t>本文並不主張 25–3–3–4–7 已是終極或普遍理論。然而，經由比較及反證性壓力測試，在本文範圍內，目前未辨識出確認的CF，亦未發現足以要求母架構整體重構的AVF；但七項治理審計若被主張為獨立理論創新，則構成構件層次的AVF，故已降格為操作性審計介面。相較於既有研究多能辨識問題並提出原則或解方，本架構較明確的增值，在於提供一套由治理位置、權力功能與結構變化，進一步連結責任主體與處方的連續分析程序。</w:t>
        <w:br/>
        <w:br/>
        <w:t>本文所稱「經修正後的暫時支持」，並不表示各構件獲得同等支持。目前較強保留者，是 25 座標的 level × unit 雙重定位、P1／P2／P3 權力功能，以及由定位向權力、結構、理由與責任推進的連續推證順序；3E 已降為整合性結構診斷程序，七項治理審計亦降為操作介面。因此，本文支持的是一套經過刪減原創性主張後仍具分析增值的推證程序，而不是對所有構件作同等背書。</w:t>
        <w:br/>
        <w:br/>
        <w:t>換言之，其價值不在取代既有研究，而在使既有問題與處方之間的推證關係更加可定位、可連結與可比較，並保留接受後續經驗研究反證與修正的可能。</w:t>
        <w:br/>
        <w:br/>
        <w:t>治理處方不能只對病徵開立，而必須對治理位置與責任主體開立。</w:t>
        <w:br/>
        <w:br/>
        <w:t>如果未來找到重要現象無法被合理定位，CF 要求修改涵蓋範圍；如果替代架構能以同等精度完成相同工作，AVF 要求刪除、合併或降格。本輪跨域反證搜尋已實際造成修正：3E 不再主張獨占性原創，七審計亦由獨立理論貢獻降為操作介面。因此，本文結論不是「原樣通過」，而是經強競爭者碰撞後獲得修正後的暫時支持。公共行政是本文的問題場域，而不是知識搜尋的邊界；架構是否值得保留，取決於它在更廣大的 AI 治理知識世界中究竟還能增加多少可定位、可連結、可比較且可推證的資訊。</w:t>
      </w:r>
    </w:p>
    <w:p/>
    <w:p/>
    <w:p/>
    <w:p/>
    <w:p/>
    <w:p/>
    <w:p/>
    <w:p/>
    <w:p>
      <w:pPr>
        <w:pStyle w:val="Heading2"/>
      </w:pPr>
      <w:r>
        <w:t>參考文獻</w:t>
      </w:r>
    </w:p>
    <w:p>
      <w:r>
        <w:t>Almeida, P. G. R. de, &amp; Santos Júnior, C. D. dos. (2025). Artificial intelligence governance: Understanding how public organizations implement it. Government Information Quarterly, 42(1), 102003. https://doi.org/10.1016/j.giq.2024.102003</w:t>
      </w:r>
    </w:p>
    <w:p>
      <w:r>
        <w:t>Batool, A., Zowghi, D., &amp; Bano, M. (2025). AI governance: A systematic literature review. AI and Ethics, 5, 3265–3279. https://doi.org/10.1007/s43681-024-00653-w</w:t>
      </w:r>
    </w:p>
    <w:p>
      <w:r>
        <w:t>Choung, H., David, P., &amp; Seberger, J. S. (2025). A multilevel framework for AI governance. In The Routledge Handbook of Global and Digital Governance Crossroads (pp. 310–323). Routledge. https://doi.org/10.4324/9781003316077-25</w:t>
      </w:r>
    </w:p>
    <w:p>
      <w:r>
        <w:t>Gagua, A., van der Voort, H. G., Goyal, N., &amp; Verbraeck, A. (2025). Responsible AI governance in the public sector: Explaining contextual dynamics through a realist synthesis review. Proceedings of the AAAI/ACM Conference on AI, Ethics, and Society, 8(1), 990–1002. https://doi.org/10.1609/aies.v8i1.36606</w:t>
      </w:r>
    </w:p>
    <w:p>
      <w:r>
        <w:t>International Organization for Standardization. (2023). ISO/IEC 42001:2023 Information technology—Artificial intelligence—Management system.</w:t>
      </w:r>
    </w:p>
    <w:p>
      <w:r>
        <w:t>Jiang, M., &amp; Xie, M. (2025). Artificial intelligence and public governance: Research progress and future prospects—Visualization analysis based on CiteSpace. Journal of University of Electronic Science and Technology of China (Social Sciences Edition), 27(2), 106–120. https://doi.org/10.14071/j.1008-8105(2025)-5006</w:t>
      </w:r>
    </w:p>
    <w:p>
      <w:r>
        <w:t>National Institute of Standards and Technology. (2023). Artificial Intelligence Risk Management Framework (AI RMF 1.0).</w:t>
      </w:r>
    </w:p>
    <w:p>
      <w:r>
        <w:t>Roehl, U. B. U., &amp; Hansen, M. B. (2024). Automated, administrative decision-making and good governance: Synergies, trade-offs, and limits. Public Administration Review, 84(6), 1184–1199. https://doi.org/10.1111/puar.13799</w:t>
      </w:r>
    </w:p>
    <w:p>
      <w:r>
        <w:t>Treasury Board of Canada Secretariat. (2019). Algorithmic Impact Assessment tool (updated 2023). Retrieved from Government of Canada Open Government Portal.</w:t>
      </w:r>
    </w:p>
    <w:p>
      <w:r>
        <w:t>UNESCO. (2023). Designing institutional frameworks for the ethical governance of AI in the Netherlands.</w:t>
      </w:r>
    </w:p>
    <w:p>
      <w:r>
        <w:t>Zuiderwijk, A., Chen, Y.-C., &amp; Salem, F. (2021). Implications of the use of artificial intelligence in public governance: A systematic literature review and a research agenda. Government Information Quarterly, 38(3), 101577. https://doi.org/10.1016/j.giq.2021.101577</w:t>
      </w:r>
    </w:p>
    <w:p>
      <w:r>
        <w:t>黃心怡、曾冠球、廖洲棚、陳敦源（2021）。當人工智慧進入政府：公共行政理論對AI運用的反思。《文官制度》，13(2)，91–114。</w:t>
      </w:r>
    </w:p>
    <w:p>
      <w:r>
        <w:t>黃心怡、陳敦源（2023）。人工智慧協作下的公共行政研究：對公部門組織議題的多層次反思。《政治科學論叢》，96，139–178。https://doi.org/10.6166/TJPS.202306_(96).0004</w:t>
      </w:r>
    </w:p>
    <w:p>
      <w:r>
        <w:t>張濱璿、陳敦源、廖洲棚、黃心怡、王千文、張瀠心、陳郁函（2024）。人工智慧風潮下公共服務制度設計策略與法規調適作為之研究。《行政暨政策學報》，78，95–126。</w:t>
      </w:r>
    </w:p>
    <w:p>
      <w:r>
        <w:t>丁玉珍、林子倫（2020）。人工智慧提升政府公共治理的應用潛力探討。《檔案半年刊》，19(2)，24–41。</w:t>
      </w:r>
    </w:p>
    <w:p>
      <w:r>
        <w:t>李翠萍、張竹宜、李晨綾（2022）。人工智慧在公共政策領域應用的非意圖歧視：系統性文獻綜述。《公共行政學報》，63，1–49。https://doi.org/10.30409/JPA.202209_(63).0001</w:t>
      </w:r>
    </w:p>
    <w:p>
      <w:r>
        <w:t>曾憲立、廖洲棚、李天申（2022）。政府資料公私協作模式與應用案例：協作機制的研析。《公共行政學報》，62，43–77。</w:t>
      </w:r>
    </w:p>
    <w:p>
      <w:r>
        <w:t>蕭乃沂、朱斌妤（2022）。數位發展與文官制度調適：以資料治理為例。《文官制度》，14(1)，1–24。</w:t>
      </w:r>
    </w:p>
    <w:p>
      <w:r>
        <w:t>李洛維、朱斌妤、曾憲立（2023）。推動政府資料治理的關鍵因素：內部利害關係人角度的因果模型。《公共行政學報》，64，35–77。https://doi.org/10.30409/JPA.202303_(64).0002</w:t>
      </w:r>
    </w:p>
    <w:p>
      <w:r>
        <w:t>廖興中（2024）。人工智慧在公共行政的機會與挑戰。《文官制度》，16(2)，1–20。</w:t>
      </w:r>
    </w:p>
    <w:p>
      <w:r>
        <w:t>王禕梵（2024）。人工智慧於地方政府中的應用可能。《文官制度》，16(2)，139–144。</w:t>
      </w:r>
    </w:p>
    <w:p>
      <w:r>
        <w:t>丁玉珍（2024）。《公共治理與人工智慧的交引纏繞：行動者網絡理論分析途徑》［博士論文，國立臺灣大學政治學系］。https://doi.org/10.6342/NTU202400451</w:t>
      </w:r>
    </w:p>
    <w:p>
      <w:r>
        <w:t>李洛維（2024）。《政府資料治理的知與行：內部觀點評估架構之建構與驗證》［博士論文，國立政治大學公共行政學系］。</w:t>
      </w:r>
    </w:p>
    <w:p>
      <w:r>
        <w:t>黃建勲（2025）。我們準備好讓AI服務了嗎？AI機器人在公民與政府連結的角色與挑戰。《公共行政學報》，69，161–176。</w:t>
      </w:r>
    </w:p>
    <w:p>
      <w:r>
        <w:t>數位治理研究中心（2025–2026）。《生成式AI於公共服務中的應用與挑戰：數位服務設計使用者行為與信任研究》［數位發展部委託研究計畫］。</w:t>
      </w:r>
    </w:p>
    <w:p>
      <w:r>
        <w:t>林民偉（2026）。《為人工智慧歡呼三聲？探討台灣公務員對採用生成式AI的看法與態度》［博士論文，國立政治大學公共行政學系］。</w:t>
      </w:r>
    </w:p>
    <w:p>
      <w:r>
        <w:t>詹婷怡（2026）。建構AI治理框架迫在眉睫，跨域對話平台為基礎［專訪］。《知勢》（人工智慧科技基金會）。https://edge.aif.tw/taiwan-ai-governance-chan-ting-i/</w:t>
      </w:r>
    </w:p>
    <w:p>
      <w:r>
        <w:t>本附錄供讀者重建本文所稱25治理座標之基本操作方式。座標由五個分析層次與五個分析單位交叉形成；其功能是迫使分析同時回答「在哪一層」與「哪一治理單位」，而非把單一議題視為無位置的治理問題。</w:t>
      </w:r>
    </w:p>
    <w:p>
      <w:pPr>
        <w:pStyle w:val="Heading2"/>
      </w:pPr>
      <w:r>
        <w:rPr>
          <w:b w:val="0"/>
          <w:i w:val="0"/>
        </w:rPr>
        <w:t>附錄A　25治理座標矩陣</w:t>
      </w:r>
    </w:p>
    <w:p>
      <w:r>
        <w:rPr>
          <w:b w:val="0"/>
          <w:i w:val="0"/>
        </w:rPr>
        <w:t>本附錄供讀者重建本文所稱25治理座標之基本操作方式。座標由五個分析層次與五個分析單位交叉形成；其功能是迫使分析同時回答「在哪一層」與「哪一治理單位」，而非把單一議題視為無位置的治理問題。</w:t>
      </w:r>
    </w:p>
    <w:p>
      <w:r>
        <w:rPr>
          <w:b/>
          <w:i w:val="0"/>
        </w:rPr>
        <w:t>表8　25治理座標矩陣（Level × Unit）</w:t>
      </w:r>
    </w:p>
    <w:tbl>
      <w:tblPr>
        <w:tblStyle w:val="LightShading"/>
        <w:tblW w:type="auto" w:w="0"/>
        <w:tblLook w:firstColumn="1" w:firstRow="1" w:lastColumn="0" w:lastRow="0" w:noHBand="0" w:noVBand="1" w:val="04A0"/>
      </w:tblPr>
      <w:tblGrid>
        <w:gridCol w:w="1440"/>
        <w:gridCol w:w="1440"/>
        <w:gridCol w:w="1440"/>
        <w:gridCol w:w="1440"/>
        <w:gridCol w:w="1440"/>
        <w:gridCol w:w="1440"/>
      </w:tblGrid>
      <w:tr>
        <w:tc>
          <w:tcPr>
            <w:tcW w:type="dxa" w:w="1440"/>
          </w:tcPr>
          <w:p>
            <w:r>
              <w:t>Level × Unit</w:t>
            </w:r>
          </w:p>
        </w:tc>
        <w:tc>
          <w:tcPr>
            <w:tcW w:type="dxa" w:w="1440"/>
          </w:tcPr>
          <w:p>
            <w:r>
              <w:t>AI／技術系統</w:t>
            </w:r>
          </w:p>
        </w:tc>
        <w:tc>
          <w:tcPr>
            <w:tcW w:type="dxa" w:w="1440"/>
          </w:tcPr>
          <w:p>
            <w:r>
              <w:t>公務員／專業者</w:t>
            </w:r>
          </w:p>
        </w:tc>
        <w:tc>
          <w:tcPr>
            <w:tcW w:type="dxa" w:w="1440"/>
          </w:tcPr>
          <w:p>
            <w:r>
              <w:t>組織／機構行動者</w:t>
            </w:r>
          </w:p>
        </w:tc>
        <w:tc>
          <w:tcPr>
            <w:tcW w:type="dxa" w:w="1440"/>
          </w:tcPr>
          <w:p>
            <w:r>
              <w:t>人民／利害關係人</w:t>
            </w:r>
          </w:p>
        </w:tc>
        <w:tc>
          <w:tcPr>
            <w:tcW w:type="dxa" w:w="1440"/>
          </w:tcPr>
          <w:p>
            <w:r>
              <w:t>制度／治理環境</w:t>
            </w:r>
          </w:p>
        </w:tc>
      </w:tr>
      <w:tr>
        <w:tc>
          <w:tcPr>
            <w:tcW w:type="dxa" w:w="1440"/>
          </w:tcPr>
          <w:p>
            <w:r>
              <w:t>個人／微觀</w:t>
            </w:r>
          </w:p>
        </w:tc>
        <w:tc>
          <w:tcPr>
            <w:tcW w:type="dxa" w:w="1440"/>
          </w:tcPr>
          <w:p>
            <w:r>
              <w:t>L1–U1</w:t>
            </w:r>
          </w:p>
        </w:tc>
        <w:tc>
          <w:tcPr>
            <w:tcW w:type="dxa" w:w="1440"/>
          </w:tcPr>
          <w:p>
            <w:r>
              <w:t>L1–U2</w:t>
            </w:r>
          </w:p>
        </w:tc>
        <w:tc>
          <w:tcPr>
            <w:tcW w:type="dxa" w:w="1440"/>
          </w:tcPr>
          <w:p>
            <w:r>
              <w:t>L1–U3</w:t>
            </w:r>
          </w:p>
        </w:tc>
        <w:tc>
          <w:tcPr>
            <w:tcW w:type="dxa" w:w="1440"/>
          </w:tcPr>
          <w:p>
            <w:r>
              <w:t>L1–U4</w:t>
            </w:r>
          </w:p>
        </w:tc>
        <w:tc>
          <w:tcPr>
            <w:tcW w:type="dxa" w:w="1440"/>
          </w:tcPr>
          <w:p>
            <w:r>
              <w:t>L1–U5</w:t>
            </w:r>
          </w:p>
        </w:tc>
      </w:tr>
      <w:tr>
        <w:tc>
          <w:tcPr>
            <w:tcW w:type="dxa" w:w="1440"/>
          </w:tcPr>
          <w:p>
            <w:r>
              <w:t>組織</w:t>
            </w:r>
          </w:p>
        </w:tc>
        <w:tc>
          <w:tcPr>
            <w:tcW w:type="dxa" w:w="1440"/>
          </w:tcPr>
          <w:p>
            <w:r>
              <w:t>L2–U1</w:t>
            </w:r>
          </w:p>
        </w:tc>
        <w:tc>
          <w:tcPr>
            <w:tcW w:type="dxa" w:w="1440"/>
          </w:tcPr>
          <w:p>
            <w:r>
              <w:t>L2–U2</w:t>
            </w:r>
          </w:p>
        </w:tc>
        <w:tc>
          <w:tcPr>
            <w:tcW w:type="dxa" w:w="1440"/>
          </w:tcPr>
          <w:p>
            <w:r>
              <w:t>L2–U3</w:t>
            </w:r>
          </w:p>
        </w:tc>
        <w:tc>
          <w:tcPr>
            <w:tcW w:type="dxa" w:w="1440"/>
          </w:tcPr>
          <w:p>
            <w:r>
              <w:t>L2–U4</w:t>
            </w:r>
          </w:p>
        </w:tc>
        <w:tc>
          <w:tcPr>
            <w:tcW w:type="dxa" w:w="1440"/>
          </w:tcPr>
          <w:p>
            <w:r>
              <w:t>L2–U5</w:t>
            </w:r>
          </w:p>
        </w:tc>
      </w:tr>
      <w:tr>
        <w:tc>
          <w:tcPr>
            <w:tcW w:type="dxa" w:w="1440"/>
          </w:tcPr>
          <w:p>
            <w:r>
              <w:t>跨組織／政策網絡</w:t>
            </w:r>
          </w:p>
        </w:tc>
        <w:tc>
          <w:tcPr>
            <w:tcW w:type="dxa" w:w="1440"/>
          </w:tcPr>
          <w:p>
            <w:r>
              <w:t>L3–U1</w:t>
            </w:r>
          </w:p>
        </w:tc>
        <w:tc>
          <w:tcPr>
            <w:tcW w:type="dxa" w:w="1440"/>
          </w:tcPr>
          <w:p>
            <w:r>
              <w:t>L3–U2</w:t>
            </w:r>
          </w:p>
        </w:tc>
        <w:tc>
          <w:tcPr>
            <w:tcW w:type="dxa" w:w="1440"/>
          </w:tcPr>
          <w:p>
            <w:r>
              <w:t>L3–U3</w:t>
            </w:r>
          </w:p>
        </w:tc>
        <w:tc>
          <w:tcPr>
            <w:tcW w:type="dxa" w:w="1440"/>
          </w:tcPr>
          <w:p>
            <w:r>
              <w:t>L3–U4</w:t>
            </w:r>
          </w:p>
        </w:tc>
        <w:tc>
          <w:tcPr>
            <w:tcW w:type="dxa" w:w="1440"/>
          </w:tcPr>
          <w:p>
            <w:r>
              <w:t>L3–U5</w:t>
            </w:r>
          </w:p>
        </w:tc>
      </w:tr>
      <w:tr>
        <w:tc>
          <w:tcPr>
            <w:tcW w:type="dxa" w:w="1440"/>
          </w:tcPr>
          <w:p>
            <w:r>
              <w:t>國家／制度</w:t>
            </w:r>
          </w:p>
        </w:tc>
        <w:tc>
          <w:tcPr>
            <w:tcW w:type="dxa" w:w="1440"/>
          </w:tcPr>
          <w:p>
            <w:r>
              <w:t>L4–U1</w:t>
            </w:r>
          </w:p>
        </w:tc>
        <w:tc>
          <w:tcPr>
            <w:tcW w:type="dxa" w:w="1440"/>
          </w:tcPr>
          <w:p>
            <w:r>
              <w:t>L4–U2</w:t>
            </w:r>
          </w:p>
        </w:tc>
        <w:tc>
          <w:tcPr>
            <w:tcW w:type="dxa" w:w="1440"/>
          </w:tcPr>
          <w:p>
            <w:r>
              <w:t>L4–U3</w:t>
            </w:r>
          </w:p>
        </w:tc>
        <w:tc>
          <w:tcPr>
            <w:tcW w:type="dxa" w:w="1440"/>
          </w:tcPr>
          <w:p>
            <w:r>
              <w:t>L4–U4</w:t>
            </w:r>
          </w:p>
        </w:tc>
        <w:tc>
          <w:tcPr>
            <w:tcW w:type="dxa" w:w="1440"/>
          </w:tcPr>
          <w:p>
            <w:r>
              <w:t>L4–U5</w:t>
            </w:r>
          </w:p>
        </w:tc>
      </w:tr>
      <w:tr>
        <w:tc>
          <w:tcPr>
            <w:tcW w:type="dxa" w:w="1440"/>
          </w:tcPr>
          <w:p>
            <w:r>
              <w:t>跨國／國際</w:t>
            </w:r>
          </w:p>
        </w:tc>
        <w:tc>
          <w:tcPr>
            <w:tcW w:type="dxa" w:w="1440"/>
          </w:tcPr>
          <w:p>
            <w:r>
              <w:t>L5–U1</w:t>
            </w:r>
          </w:p>
        </w:tc>
        <w:tc>
          <w:tcPr>
            <w:tcW w:type="dxa" w:w="1440"/>
          </w:tcPr>
          <w:p>
            <w:r>
              <w:t>L5–U2</w:t>
            </w:r>
          </w:p>
        </w:tc>
        <w:tc>
          <w:tcPr>
            <w:tcW w:type="dxa" w:w="1440"/>
          </w:tcPr>
          <w:p>
            <w:r>
              <w:t>L5–U3</w:t>
            </w:r>
          </w:p>
        </w:tc>
        <w:tc>
          <w:tcPr>
            <w:tcW w:type="dxa" w:w="1440"/>
          </w:tcPr>
          <w:p>
            <w:r>
              <w:t>L5–U4</w:t>
            </w:r>
          </w:p>
        </w:tc>
        <w:tc>
          <w:tcPr>
            <w:tcW w:type="dxa" w:w="1440"/>
          </w:tcPr>
          <w:p>
            <w:r>
              <w:t>L5–U5</w:t>
            </w:r>
          </w:p>
        </w:tc>
      </w:tr>
    </w:tbl>
    <w:p w:rsidR="00F676FC" w:rsidRDefault="0062439A">
      <w:pPr>
        <w:jc w:val="both"/>
        <w:rPr>
          <w:lang w:eastAsia="zh-TW"/>
        </w:rPr>
      </w:pPr>
      <w:r>
        <w:rPr>
          <w:lang w:eastAsia="zh-TW"/>
        </w:rPr>
        <w:t>註：本矩陣在本文中作為定位工具。實際分析時，座標名稱應依個案中的法定組織、行動者與制度關係具體化；矩陣本身不預設任何座標必然具有較高治理重要性。本矩陣為分析性區分（analytic distinction），並非本體論上互斥的分類（not ontologically exclusive）。U1指AI／技術系統；U2指個人或專業行動者；U3「組織／機構行動者」包括政府機關、政府內部單位、受委託機構與外部供應商等在特定治理事件中承擔組織性功能的行動者；U4指人民／利害關係人；U5則限定於法律、政策、標準、契約制度、採購規範與其他制度／治理環境，不作為無法歸類之</w:t>
        <w:lastRenderedPageBreak/>
        <w:t>行動者的收容類別。判別U3與U5時，應先問分析焦點究竟是「某一組織的權限、責任或行動」，或是「約束多個行動者的制度性規則與環境」：前者以U3為主要定位，後者始以U5定位。同一事件仍可能同時涉及多個座標，但研究者須明確指認主要治理位置（primary locus）與次要或衍生位置，並說明依據；當同一行動者橫跨多座標時，應優先以其在該案例中承擔法定責任或實質決策影響力最直接之座標作為主要定位。此一規則旨在提高編碼一致性，而非將矩陣改造為本體論上互斥的分類框架。</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