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Times New Roman" w:hAnsi="Times New Roman"/>
        </w:rPr>
        <w:t>Are We Accumulating AI Governance Research—or AI Governance Knowledge?</w:t>
      </w:r>
    </w:p>
    <w:p>
      <w:pPr>
        <w:pStyle w:val="Heading2"/>
      </w:pPr>
      <w:r>
        <w:rPr>
          <w:rFonts w:ascii="Times New Roman" w:hAnsi="Times New Roman"/>
        </w:rPr>
        <w:t>—A Global Comparison and Theoretical Stress Test of Research in Taiwan</w:t>
      </w:r>
    </w:p>
    <w:p>
      <w:pPr>
        <w:pStyle w:val="Normal"/>
      </w:pPr>
      <w:r>
        <w:t>Are We Accumulating AI Governance Research—or AI Governance Knowledge? A Global Comparison and Theoretical Stress Test of Taiwan’s AI Governance Research</w:t>
      </w:r>
    </w:p>
    <w:p>
      <w:pPr>
        <w:pStyle w:val="Normal"/>
      </w:pPr>
      <w:r>
        <w:t>Lancelot Lu</w:t>
      </w:r>
    </w:p>
    <w:p w:rsidR="00F676FC" w:rsidRDefault="0062439A">
      <w:pPr>
        <w:pStyle w:val="Heading2"/>
        <w:jc w:val="both"/>
      </w:pPr>
      <w:r>
        <w:t>Abstract</w:t>
      </w:r>
    </w:p>
    <w:p w:rsidR="00F676FC" w:rsidRDefault="0062439A">
      <w:pPr>
        <w:jc w:val="both"/>
      </w:pPr>
      <w:r>
        <w:t>Research on artificial intelligence in government has expanded rapidly. In Taiwan, public administration, digital governance, law, and public policy scholarship has addressed public values, ethical risks, administrative discretion, automation bias, organizational change, institutional design, regulatory adaptation, public services, civil-service capacity, data governance, and the right to explanation. Yet an increase in research output does not necessarily mean that a field has accumulated governance knowledge that can be continuously located, connected, compared, and tested.</w:t>
      </w:r>
    </w:p>
    <w:p w:rsidR="00F676FC" w:rsidRDefault="0062439A">
      <w:pPr>
        <w:jc w:val="both"/>
      </w:pPr>
      <w:r>
        <w:rPr>
          <w:rFonts w:ascii="Times New Roman" w:eastAsia="新細明體" w:hAnsi="Times New Roman"/>
          <w:sz w:val="24"/>
          <w:szCs w:val="24"/>
        </w:rPr>
        <w:t xml:space="preserve">This article adopts an Overview–Comparative–Test (OCT) strategy. It reviews major accumulations in global and Taiwanese AI governance research and compares their patterns of knowledge fragmentation. It then subjects the 25–3–3–4–7 framework to a falsification-oriented theoretical stress test using Coverage Failure (CF) and Added-Value Failure (AVF) as failure criteria. Based on the expanded Taiwanese sample examined in this article (covering public administration, data governance, fairness/rights, institutional design, local government, and generative AI clusters), Taiwan exhibits substantive deepening with dispersed framework formation but limited cross-study analytical convergence. The global literature is better characterized by framework proliferation under vertical and horizontal fragmentation with incomplete cross-framework integration.</w:t>
      </w:r>
    </w:p>
    <w:p w:rsidR="00F676FC" w:rsidRDefault="0062439A">
      <w:pPr>
        <w:jc w:val="both"/>
      </w:pPr>
      <w:r>
        <w:t>The expanded challenge set does not identify a confirmed CF or an AVF requiring reconstruction of the framework as a whole, but it does materially revise the status of several components. The three structural effects (3E) are retained as an integrative structural diagnostic procedure rather than as three wholly novel phenomena. The seven governance audits, when treated as an independent theoretical innovation, face AVF in light of mature instruments such as the NIST AI RMF, ISO/IEC 42001, and Canada’s Algorithmic Impact Assessment; they are therefore repositioned as an operational audit interface that translates upstream public-administration analysis into implementable governance checks. The resulting conclusion is revised provisional support, not proof of universal validity.</w:t>
      </w:r>
    </w:p>
    <w:p w:rsidR="00F676FC" w:rsidRDefault="0062439A">
      <w:pPr>
        <w:jc w:val="both"/>
      </w:pPr>
      <w:r>
        <w:t>Keywords: AI governance; public administration; knowledge accumulation; knowledge fragmentation; governance coordinates; administrative discretion; theoretical stress test; falsification test; Taiwan</w:t>
      </w:r>
    </w:p>
    <w:p>
      <w:pPr>
        <w:pStyle w:val="Heading2"/>
      </w:pPr>
      <w:r>
        <w:rPr>
          <w:rFonts w:ascii="Times New Roman" w:hAnsi="Times New Roman"/>
        </w:rPr>
        <w:t>1. Introduction: Does More Research Equal Knowledge Accumulation?</w:t>
      </w:r>
    </w:p>
    <w:p>
      <w:pPr>
        <w:pStyle w:val="Normal"/>
      </w:pPr>
      <w:r>
        <w:rPr>
          <w:rFonts w:ascii="Times New Roman" w:hAnsi="Times New Roman"/>
        </w:rPr>
        <w:t>The introduction of artificial intelligence into government is no longer simply a matter of implementing information systems. When algorithms begin to participate in defining problems, determining eligibility, and even deciding rights and obligations, what changes is not merely the tool but administrative power itself. Efficiency may improve, but the enduring questions of public administration—how public values are interpreted, discretion exercised, authority allocated, and responsibility assigned—do not disappear. They become harder to answer.</w:t>
        <w:br/>
        <w:br/>
        <w:t>This helps explain the recent turn in international scholarship. Researchers no longer ask only whether governments can use AI; they increasingly ask: What happens to administrative power and governance responsibility after AI enters government? This is a governance question, not merely a technical one.</w:t>
        <w:br/>
        <w:br/>
        <w:t>The global literature is now large enough to sustain systematic reviews. Batool, Zowghi, and Bano (2025) organize multilevel frameworks and governance components. Roehl and Hansen (2024) examine the synergies and trade-offs of automated administrative decision-making through the lens of good governance. Almeida and Santos Júnior (2025) ask how public organizations internalize principles in institutions and practice. Gagua et al. (2025) state the predicament even more directly: public-sector Responsible AI research remains fragmented, and the same intervention can activate different mechanisms and produce different outcomes in different institutional and organizational contexts.</w:t>
        <w:br/>
        <w:br/>
        <w:t>Taiwan is not a blank slate. Huang, Tseng, Liao, and Chen (2021) begin with public values, ethical risks, and administrative discretion. Huang and Chen (2023) discuss value displacement, multiple principals, AI discretion, and automation bias at macro, organizational, and micro levels. Chang et al. (2024) address institutional design and regulatory adaptation in public services. Adjacent research on data governance (Tseng et al., 2022; Lee, 2024), fairness and unintended discrimination (Lee et al., 2022), local-government applications (Wang, 2024), actor networks (Ting, 2024), and generative-AI adoption and trust (Lin, 2026; Digital Governance Research Center, 2025–2026) further shows that knowledge in Taiwan has accumulated across multiple dispersed clusters.</w:t>
        <w:br/>
        <w:br/>
        <w:t>The problem, then, has never been that Taiwan “has no research.”</w:t>
        <w:br/>
        <w:br/>
        <w:t>The question this article actually asks is: We have accumulated so much AI governance research, but what kind of governance knowledge has that research produced?</w:t>
        <w:br/>
        <w:br/>
        <w:t>The two are not the same. A field may continually identify new risks and application settings and offer many reasonable recommendations. Yet if studies cannot identify one another’s governance locations, connect with one another, or compare findings across cases, subsequent work will struggle to revise, refute, or extend prior findings in a stable manner. This is the discontinuity that concerns this article.</w:t>
        <w:br/>
        <w:br/>
        <w:t>Accordingly, the article treats “cumulative governance knowledge” as a basic threshold: can different findings be placed within identifiable governance relationships so that later research has, at minimum, locability, connectability, and comparability? These are not a new measurement model, but the minimum conditions for judging whether a field has moved from an accumulation of outputs to an accumulation of knowledge.</w:t>
      </w:r>
    </w:p>
    <w:p>
      <w:pPr>
        <w:pStyle w:val="Heading2"/>
      </w:pPr>
      <w:r>
        <w:rPr>
          <w:rFonts w:ascii="Times New Roman" w:hAnsi="Times New Roman"/>
        </w:rPr>
        <w:t>2. Research Questions and Research Strategy</w:t>
      </w:r>
    </w:p>
    <w:p>
      <w:pPr>
        <w:pStyle w:val="Normal"/>
      </w:pPr>
      <w:r>
        <w:rPr>
          <w:rFonts w:ascii="Times New Roman" w:hAnsi="Times New Roman"/>
        </w:rPr>
        <w:t>This article does not use publication counts to judge whether a field is mature. Instead, it adopts a three-stage OCT strategy.</w:t>
        <w:br/>
        <w:br/>
        <w:t>The first stage, Overview, reviews what global and Taiwanese AI governance studies ask, which theories they use, which levels they observe, whom they hold responsible, and what solutions they propose.</w:t>
        <w:br/>
        <w:br/>
        <w:t>The second stage, Comparative, compares how the two bodies of scholarship accumulate knowledge. It deliberately avoids a hierarchy of “mature global research” and “lagging Taiwan,” seeking instead to identify two distinct forms of fragmentation.</w:t>
        <w:br/>
        <w:br/>
        <w:t>The third stage, Test, places our own 25–3–3–4–7 framework in the same comparative environment. It is not the judge; it is one of the objects being tested.</w:t>
        <w:br/>
        <w:br/>
        <w:t>Three research questions follow:</w:t>
        <w:br/>
        <w:t>RQ1: What research problems, theoretical approaches, and governance knowledge has Taiwan accumulated?</w:t>
        <w:br/>
        <w:t>RQ2: Compared with the global literature, how does Taiwan differ or resemble it in scope, modes of connection, and governance translation?</w:t>
        <w:br/>
        <w:t>RQ3: Does existing research establish Coverage Failure or Added-Value Failure for the 25–3–3–4–7 framework? Conversely, can the framework supply information that existing research does not?</w:t>
        <w:br/>
        <w:br/>
        <w:t>One self-imposed limitation applies: CF and AVF may arise only from the existing literature included in the comparison and from actual analytical results. They may not be manufactured through hypothetical extreme cases. Whether the framework survives must be decided by substantive collision, not by our own assertion.</w:t>
        <w:br/>
        <w:br/>
        <w:t>The article uses theory-oriented purposive selection. The first round centered on public administration and public governance. In response to review comments, the second round deliberately opened the boundary to include information law, data governance, AI management systems, risk management, institutional oversight, multilevel governance, and other practice frameworks in the challenge set. Public administration remains the problem domain, but it is not the boundary of the knowledge search. The aim is not to find more supporters, but to identify the strongest challengers.</w:t>
        <w:br/>
        <w:br/>
        <w:t>For transparency, the second-round inclusion criteria were: (1) the source had to present a framework or instrument directly comparable with the 25–3–3–4–7 framework in the same analytical task; (2) it had to address at least one of location, power, structure, responsibility, or actionability; and (3) it had to be a formally published and publicly verifiable study, standard, or government instrument. More than twenty items were reviewed, and over ten core instruments—including the NIST AI RMF, ISO/IEC 42001, and Canada’s AIA—entered the substantive comparison. The search stopped when no new type of framework appeared that could alter the existing CF/AVF judgment. This was the study’s saturation judgment, not a claim of exhaustiveness.</w:t>
        <w:br/>
        <w:br/>
        <w:t>The article acknowledges that the author still determined what counted as the “strongest challenge,” and that the process cannot be equated with a PRISMA-style dual-review procedure. This is a methodological limitation, but one the article chooses to confront honestly rather than evade.</w:t>
      </w:r>
    </w:p>
    <w:p>
      <w:pPr>
        <w:jc w:val="center"/>
      </w:pPr>
      <w:r>
        <w:drawing>
          <wp:inline xmlns:a="http://schemas.openxmlformats.org/drawingml/2006/main" xmlns:pic="http://schemas.openxmlformats.org/drawingml/2006/picture">
            <wp:extent cx="5852160" cy="3511296"/>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5852160" cy="3511296"/>
                    </a:xfrm>
                    <a:prstGeom prst="rect"/>
                  </pic:spPr>
                </pic:pic>
              </a:graphicData>
            </a:graphic>
          </wp:inline>
        </w:drawing>
      </w:r>
    </w:p>
    <w:p>
      <w:pPr>
        <w:jc w:val="center"/>
      </w:pPr>
      <w:r>
        <w:rPr>
          <w:rFonts w:ascii="Times New Roman" w:hAnsi="Times New Roman"/>
          <w:b/>
          <w:i w:val="0"/>
        </w:rPr>
        <w:t>Figure 1. Purposive Search and Challenge-Set Screening Process</w:t>
      </w:r>
    </w:p>
    <w:p>
      <w:r>
        <w:rPr>
          <w:rFonts w:ascii="Times New Roman" w:hAnsi="Times New Roman"/>
          <w:b w:val="0"/>
          <w:i w:val="0"/>
        </w:rPr>
        <w:t>Note: This process transparently presents a theory-oriented purposive selection; it is not equivalent to a PRISMA-style systematic review. The stopping point was reached when no new framework type appeared that could alter the existing CF/AVF judgment.</w:t>
      </w:r>
    </w:p>
    <w:p>
      <w:pPr>
        <w:pStyle w:val="Heading2"/>
      </w:pPr>
      <w:r>
        <w:rPr>
          <w:rFonts w:ascii="Times New Roman" w:hAnsi="Times New Roman"/>
        </w:rPr>
        <w:t>3. Global AI Governance Research: No Shortage of Problems or Prescriptions, but a Lack of Integration</w:t>
      </w:r>
    </w:p>
    <w:p>
      <w:pPr>
        <w:pStyle w:val="Normal"/>
      </w:pPr>
      <w:r>
        <w:rPr>
          <w:rFonts w:ascii="Times New Roman" w:hAnsi="Times New Roman"/>
        </w:rPr>
        <w:t>In terms of problem awareness alone, global AI governance research has long moved beyond AI ethics. Its accumulation is substantive, but it does not constitute a completed unified theory. The puzzle is that scholarship continues to deepen along multiple paths while integration among those paths remains limited.</w:t>
        <w:br/>
        <w:br/>
        <w:t>Consider values and risks first. Roehl and Hansen (2024) evaluate automated administrative decision-making against nine good-governance values. Rather than merely stating that “AI is risky,” they examine how public values conflict and how trade-offs are made. This is an important advance.</w:t>
        <w:br/>
        <w:br/>
        <w:t>Next are levels of governance. Batool et al. (2025) locate AI governance at team, organizational, industry, national, and international levels and organize it by Who, What, When, and How. Their work reminds us that without specifying the level at which governance occurs and who is responsible, the term AI governance becomes overly broad.</w:t>
        <w:br/>
        <w:br/>
        <w:t>A third shift moves from principles to organizations. Drawing on evidence from 28 public organizations, Almeida and Santos Júnior (2025) ask how principles are internalized as processes and capabilities. Such work begins to answer the question public managers actually face: how can organizations build governance capacity, rather than merely which principles governments should observe?</w:t>
        <w:br/>
        <w:br/>
        <w:t>Fourth, context and mechanisms have gained prominence. Synthesizing 21 empirical studies, Gagua et al. (2025) find that translating high-level Responsible AI principles into contextualized organizational practices remains difficult; the same intervention activates different mechanisms and produces different outcomes across contexts. This also cautions the present study: global scholarship has not yet achieved a unified translation from general principles to specific prescriptions.</w:t>
        <w:br/>
        <w:br/>
        <w:t>Finally, cross-disciplinary sources further enlarge the challenge set. Zuiderwijk et al. (2021) observe that AI research in public governance remains exploratory, qualitative, and practice-oriented. Choung et al. (2025) construct a multilevel framework around three stakeholder groups—government, business, and citizens—and link levels through dimensions of trust. UNESCO (2023) and Jiang and Xie (2025) show that AI governance has entered the practical domains of institutional arrangements and regulatory-capacity building.</w:t>
        <w:br/>
        <w:br/>
        <w:t>These materials are not accumulated as supportive citations. They are used to ask whether we have underestimated the analytical capacity of existing research on multilevel governance and institutional design. Overall, global scholarship has moved from ethical principles, risk, and value conflict toward accountability, levels, organizational implementation, and contextual mechanisms. This is substantive accumulation, but the integration problem remains unresolved.</w:t>
      </w:r>
    </w:p>
    <w:p>
      <w:pPr>
        <w:pStyle w:val="Heading2"/>
      </w:pPr>
      <w:r>
        <w:rPr>
          <w:rFonts w:ascii="Times New Roman" w:hAnsi="Times New Roman"/>
        </w:rPr>
        <w:t>4. AI Governance Research in Taiwan: Issues Have Deepened, but a Shared Language Has Yet to Form</w:t>
      </w:r>
    </w:p>
    <w:p>
      <w:pPr>
        <w:pStyle w:val="Normal"/>
      </w:pPr>
      <w:r>
        <w:rPr>
          <w:rFonts w:ascii="Times New Roman" w:hAnsi="Times New Roman"/>
        </w:rPr>
        <w:t>The first feature of the Taiwanese literature is that it addresses many important problems across multiple clusters.</w:t>
        <w:br/>
        <w:br/>
        <w:t>Within the public-administration core, Huang et al. (2021) address public values, ethical risks, and administrative discretion. Huang and Chen (2023) use Weberian bureaucracy and organizational humanism as higher-level perspectives, then examine value displacement, multiple principals, AI discretion, and automation bias at macro, organizational, and micro levels. Chang et al. (2024) extend the discussion to institutional design and regulatory adaptation in public services.</w:t>
        <w:br/>
        <w:br/>
        <w:t>Adjacent clusters have also deepened in their own directions. Lee et al. (2022) address unintended discrimination and fairness. Tseng, Liao, and Lee (2022), Hsiao and Chu (2022), Lee et al. (2023), and Lee (2024) develop operational models of public-private collaboration, civil-service adaptation, internal stakeholders, and data-governance maturity. Liao (2024) and Wang (2024) add general opportunities and local applications; Ting (2024) offers an actor-network perspective; and Lin (2026) and the Digital Governance Research Center (2025–2026) address the adoption of and trust in generative AI.</w:t>
        <w:br/>
        <w:br/>
        <w:t>To avoid misinterpretation, the sample should be specified. This section draws on a purposively selected set of 16 Taiwanese sources across public administration, data governance, fairness and rights, institutional design, local government, generative AI, and ANT. This substantially exceeds the original reliance on three papers by the same group of authors, but it is not a comprehensive census. The following judgment should therefore be understood as a characterization of patterns in the sample examined, not as a definitive conclusion about the entire population of Taiwanese research.</w:t>
        <w:br/>
        <w:br/>
        <w:t>These materials show that Taiwan is not devoid of theory, nor is it confined to descriptions of technical applications. Data-governance studies offer maturity models and causal evaluation; fairness research systematically addresses consequences for rights; ANT supplies a network perspective; and generative-AI research has begun to examine trust.</w:t>
        <w:br/>
        <w:br/>
        <w:t>The real difficulty is whether studies that deepen within separate clusters have formed a shared language enabling later research to identify consistently where the problem lies, who acts, which form of power is affected, and where responsibility rests.</w:t>
        <w:br/>
        <w:br/>
        <w:t>This article does not characterize Taiwan as “shallow” or as “lacking frameworks.” A more precise description is substantive deepening with dispersed framework formation, but limited cross-study analytical convergence. Nor does it presume that the researchers form a stable knowledge community: existing evidence is insufficient to establish stable cross-citation, a common conceptual language, or a shared program. This is an honest limitation, not criticism for its own sake.</w:t>
      </w:r>
    </w:p>
    <w:p>
      <w:pPr>
        <w:pStyle w:val="Heading2"/>
      </w:pPr>
      <w:r>
        <w:rPr>
          <w:rFonts w:ascii="Times New Roman" w:hAnsi="Times New Roman"/>
        </w:rPr>
        <w:t>5. Comparing the Global Literature and Taiwan: Two Distinct Forms of Fragmentation</w:t>
      </w:r>
    </w:p>
    <w:p>
      <w:pPr>
        <w:pStyle w:val="Normal"/>
      </w:pPr>
      <w:r>
        <w:rPr>
          <w:rFonts w:ascii="Times New Roman" w:hAnsi="Times New Roman"/>
        </w:rPr>
        <w:t>Placing the global and Taiwanese literatures side by side should not be understood as a single path from fragmentation to maturity. They face different forms of fragmentation.</w:t>
        <w:br/>
        <w:br/>
        <w:t>Globally, vertical and horizontal fragmentation is more evident. Vertically, studies operate at the individual, team, organizational, industry, national, and international levels. Horizontally, traditions such as AI ethics, algorithmic accountability, automated administrative decision-making, human–AI interaction, organizational implementation, risk governance, and regulatory oversight have developed in parallel. The difficulty is that multiple research chains exist but remain insufficiently integrated.</w:t>
        <w:br/>
        <w:br/>
        <w:t>Taiwan more closely exhibits a connection problem following substantive issue deepening. Public values, ethical risks, administrative discretion, automation bias, organizational governance, institutional design, data governance, fairness, and rights have all received substantive treatment. The discontinuity lies in the use of different theories, units of analysis, and problem orientations, which makes it difficult for one study’s results to be located, compared, and extended by the next.</w:t>
        <w:br/>
        <w:br/>
        <w:t>The purpose of this comparison is not to make the global literature Taiwan’s model answer. It is to establish a baseline for the stress test that follows: can the same analytical procedure address both the global integration problem and Taiwan’s connection problem?</w:t>
      </w:r>
    </w:p>
    <w:p>
      <w:r>
        <w:rPr>
          <w:rFonts w:ascii="Times New Roman" w:hAnsi="Times New Roman"/>
          <w:b/>
          <w:i w:val="0"/>
        </w:rPr>
        <w:t>Table 1. Comparing Patterns of Knowledge Fragmentation in Global and Taiwanese AI Governance Research</w:t>
      </w:r>
    </w:p>
    <w:tbl>
      <w:tblPr>
        <w:tblStyle w:val="LightShading"/>
        <w:tblW w:type="auto" w:w="0"/>
        <w:tblLook w:firstColumn="1" w:firstRow="1" w:lastColumn="0" w:lastRow="0" w:noHBand="0" w:noVBand="1" w:val="04A0"/>
      </w:tblPr>
      <w:tblGrid>
        <w:gridCol w:w="2880"/>
        <w:gridCol w:w="2880"/>
        <w:gridCol w:w="2880"/>
      </w:tblGrid>
      <w:tr>
        <w:tc>
          <w:tcPr>
            <w:tcW w:type="dxa" w:w="2880"/>
          </w:tcPr>
          <w:p>
            <w:r>
              <w:rPr>
                <w:rFonts w:ascii="Times New Roman" w:hAnsi="Times New Roman"/>
                <w:sz w:val="17"/>
              </w:rPr>
              <w:t>Dimension of comparison</w:t>
            </w:r>
          </w:p>
        </w:tc>
        <w:tc>
          <w:tcPr>
            <w:tcW w:type="dxa" w:w="2880"/>
          </w:tcPr>
          <w:p>
            <w:r>
              <w:rPr>
                <w:rFonts w:ascii="Times New Roman" w:hAnsi="Times New Roman"/>
                <w:sz w:val="17"/>
              </w:rPr>
              <w:t>Global AI governance research</w:t>
            </w:r>
          </w:p>
        </w:tc>
        <w:tc>
          <w:tcPr>
            <w:tcW w:type="dxa" w:w="2880"/>
          </w:tcPr>
          <w:p>
            <w:r>
              <w:rPr>
                <w:rFonts w:ascii="Times New Roman" w:hAnsi="Times New Roman"/>
                <w:sz w:val="17"/>
              </w:rPr>
              <w:t>AI governance research in Taiwan</w:t>
            </w:r>
          </w:p>
        </w:tc>
      </w:tr>
      <w:tr>
        <w:tc>
          <w:tcPr>
            <w:tcW w:type="dxa" w:w="2880"/>
          </w:tcPr>
          <w:p>
            <w:r>
              <w:rPr>
                <w:rFonts w:ascii="Times New Roman" w:hAnsi="Times New Roman"/>
                <w:sz w:val="17"/>
              </w:rPr>
              <w:t>Principal form of fragmentation</w:t>
            </w:r>
          </w:p>
        </w:tc>
        <w:tc>
          <w:tcPr>
            <w:tcW w:type="dxa" w:w="2880"/>
          </w:tcPr>
          <w:p>
            <w:r>
              <w:rPr>
                <w:rFonts w:ascii="Times New Roman" w:hAnsi="Times New Roman"/>
                <w:sz w:val="17"/>
              </w:rPr>
              <w:t>Framework proliferation under vertical and horizontal fragmentation</w:t>
            </w:r>
          </w:p>
        </w:tc>
        <w:tc>
          <w:tcPr>
            <w:tcW w:type="dxa" w:w="2880"/>
          </w:tcPr>
          <w:p>
            <w:r>
              <w:rPr>
                <w:rFonts w:ascii="Times New Roman" w:hAnsi="Times New Roman"/>
                <w:sz w:val="17"/>
              </w:rPr>
              <w:t>Substantive deepening with dispersed framework formation</w:t>
            </w:r>
          </w:p>
        </w:tc>
      </w:tr>
      <w:tr>
        <w:tc>
          <w:tcPr>
            <w:tcW w:type="dxa" w:w="2880"/>
          </w:tcPr>
          <w:p>
            <w:r>
              <w:rPr>
                <w:rFonts w:ascii="Times New Roman" w:hAnsi="Times New Roman"/>
                <w:sz w:val="17"/>
              </w:rPr>
              <w:t>Pattern of accumulation</w:t>
            </w:r>
          </w:p>
        </w:tc>
        <w:tc>
          <w:tcPr>
            <w:tcW w:type="dxa" w:w="2880"/>
          </w:tcPr>
          <w:p>
            <w:r>
              <w:rPr>
                <w:rFonts w:ascii="Times New Roman" w:hAnsi="Times New Roman"/>
                <w:sz w:val="17"/>
              </w:rPr>
              <w:t>Systematic reviews, multilevel frameworks, law, standards, risk tools, and institutional instruments coexist in abundance</w:t>
            </w:r>
          </w:p>
        </w:tc>
        <w:tc>
          <w:tcPr>
            <w:tcW w:type="dxa" w:w="2880"/>
          </w:tcPr>
          <w:p>
            <w:r>
              <w:rPr>
                <w:rFonts w:ascii="Times New Roman" w:hAnsi="Times New Roman"/>
                <w:sz w:val="17"/>
              </w:rPr>
              <w:t>Public administration, data governance, information law, institutional standards, and practical governance deepen along separate paths</w:t>
            </w:r>
          </w:p>
        </w:tc>
      </w:tr>
      <w:tr>
        <w:tc>
          <w:tcPr>
            <w:tcW w:type="dxa" w:w="2880"/>
          </w:tcPr>
          <w:p>
            <w:r>
              <w:rPr>
                <w:rFonts w:ascii="Times New Roman" w:hAnsi="Times New Roman"/>
                <w:sz w:val="17"/>
              </w:rPr>
              <w:t>Principal discontinuity</w:t>
            </w:r>
          </w:p>
        </w:tc>
        <w:tc>
          <w:tcPr>
            <w:tcW w:type="dxa" w:w="2880"/>
          </w:tcPr>
          <w:p>
            <w:r>
              <w:rPr>
                <w:rFonts w:ascii="Times New Roman" w:hAnsi="Times New Roman"/>
                <w:sz w:val="17"/>
              </w:rPr>
              <w:t>Integration across frameworks, levels, and domains remains incomplete</w:t>
            </w:r>
          </w:p>
        </w:tc>
        <w:tc>
          <w:tcPr>
            <w:tcW w:type="dxa" w:w="2880"/>
          </w:tcPr>
          <w:p>
            <w:r>
              <w:rPr>
                <w:rFonts w:ascii="Times New Roman" w:hAnsi="Times New Roman"/>
                <w:sz w:val="17"/>
              </w:rPr>
              <w:t>A shared analytical language and convergence across studies remain limited</w:t>
            </w:r>
          </w:p>
        </w:tc>
      </w:tr>
      <w:tr>
        <w:tc>
          <w:tcPr>
            <w:tcW w:type="dxa" w:w="2880"/>
          </w:tcPr>
          <w:p>
            <w:r>
              <w:rPr>
                <w:rFonts w:ascii="Times New Roman" w:hAnsi="Times New Roman"/>
                <w:sz w:val="17"/>
              </w:rPr>
              <w:t>Core challenge</w:t>
            </w:r>
          </w:p>
        </w:tc>
        <w:tc>
          <w:tcPr>
            <w:tcW w:type="dxa" w:w="2880"/>
          </w:tcPr>
          <w:p>
            <w:r>
              <w:rPr>
                <w:rFonts w:ascii="Times New Roman" w:hAnsi="Times New Roman"/>
                <w:sz w:val="17"/>
              </w:rPr>
              <w:t>How to integrate across frameworks?</w:t>
            </w:r>
          </w:p>
        </w:tc>
        <w:tc>
          <w:tcPr>
            <w:tcW w:type="dxa" w:w="2880"/>
          </w:tcPr>
          <w:p>
            <w:r>
              <w:rPr>
                <w:rFonts w:ascii="Times New Roman" w:hAnsi="Times New Roman"/>
                <w:sz w:val="17"/>
              </w:rPr>
              <w:t>How to connect across studies and domains?</w:t>
            </w:r>
          </w:p>
        </w:tc>
      </w:tr>
      <w:tr>
        <w:tc>
          <w:tcPr>
            <w:tcW w:type="dxa" w:w="2880"/>
          </w:tcPr>
          <w:p>
            <w:r>
              <w:rPr>
                <w:rFonts w:ascii="Times New Roman" w:hAnsi="Times New Roman"/>
                <w:sz w:val="17"/>
              </w:rPr>
              <w:t>Comparative position of this article</w:t>
            </w:r>
          </w:p>
        </w:tc>
        <w:tc>
          <w:tcPr>
            <w:tcW w:type="dxa" w:w="2880"/>
          </w:tcPr>
          <w:p>
            <w:r>
              <w:rPr>
                <w:rFonts w:ascii="Times New Roman" w:hAnsi="Times New Roman"/>
                <w:sz w:val="17"/>
              </w:rPr>
              <w:t>Not “the global field already has frameworks and this article fills a gap,” but whether strong existing frameworks can replace continuous public-administration inference</w:t>
            </w:r>
          </w:p>
        </w:tc>
        <w:tc>
          <w:tcPr>
            <w:tcW w:type="dxa" w:w="2880"/>
          </w:tcPr>
          <w:p>
            <w:r>
              <w:rPr>
                <w:rFonts w:ascii="Times New Roman" w:hAnsi="Times New Roman"/>
                <w:sz w:val="17"/>
              </w:rPr>
              <w:t>Not “Taiwan lacks frameworks,” but whether dispersed frameworks can form a common procedure for location, connection, and comparison</w:t>
            </w:r>
          </w:p>
        </w:tc>
      </w:tr>
    </w:tbl>
    <w:p>
      <w:r>
        <w:rPr>
          <w:rFonts w:ascii="Times New Roman" w:hAnsi="Times New Roman"/>
          <w:b w:val="0"/>
          <w:i w:val="0"/>
        </w:rPr>
        <w:t>Note: The characterization of Taiwanese research is based on the expanded sample of 16 sources examined in this article and is not a comprehensive inference about the population of AI governance research in Taiwan.</w:t>
      </w:r>
    </w:p>
    <w:p>
      <w:pPr>
        <w:jc w:val="center"/>
      </w:pPr>
      <w:r>
        <w:drawing>
          <wp:inline xmlns:a="http://schemas.openxmlformats.org/drawingml/2006/main" xmlns:pic="http://schemas.openxmlformats.org/drawingml/2006/picture">
            <wp:extent cx="5614416" cy="5177739"/>
            <wp:docPr id="2" name="Picture 2"/>
            <wp:cNvGraphicFramePr>
              <a:graphicFrameLocks noChangeAspect="1"/>
            </wp:cNvGraphicFramePr>
            <a:graphic>
              <a:graphicData uri="http://schemas.openxmlformats.org/drawingml/2006/picture">
                <pic:pic>
                  <pic:nvPicPr>
                    <pic:cNvPr id="0" name="image2.png"/>
                    <pic:cNvPicPr/>
                  </pic:nvPicPr>
                  <pic:blipFill>
                    <a:blip r:embed="rId10"/>
                    <a:stretch>
                      <a:fillRect/>
                    </a:stretch>
                  </pic:blipFill>
                  <pic:spPr>
                    <a:xfrm>
                      <a:off x="0" y="0"/>
                      <a:ext cx="5614416" cy="5177739"/>
                    </a:xfrm>
                    <a:prstGeom prst="rect"/>
                  </pic:spPr>
                </pic:pic>
              </a:graphicData>
            </a:graphic>
          </wp:inline>
        </w:drawing>
      </w:r>
    </w:p>
    <w:p>
      <w:pPr>
        <w:jc w:val="center"/>
      </w:pPr>
      <w:r>
        <w:rPr>
          <w:rFonts w:ascii="Times New Roman" w:hAnsi="Times New Roman"/>
          <w:b/>
          <w:i w:val="0"/>
        </w:rPr>
        <w:t>Figure 2. A Public-Administration Problem Map for AI Governance</w:t>
      </w:r>
    </w:p>
    <w:p>
      <w:r>
        <w:rPr>
          <w:rFonts w:ascii="Times New Roman" w:hAnsi="Times New Roman"/>
          <w:b/>
          <w:i w:val="0"/>
        </w:rPr>
        <w:t>Table 2. Operational Definitions and Diagnostic Questions for the 25–3–3–4–7 Components</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rPr>
                <w:rFonts w:ascii="Times New Roman" w:hAnsi="Times New Roman"/>
                <w:sz w:val="17"/>
              </w:rPr>
              <w:t>Component</w:t>
            </w:r>
          </w:p>
        </w:tc>
        <w:tc>
          <w:tcPr>
            <w:tcW w:type="dxa" w:w="2160"/>
          </w:tcPr>
          <w:p>
            <w:r>
              <w:rPr>
                <w:rFonts w:ascii="Times New Roman" w:hAnsi="Times New Roman"/>
                <w:sz w:val="17"/>
              </w:rPr>
              <w:t>Operational definition in this article</w:t>
            </w:r>
          </w:p>
        </w:tc>
        <w:tc>
          <w:tcPr>
            <w:tcW w:type="dxa" w:w="2160"/>
          </w:tcPr>
          <w:p>
            <w:r>
              <w:rPr>
                <w:rFonts w:ascii="Times New Roman" w:hAnsi="Times New Roman"/>
                <w:sz w:val="17"/>
              </w:rPr>
              <w:t>Diagnostic question</w:t>
            </w:r>
          </w:p>
        </w:tc>
        <w:tc>
          <w:tcPr>
            <w:tcW w:type="dxa" w:w="2160"/>
          </w:tcPr>
          <w:p>
            <w:r>
              <w:rPr>
                <w:rFonts w:ascii="Times New Roman" w:hAnsi="Times New Roman"/>
                <w:sz w:val="17"/>
              </w:rPr>
              <w:t>OCT function</w:t>
            </w:r>
          </w:p>
        </w:tc>
      </w:tr>
      <w:tr>
        <w:tc>
          <w:tcPr>
            <w:tcW w:type="dxa" w:w="2160"/>
          </w:tcPr>
          <w:p>
            <w:r>
              <w:rPr>
                <w:rFonts w:ascii="Times New Roman" w:hAnsi="Times New Roman"/>
                <w:sz w:val="17"/>
              </w:rPr>
              <w:t>25 governance coordinates</w:t>
            </w:r>
          </w:p>
        </w:tc>
        <w:tc>
          <w:tcPr>
            <w:tcW w:type="dxa" w:w="2160"/>
          </w:tcPr>
          <w:p>
            <w:r>
              <w:rPr>
                <w:rFonts w:ascii="Times New Roman" w:hAnsi="Times New Roman"/>
                <w:sz w:val="17"/>
              </w:rPr>
              <w:t>Dual location across 5 analytical levels × 5 analytical units</w:t>
            </w:r>
          </w:p>
        </w:tc>
        <w:tc>
          <w:tcPr>
            <w:tcW w:type="dxa" w:w="2160"/>
          </w:tcPr>
          <w:p>
            <w:r>
              <w:rPr>
                <w:rFonts w:ascii="Times New Roman" w:hAnsi="Times New Roman"/>
                <w:sz w:val="17"/>
              </w:rPr>
              <w:t>At which level × unit does the problem occur?</w:t>
            </w:r>
          </w:p>
        </w:tc>
        <w:tc>
          <w:tcPr>
            <w:tcW w:type="dxa" w:w="2160"/>
          </w:tcPr>
          <w:p>
            <w:r>
              <w:rPr>
                <w:rFonts w:ascii="Times New Roman" w:hAnsi="Times New Roman"/>
                <w:sz w:val="17"/>
              </w:rPr>
              <w:t>Locability</w:t>
            </w:r>
          </w:p>
        </w:tc>
      </w:tr>
      <w:tr>
        <w:tc>
          <w:tcPr>
            <w:tcW w:type="dxa" w:w="2160"/>
          </w:tcPr>
          <w:p>
            <w:r>
              <w:rPr>
                <w:rFonts w:ascii="Times New Roman" w:hAnsi="Times New Roman"/>
                <w:sz w:val="17"/>
              </w:rPr>
              <w:t>P1 Situation construction</w:t>
            </w:r>
          </w:p>
        </w:tc>
        <w:tc>
          <w:tcPr>
            <w:tcW w:type="dxa" w:w="2160"/>
          </w:tcPr>
          <w:p>
            <w:r>
              <w:rPr>
                <w:rFonts w:ascii="Times New Roman" w:hAnsi="Times New Roman"/>
                <w:sz w:val="17"/>
              </w:rPr>
              <w:t>Affects how problems are seen, classified, and presented</w:t>
            </w:r>
          </w:p>
        </w:tc>
        <w:tc>
          <w:tcPr>
            <w:tcW w:type="dxa" w:w="2160"/>
          </w:tcPr>
          <w:p>
            <w:r>
              <w:rPr>
                <w:rFonts w:ascii="Times New Roman" w:hAnsi="Times New Roman"/>
                <w:sz w:val="17"/>
              </w:rPr>
              <w:t>Who determines which problem is seen?</w:t>
            </w:r>
          </w:p>
        </w:tc>
        <w:tc>
          <w:tcPr>
            <w:tcW w:type="dxa" w:w="2160"/>
          </w:tcPr>
          <w:p>
            <w:r>
              <w:rPr>
                <w:rFonts w:ascii="Times New Roman" w:hAnsi="Times New Roman"/>
                <w:sz w:val="17"/>
              </w:rPr>
              <w:t>Power identification</w:t>
            </w:r>
          </w:p>
        </w:tc>
      </w:tr>
      <w:tr>
        <w:tc>
          <w:tcPr>
            <w:tcW w:type="dxa" w:w="2160"/>
          </w:tcPr>
          <w:p>
            <w:r>
              <w:rPr>
                <w:rFonts w:ascii="Times New Roman" w:hAnsi="Times New Roman"/>
                <w:sz w:val="17"/>
              </w:rPr>
              <w:t>P2 Administrative discretion</w:t>
            </w:r>
          </w:p>
        </w:tc>
        <w:tc>
          <w:tcPr>
            <w:tcW w:type="dxa" w:w="2160"/>
          </w:tcPr>
          <w:p>
            <w:r>
              <w:rPr>
                <w:rFonts w:ascii="Times New Roman" w:hAnsi="Times New Roman"/>
                <w:sz w:val="17"/>
              </w:rPr>
              <w:t>Affects options, judgment, and decision space</w:t>
            </w:r>
          </w:p>
        </w:tc>
        <w:tc>
          <w:tcPr>
            <w:tcW w:type="dxa" w:w="2160"/>
          </w:tcPr>
          <w:p>
            <w:r>
              <w:rPr>
                <w:rFonts w:ascii="Times New Roman" w:hAnsi="Times New Roman"/>
                <w:sz w:val="17"/>
              </w:rPr>
              <w:t>Who substantively changes administrative judgment?</w:t>
            </w:r>
          </w:p>
        </w:tc>
        <w:tc>
          <w:tcPr>
            <w:tcW w:type="dxa" w:w="2160"/>
          </w:tcPr>
          <w:p>
            <w:r>
              <w:rPr>
                <w:rFonts w:ascii="Times New Roman" w:hAnsi="Times New Roman"/>
                <w:sz w:val="17"/>
              </w:rPr>
              <w:t>Power identification</w:t>
            </w:r>
          </w:p>
        </w:tc>
      </w:tr>
      <w:tr>
        <w:tc>
          <w:tcPr>
            <w:tcW w:type="dxa" w:w="2160"/>
          </w:tcPr>
          <w:p>
            <w:r>
              <w:rPr>
                <w:rFonts w:ascii="Times New Roman" w:hAnsi="Times New Roman"/>
                <w:sz w:val="17"/>
              </w:rPr>
              <w:t>P3 Public-power effects</w:t>
            </w:r>
          </w:p>
        </w:tc>
        <w:tc>
          <w:tcPr>
            <w:tcW w:type="dxa" w:w="2160"/>
          </w:tcPr>
          <w:p>
            <w:r>
              <w:rPr>
                <w:rFonts w:ascii="Times New Roman" w:hAnsi="Times New Roman"/>
                <w:sz w:val="17"/>
              </w:rPr>
              <w:t>Affects people’s rights, interests, or obligations</w:t>
            </w:r>
          </w:p>
        </w:tc>
        <w:tc>
          <w:tcPr>
            <w:tcW w:type="dxa" w:w="2160"/>
          </w:tcPr>
          <w:p>
            <w:r>
              <w:rPr>
                <w:rFonts w:ascii="Times New Roman" w:hAnsi="Times New Roman"/>
                <w:sz w:val="17"/>
              </w:rPr>
              <w:t>Does the AI output enter the effects of public power?</w:t>
            </w:r>
          </w:p>
        </w:tc>
        <w:tc>
          <w:tcPr>
            <w:tcW w:type="dxa" w:w="2160"/>
          </w:tcPr>
          <w:p>
            <w:r>
              <w:rPr>
                <w:rFonts w:ascii="Times New Roman" w:hAnsi="Times New Roman"/>
                <w:sz w:val="17"/>
              </w:rPr>
              <w:t>Power identification</w:t>
            </w:r>
          </w:p>
        </w:tc>
      </w:tr>
      <w:tr>
        <w:tc>
          <w:tcPr>
            <w:tcW w:type="dxa" w:w="2160"/>
          </w:tcPr>
          <w:p>
            <w:r>
              <w:rPr>
                <w:rFonts w:ascii="Times New Roman" w:hAnsi="Times New Roman"/>
                <w:sz w:val="17"/>
              </w:rPr>
              <w:t>Cross-cell movement</w:t>
            </w:r>
          </w:p>
        </w:tc>
        <w:tc>
          <w:tcPr>
            <w:tcW w:type="dxa" w:w="2160"/>
          </w:tcPr>
          <w:p>
            <w:r>
              <w:rPr>
                <w:rFonts w:ascii="Times New Roman" w:hAnsi="Times New Roman"/>
                <w:sz w:val="17"/>
              </w:rPr>
              <w:t>A governance function moves from one coordinate to another</w:t>
            </w:r>
          </w:p>
        </w:tc>
        <w:tc>
          <w:tcPr>
            <w:tcW w:type="dxa" w:w="2160"/>
          </w:tcPr>
          <w:p>
            <w:r>
              <w:rPr>
                <w:rFonts w:ascii="Times New Roman" w:hAnsi="Times New Roman"/>
                <w:sz w:val="17"/>
              </w:rPr>
              <w:t>What moved, from where, and to where?</w:t>
            </w:r>
          </w:p>
        </w:tc>
        <w:tc>
          <w:tcPr>
            <w:tcW w:type="dxa" w:w="2160"/>
          </w:tcPr>
          <w:p>
            <w:r>
              <w:rPr>
                <w:rFonts w:ascii="Times New Roman" w:hAnsi="Times New Roman"/>
                <w:sz w:val="17"/>
              </w:rPr>
              <w:t>Structural effect</w:t>
            </w:r>
          </w:p>
        </w:tc>
      </w:tr>
      <w:tr>
        <w:tc>
          <w:tcPr>
            <w:tcW w:type="dxa" w:w="2160"/>
          </w:tcPr>
          <w:p>
            <w:r>
              <w:rPr>
                <w:rFonts w:ascii="Times New Roman" w:hAnsi="Times New Roman"/>
                <w:sz w:val="17"/>
              </w:rPr>
              <w:t>Boundary dissolution</w:t>
            </w:r>
          </w:p>
        </w:tc>
        <w:tc>
          <w:tcPr>
            <w:tcW w:type="dxa" w:w="2160"/>
          </w:tcPr>
          <w:p>
            <w:r>
              <w:rPr>
                <w:rFonts w:ascii="Times New Roman" w:hAnsi="Times New Roman"/>
                <w:sz w:val="17"/>
              </w:rPr>
              <w:t>Lines of responsibility between existing governance units become blurred</w:t>
            </w:r>
          </w:p>
        </w:tc>
        <w:tc>
          <w:tcPr>
            <w:tcW w:type="dxa" w:w="2160"/>
          </w:tcPr>
          <w:p>
            <w:r>
              <w:rPr>
                <w:rFonts w:ascii="Times New Roman" w:hAnsi="Times New Roman"/>
                <w:sz w:val="17"/>
              </w:rPr>
              <w:t>Which lines of responsibility have become difficult to discern?</w:t>
            </w:r>
          </w:p>
        </w:tc>
        <w:tc>
          <w:tcPr>
            <w:tcW w:type="dxa" w:w="2160"/>
          </w:tcPr>
          <w:p>
            <w:r>
              <w:rPr>
                <w:rFonts w:ascii="Times New Roman" w:hAnsi="Times New Roman"/>
                <w:sz w:val="17"/>
              </w:rPr>
              <w:t>Structural effect</w:t>
            </w:r>
          </w:p>
        </w:tc>
      </w:tr>
      <w:tr>
        <w:tc>
          <w:tcPr>
            <w:tcW w:type="dxa" w:w="2160"/>
          </w:tcPr>
          <w:p>
            <w:r>
              <w:rPr>
                <w:rFonts w:ascii="Times New Roman" w:hAnsi="Times New Roman"/>
                <w:sz w:val="17"/>
              </w:rPr>
              <w:t>Authority reconfiguration</w:t>
            </w:r>
          </w:p>
        </w:tc>
        <w:tc>
          <w:tcPr>
            <w:tcW w:type="dxa" w:w="2160"/>
          </w:tcPr>
          <w:p>
            <w:r>
              <w:rPr>
                <w:rFonts w:ascii="Times New Roman" w:hAnsi="Times New Roman"/>
                <w:sz w:val="17"/>
              </w:rPr>
              <w:t>Legal authority separates from substantive influence</w:t>
            </w:r>
          </w:p>
        </w:tc>
        <w:tc>
          <w:tcPr>
            <w:tcW w:type="dxa" w:w="2160"/>
          </w:tcPr>
          <w:p>
            <w:r>
              <w:rPr>
                <w:rFonts w:ascii="Times New Roman" w:hAnsi="Times New Roman"/>
                <w:sz w:val="17"/>
              </w:rPr>
              <w:t>Who has legal authority, and who exerts actual influence?</w:t>
            </w:r>
          </w:p>
        </w:tc>
        <w:tc>
          <w:tcPr>
            <w:tcW w:type="dxa" w:w="2160"/>
          </w:tcPr>
          <w:p>
            <w:r>
              <w:rPr>
                <w:rFonts w:ascii="Times New Roman" w:hAnsi="Times New Roman"/>
                <w:sz w:val="17"/>
              </w:rPr>
              <w:t>Structural effect</w:t>
            </w:r>
          </w:p>
        </w:tc>
      </w:tr>
      <w:tr>
        <w:tc>
          <w:tcPr>
            <w:tcW w:type="dxa" w:w="2160"/>
          </w:tcPr>
          <w:p>
            <w:r>
              <w:rPr>
                <w:rFonts w:ascii="Times New Roman" w:hAnsi="Times New Roman"/>
                <w:sz w:val="17"/>
              </w:rPr>
              <w:t>Four governance chains</w:t>
            </w:r>
          </w:p>
        </w:tc>
        <w:tc>
          <w:tcPr>
            <w:tcW w:type="dxa" w:w="2160"/>
          </w:tcPr>
          <w:p>
            <w:r>
              <w:rPr>
                <w:rFonts w:ascii="Times New Roman" w:hAnsi="Times New Roman"/>
                <w:sz w:val="17"/>
              </w:rPr>
              <w:t>Trace governance relationships through situation, authority, reasons, and responsibility</w:t>
            </w:r>
          </w:p>
        </w:tc>
        <w:tc>
          <w:tcPr>
            <w:tcW w:type="dxa" w:w="2160"/>
          </w:tcPr>
          <w:p>
            <w:r>
              <w:rPr>
                <w:rFonts w:ascii="Times New Roman" w:hAnsi="Times New Roman"/>
                <w:sz w:val="17"/>
              </w:rPr>
              <w:t>Can the problem be traced all the way to responsibility?</w:t>
            </w:r>
          </w:p>
        </w:tc>
        <w:tc>
          <w:tcPr>
            <w:tcW w:type="dxa" w:w="2160"/>
          </w:tcPr>
          <w:p>
            <w:r>
              <w:rPr>
                <w:rFonts w:ascii="Times New Roman" w:hAnsi="Times New Roman"/>
                <w:sz w:val="17"/>
              </w:rPr>
              <w:t>Prescription linkage</w:t>
            </w:r>
          </w:p>
        </w:tc>
      </w:tr>
      <w:tr>
        <w:tc>
          <w:tcPr>
            <w:tcW w:type="dxa" w:w="2160"/>
          </w:tcPr>
          <w:p>
            <w:r>
              <w:rPr>
                <w:rFonts w:ascii="Times New Roman" w:hAnsi="Times New Roman"/>
                <w:sz w:val="17"/>
              </w:rPr>
              <w:t>Seven governance audits</w:t>
            </w:r>
          </w:p>
        </w:tc>
        <w:tc>
          <w:tcPr>
            <w:tcW w:type="dxa" w:w="2160"/>
          </w:tcPr>
          <w:p>
            <w:r>
              <w:rPr>
                <w:rFonts w:ascii="Times New Roman" w:hAnsi="Times New Roman"/>
                <w:sz w:val="17"/>
              </w:rPr>
              <w:t>Translate upstream analysis into inspectable and executable governance items (see Table 4)</w:t>
            </w:r>
          </w:p>
        </w:tc>
        <w:tc>
          <w:tcPr>
            <w:tcW w:type="dxa" w:w="2160"/>
          </w:tcPr>
          <w:p>
            <w:r>
              <w:rPr>
                <w:rFonts w:ascii="Times New Roman" w:hAnsi="Times New Roman"/>
                <w:sz w:val="17"/>
              </w:rPr>
              <w:t>Can executable governance checks be formed?</w:t>
            </w:r>
          </w:p>
        </w:tc>
        <w:tc>
          <w:tcPr>
            <w:tcW w:type="dxa" w:w="2160"/>
          </w:tcPr>
          <w:p>
            <w:r>
              <w:rPr>
                <w:rFonts w:ascii="Times New Roman" w:hAnsi="Times New Roman"/>
                <w:sz w:val="17"/>
              </w:rPr>
              <w:t>Operationalization</w:t>
            </w:r>
          </w:p>
        </w:tc>
      </w:tr>
    </w:tbl>
    <w:p>
      <w:r>
        <w:rPr>
          <w:rFonts w:ascii="Times New Roman" w:hAnsi="Times New Roman"/>
          <w:b/>
          <w:i w:val="0"/>
        </w:rPr>
        <w:t>Table 3. From Diagnosing AI Governance Problems to Actor-Specific Governance Prescriptions: The 25–3–3–4–7 Inferential Procedure</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rPr>
                <w:rFonts w:ascii="Times New Roman" w:hAnsi="Times New Roman"/>
                <w:sz w:val="17"/>
              </w:rPr>
              <w:t>25 governance coordinates</w:t>
              <w:br/>
              <w:t>Where is the problem?</w:t>
              <w:br/>
              <w:t>Level × Unit</w:t>
            </w:r>
          </w:p>
        </w:tc>
        <w:tc>
          <w:tcPr>
            <w:tcW w:type="dxa" w:w="1728"/>
          </w:tcPr>
          <w:p>
            <w:r>
              <w:rPr>
                <w:rFonts w:ascii="Times New Roman" w:hAnsi="Times New Roman"/>
                <w:sz w:val="17"/>
              </w:rPr>
              <w:t>P1/P2/P3</w:t>
              <w:br/>
              <w:t>Which form of power is affected?</w:t>
            </w:r>
          </w:p>
        </w:tc>
        <w:tc>
          <w:tcPr>
            <w:tcW w:type="dxa" w:w="1728"/>
          </w:tcPr>
          <w:p>
            <w:r>
              <w:rPr>
                <w:rFonts w:ascii="Times New Roman" w:hAnsi="Times New Roman"/>
                <w:sz w:val="17"/>
              </w:rPr>
              <w:t>3E structural effects</w:t>
              <w:br/>
              <w:t>How do governance relationships change?</w:t>
            </w:r>
          </w:p>
        </w:tc>
        <w:tc>
          <w:tcPr>
            <w:tcW w:type="dxa" w:w="1728"/>
          </w:tcPr>
          <w:p>
            <w:r>
              <w:rPr>
                <w:rFonts w:ascii="Times New Roman" w:hAnsi="Times New Roman"/>
                <w:sz w:val="17"/>
              </w:rPr>
              <w:t>Four governance chains</w:t>
              <w:br/>
              <w:t>Where are reasons and responsibility?</w:t>
            </w:r>
          </w:p>
        </w:tc>
        <w:tc>
          <w:tcPr>
            <w:tcW w:type="dxa" w:w="1728"/>
          </w:tcPr>
          <w:p>
            <w:r>
              <w:rPr>
                <w:rFonts w:ascii="Times New Roman" w:hAnsi="Times New Roman"/>
                <w:sz w:val="17"/>
              </w:rPr>
              <w:t>Seven governance audits</w:t>
              <w:br/>
              <w:t>How can it be inspected and implemented?</w:t>
              <w:br/>
              <w:t>→ Actor-specific prescription</w:t>
            </w:r>
          </w:p>
        </w:tc>
      </w:tr>
    </w:tbl>
    <w:p>
      <w:pPr>
        <w:pStyle w:val="Heading2"/>
      </w:pPr>
      <w:r>
        <w:rPr>
          <w:rFonts w:ascii="Times New Roman" w:hAnsi="Times New Roman"/>
        </w:rPr>
        <w:t>6. Theoretical Stress Test: How Does Diagnosis Lead to Prescription?</w:t>
      </w:r>
    </w:p>
    <w:p>
      <w:pPr>
        <w:pStyle w:val="Normal"/>
      </w:pPr>
      <w:r>
        <w:rPr>
          <w:rFonts w:ascii="Times New Roman" w:hAnsi="Times New Roman"/>
        </w:rPr>
        <w:t>The preceding comparison shows that neither the global nor the Taiwanese literature lacks problems or prescriptions. What merits examination is whether the intermediate inferential sequence is complete: at which governance location does a particular problem occur, which power relationship does it involve, which administrative actor should intervene, and how can responsibility be traced?</w:t>
        <w:br/>
        <w:br/>
        <w:t>The question is never simply whether there is a diagnosis or a prescription, but how the diagnosis leads to that prescription and for whom the prescription is written.</w:t>
        <w:br/>
        <w:br/>
        <w:t>The principal tests therefore concern the 25 governance coordinates, P1/P2/P3, and the three structural effects. The four governance chains and seven governance audits are used only when existing research already proposes a concrete prescription, in order to assess whether responsibility and action can be traced further downstream. This preserves the original analytical sequence rather than adding a new test.</w:t>
        <w:br/>
        <w:br/>
        <w:t>As an operational interface, the seven audits do not repeat upstream theoretical judgments; they translate diagnoses into points of entry for inspection. If 3E identifies an increase in the substantive influence of an external vendor, for example, G6 Vendor and Procurement Audit is activated. If the four governance chains show that review authority, authorization, or the recording of reasons is unclear, the analysis moves to G3 Authority and Human–AI Division-of-Labor Audit and G4 Procedure and Reasons Audit. If P3 reaches eligibility, rights, or interests, G5 Rights Impact and Remedy Audit becomes a necessary entry point. G1–G7 translate upstream analysis into executable checks; they do not establish a parallel theory intended to compete with NIST, ISO, or Canada’s AIA.</w:t>
        <w:br/>
        <w:br/>
        <w:t>The central methodological reminder is that the 25–3–3–4–7 framework is not a classification box presumed to be correct. If existing research already performs the same analysis with equal or greater precision, the framework faces AVF. If an important phenomenon cannot be represented without distorting its meaning, it constitutes CF. The test does not ask whether the literature can be placed inside the framework; it asks: after doing so, do we know anything more?</w:t>
      </w:r>
    </w:p>
    <w:p>
      <w:r>
        <w:rPr>
          <w:rFonts w:ascii="Times New Roman" w:hAnsi="Times New Roman"/>
          <w:b w:val="0"/>
          <w:i w:val="0"/>
        </w:rPr>
        <w:t>The following comparison is the article’s analytical classification based on public documentation for existing instruments. It shows how the seven audits build on, rather than replace, these mature instruments. It is neither an official item-by-item mapping nor a claim of exhaustiveness or superiority over the NIST AI RMF, ISO/IEC 42001, or Canada’s AIA.</w:t>
      </w:r>
    </w:p>
    <w:p>
      <w:r>
        <w:rPr>
          <w:rFonts w:ascii="Times New Roman" w:hAnsi="Times New Roman"/>
          <w:b/>
          <w:i w:val="0"/>
        </w:rPr>
        <w:t>Table 4. Operational Definitions of the Seven Governance Audits and an Illustrative Analytical Mapping to Functional Areas of Existing Instruments</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rPr>
                <w:rFonts w:ascii="Times New Roman" w:hAnsi="Times New Roman"/>
                <w:sz w:val="17"/>
              </w:rPr>
              <w:t>Code</w:t>
            </w:r>
          </w:p>
        </w:tc>
        <w:tc>
          <w:tcPr>
            <w:tcW w:type="dxa" w:w="2160"/>
          </w:tcPr>
          <w:p>
            <w:r>
              <w:rPr>
                <w:rFonts w:ascii="Times New Roman" w:hAnsi="Times New Roman"/>
                <w:sz w:val="17"/>
              </w:rPr>
              <w:t>Audit item</w:t>
            </w:r>
          </w:p>
        </w:tc>
        <w:tc>
          <w:tcPr>
            <w:tcW w:type="dxa" w:w="2160"/>
          </w:tcPr>
          <w:p>
            <w:r>
              <w:rPr>
                <w:rFonts w:ascii="Times New Roman" w:hAnsi="Times New Roman"/>
                <w:sz w:val="17"/>
              </w:rPr>
              <w:t>Audit content (operational definition)</w:t>
            </w:r>
          </w:p>
        </w:tc>
        <w:tc>
          <w:tcPr>
            <w:tcW w:type="dxa" w:w="2160"/>
          </w:tcPr>
          <w:p>
            <w:r>
              <w:rPr>
                <w:rFonts w:ascii="Times New Roman" w:hAnsi="Times New Roman"/>
                <w:sz w:val="17"/>
              </w:rPr>
              <w:t>Corresponding existing instruments (illustrative, not an official item-by-item mapping)</w:t>
            </w:r>
          </w:p>
        </w:tc>
      </w:tr>
      <w:tr>
        <w:tc>
          <w:tcPr>
            <w:tcW w:type="dxa" w:w="2160"/>
          </w:tcPr>
          <w:p>
            <w:r>
              <w:rPr>
                <w:rFonts w:ascii="Times New Roman" w:hAnsi="Times New Roman"/>
                <w:sz w:val="17"/>
              </w:rPr>
              <w:t>G1</w:t>
            </w:r>
          </w:p>
        </w:tc>
        <w:tc>
          <w:tcPr>
            <w:tcW w:type="dxa" w:w="2160"/>
          </w:tcPr>
          <w:p>
            <w:r>
              <w:rPr>
                <w:rFonts w:ascii="Times New Roman" w:hAnsi="Times New Roman"/>
                <w:sz w:val="17"/>
              </w:rPr>
              <w:t>Data Governance Audit</w:t>
            </w:r>
          </w:p>
        </w:tc>
        <w:tc>
          <w:tcPr>
            <w:tcW w:type="dxa" w:w="2160"/>
          </w:tcPr>
          <w:p>
            <w:r>
              <w:rPr>
                <w:rFonts w:ascii="Times New Roman" w:hAnsi="Times New Roman"/>
                <w:sz w:val="17"/>
              </w:rPr>
              <w:t>Sources, representativeness, updating, and quality control of training and input data</w:t>
            </w:r>
          </w:p>
        </w:tc>
        <w:tc>
          <w:tcPr>
            <w:tcW w:type="dxa" w:w="2160"/>
          </w:tcPr>
          <w:p>
            <w:r>
              <w:rPr>
                <w:rFonts w:ascii="Times New Roman" w:hAnsi="Times New Roman"/>
                <w:sz w:val="17"/>
              </w:rPr>
              <w:t>NIST AI RMF—Map; ISO/IEC 42001—resource and data-management clauses; Canada AIA—data-related scoring items</w:t>
            </w:r>
          </w:p>
        </w:tc>
      </w:tr>
      <w:tr>
        <w:tc>
          <w:tcPr>
            <w:tcW w:type="dxa" w:w="2160"/>
          </w:tcPr>
          <w:p>
            <w:r>
              <w:rPr>
                <w:rFonts w:ascii="Times New Roman" w:hAnsi="Times New Roman"/>
                <w:sz w:val="17"/>
              </w:rPr>
              <w:t>G2</w:t>
            </w:r>
          </w:p>
        </w:tc>
        <w:tc>
          <w:tcPr>
            <w:tcW w:type="dxa" w:w="2160"/>
          </w:tcPr>
          <w:p>
            <w:r>
              <w:rPr>
                <w:rFonts w:ascii="Times New Roman" w:hAnsi="Times New Roman"/>
                <w:sz w:val="17"/>
              </w:rPr>
              <w:t>Model/Algorithm Audit</w:t>
            </w:r>
          </w:p>
        </w:tc>
        <w:tc>
          <w:tcPr>
            <w:tcW w:type="dxa" w:w="2160"/>
          </w:tcPr>
          <w:p>
            <w:r>
              <w:rPr>
                <w:rFonts w:ascii="Times New Roman" w:hAnsi="Times New Roman"/>
                <w:sz w:val="17"/>
              </w:rPr>
              <w:t>Documentation and review of model design, performance, limitations, and known risks</w:t>
            </w:r>
          </w:p>
        </w:tc>
        <w:tc>
          <w:tcPr>
            <w:tcW w:type="dxa" w:w="2160"/>
          </w:tcPr>
          <w:p>
            <w:r>
              <w:rPr>
                <w:rFonts w:ascii="Times New Roman" w:hAnsi="Times New Roman"/>
                <w:sz w:val="17"/>
              </w:rPr>
              <w:t>NIST AI RMF—Measure; ISO/IEC 42001—AI system development and design controls; Canada AIA—algorithm and design questions</w:t>
            </w:r>
          </w:p>
        </w:tc>
      </w:tr>
      <w:tr>
        <w:tc>
          <w:tcPr>
            <w:tcW w:type="dxa" w:w="2160"/>
          </w:tcPr>
          <w:p>
            <w:r>
              <w:rPr>
                <w:rFonts w:ascii="Times New Roman" w:hAnsi="Times New Roman"/>
                <w:sz w:val="17"/>
              </w:rPr>
              <w:t>G3</w:t>
            </w:r>
          </w:p>
        </w:tc>
        <w:tc>
          <w:tcPr>
            <w:tcW w:type="dxa" w:w="2160"/>
          </w:tcPr>
          <w:p>
            <w:r>
              <w:rPr>
                <w:rFonts w:ascii="Times New Roman" w:hAnsi="Times New Roman"/>
                <w:sz w:val="17"/>
              </w:rPr>
              <w:t>Authority and Human–AI Division-of-Labor Audit</w:t>
            </w:r>
          </w:p>
        </w:tc>
        <w:tc>
          <w:tcPr>
            <w:tcW w:type="dxa" w:w="2160"/>
          </w:tcPr>
          <w:p>
            <w:r>
              <w:rPr>
                <w:rFonts w:ascii="Times New Roman" w:hAnsi="Times New Roman"/>
                <w:sz w:val="17"/>
              </w:rPr>
              <w:t>Clarification of the human–AI decision division, veto power, review, and intervention authority</w:t>
            </w:r>
          </w:p>
        </w:tc>
        <w:tc>
          <w:tcPr>
            <w:tcW w:type="dxa" w:w="2160"/>
          </w:tcPr>
          <w:p>
            <w:r>
              <w:rPr>
                <w:rFonts w:ascii="Times New Roman" w:hAnsi="Times New Roman"/>
                <w:sz w:val="17"/>
              </w:rPr>
              <w:t>NIST AI RMF—Govern; ISO/IEC 42001—human oversight and role-responsibility clauses; Canada AIA—human–AI collaboration mitigations</w:t>
            </w:r>
          </w:p>
        </w:tc>
      </w:tr>
      <w:tr>
        <w:tc>
          <w:tcPr>
            <w:tcW w:type="dxa" w:w="2160"/>
          </w:tcPr>
          <w:p>
            <w:r>
              <w:rPr>
                <w:rFonts w:ascii="Times New Roman" w:hAnsi="Times New Roman"/>
                <w:sz w:val="17"/>
              </w:rPr>
              <w:t>G4</w:t>
            </w:r>
          </w:p>
        </w:tc>
        <w:tc>
          <w:tcPr>
            <w:tcW w:type="dxa" w:w="2160"/>
          </w:tcPr>
          <w:p>
            <w:r>
              <w:rPr>
                <w:rFonts w:ascii="Times New Roman" w:hAnsi="Times New Roman"/>
                <w:sz w:val="17"/>
              </w:rPr>
              <w:t>Procedure and Reasons Audit</w:t>
            </w:r>
          </w:p>
        </w:tc>
        <w:tc>
          <w:tcPr>
            <w:tcW w:type="dxa" w:w="2160"/>
          </w:tcPr>
          <w:p>
            <w:r>
              <w:rPr>
                <w:rFonts w:ascii="Times New Roman" w:hAnsi="Times New Roman"/>
                <w:sz w:val="17"/>
              </w:rPr>
              <w:t>Traceability of decision procedures and the recording and review of reasons</w:t>
            </w:r>
          </w:p>
        </w:tc>
        <w:tc>
          <w:tcPr>
            <w:tcW w:type="dxa" w:w="2160"/>
          </w:tcPr>
          <w:p>
            <w:r>
              <w:rPr>
                <w:rFonts w:ascii="Times New Roman" w:hAnsi="Times New Roman"/>
                <w:sz w:val="17"/>
              </w:rPr>
              <w:t>NIST AI RMF—Manage; ISO/IEC 42001—process documentation and traceability clauses; Canada AIA—decision-record requirements</w:t>
            </w:r>
          </w:p>
        </w:tc>
      </w:tr>
      <w:tr>
        <w:tc>
          <w:tcPr>
            <w:tcW w:type="dxa" w:w="2160"/>
          </w:tcPr>
          <w:p>
            <w:r>
              <w:rPr>
                <w:rFonts w:ascii="Times New Roman" w:hAnsi="Times New Roman"/>
                <w:sz w:val="17"/>
              </w:rPr>
              <w:t>G5</w:t>
            </w:r>
          </w:p>
        </w:tc>
        <w:tc>
          <w:tcPr>
            <w:tcW w:type="dxa" w:w="2160"/>
          </w:tcPr>
          <w:p>
            <w:r>
              <w:rPr>
                <w:rFonts w:ascii="Times New Roman" w:hAnsi="Times New Roman"/>
                <w:sz w:val="17"/>
              </w:rPr>
              <w:t>Rights Impact and Remedy Audit</w:t>
            </w:r>
          </w:p>
        </w:tc>
        <w:tc>
          <w:tcPr>
            <w:tcW w:type="dxa" w:w="2160"/>
          </w:tcPr>
          <w:p>
            <w:r>
              <w:rPr>
                <w:rFonts w:ascii="Times New Roman" w:hAnsi="Times New Roman"/>
                <w:sz w:val="17"/>
              </w:rPr>
              <w:t>Assessment of effects on people’s rights, eligibility, and interests, and available remedies</w:t>
            </w:r>
          </w:p>
        </w:tc>
        <w:tc>
          <w:tcPr>
            <w:tcW w:type="dxa" w:w="2160"/>
          </w:tcPr>
          <w:p>
            <w:r>
              <w:rPr>
                <w:rFonts w:ascii="Times New Roman" w:hAnsi="Times New Roman"/>
                <w:sz w:val="17"/>
              </w:rPr>
              <w:t>NIST AI RMF—Manage (harm to individuals); ISO/IEC 42001—impact-assessment clauses; Canada AIA—impact levels and remedy provisions</w:t>
            </w:r>
          </w:p>
        </w:tc>
      </w:tr>
      <w:tr>
        <w:tc>
          <w:tcPr>
            <w:tcW w:type="dxa" w:w="2160"/>
          </w:tcPr>
          <w:p>
            <w:r>
              <w:rPr>
                <w:rFonts w:ascii="Times New Roman" w:hAnsi="Times New Roman"/>
                <w:sz w:val="17"/>
              </w:rPr>
              <w:t>G6</w:t>
            </w:r>
          </w:p>
        </w:tc>
        <w:tc>
          <w:tcPr>
            <w:tcW w:type="dxa" w:w="2160"/>
          </w:tcPr>
          <w:p>
            <w:r>
              <w:rPr>
                <w:rFonts w:ascii="Times New Roman" w:hAnsi="Times New Roman"/>
                <w:sz w:val="17"/>
              </w:rPr>
              <w:t>Vendor and Procurement Audit</w:t>
            </w:r>
          </w:p>
        </w:tc>
        <w:tc>
          <w:tcPr>
            <w:tcW w:type="dxa" w:w="2160"/>
          </w:tcPr>
          <w:p>
            <w:r>
              <w:rPr>
                <w:rFonts w:ascii="Times New Roman" w:hAnsi="Times New Roman"/>
                <w:sz w:val="17"/>
              </w:rPr>
              <w:t>Governance conditions for external vendors, outsourced development, and procurement contracts</w:t>
            </w:r>
          </w:p>
        </w:tc>
        <w:tc>
          <w:tcPr>
            <w:tcW w:type="dxa" w:w="2160"/>
          </w:tcPr>
          <w:p>
            <w:r>
              <w:rPr>
                <w:rFonts w:ascii="Times New Roman" w:hAnsi="Times New Roman"/>
                <w:sz w:val="17"/>
              </w:rPr>
              <w:t>NIST AI RMF—Govern (third-party risk); ISO/IEC 42001—supplier-management clauses; Canada AIA—external-development disclosure questions</w:t>
            </w:r>
          </w:p>
        </w:tc>
      </w:tr>
      <w:tr>
        <w:tc>
          <w:tcPr>
            <w:tcW w:type="dxa" w:w="2160"/>
          </w:tcPr>
          <w:p>
            <w:r>
              <w:rPr>
                <w:rFonts w:ascii="Times New Roman" w:hAnsi="Times New Roman"/>
                <w:sz w:val="17"/>
              </w:rPr>
              <w:t>G7</w:t>
            </w:r>
          </w:p>
        </w:tc>
        <w:tc>
          <w:tcPr>
            <w:tcW w:type="dxa" w:w="2160"/>
          </w:tcPr>
          <w:p>
            <w:r>
              <w:rPr>
                <w:rFonts w:ascii="Times New Roman" w:hAnsi="Times New Roman"/>
                <w:sz w:val="17"/>
              </w:rPr>
              <w:t>Organizational Capacity and Oversight Audit</w:t>
            </w:r>
          </w:p>
        </w:tc>
        <w:tc>
          <w:tcPr>
            <w:tcW w:type="dxa" w:w="2160"/>
          </w:tcPr>
          <w:p>
            <w:r>
              <w:rPr>
                <w:rFonts w:ascii="Times New Roman" w:hAnsi="Times New Roman"/>
                <w:sz w:val="17"/>
              </w:rPr>
              <w:t>Internal AI governance capacity, peer review, and continuing oversight mechanisms</w:t>
            </w:r>
          </w:p>
        </w:tc>
        <w:tc>
          <w:tcPr>
            <w:tcW w:type="dxa" w:w="2160"/>
          </w:tcPr>
          <w:p>
            <w:r>
              <w:rPr>
                <w:rFonts w:ascii="Times New Roman" w:hAnsi="Times New Roman"/>
                <w:sz w:val="17"/>
              </w:rPr>
              <w:t>NIST AI RMF—Govern; ISO/IEC 42001—performance evaluation and continual-improvement clauses; Canada AIA—peer-review and departmental-oversight requirements</w:t>
            </w:r>
          </w:p>
        </w:tc>
      </w:tr>
    </w:tbl>
    <w:p>
      <w:pPr>
        <w:pStyle w:val="Heading2"/>
      </w:pPr>
      <w:r>
        <w:rPr>
          <w:rFonts w:ascii="Times New Roman" w:hAnsi="Times New Roman"/>
        </w:rPr>
        <w:t>7. First-Level Test: The 25 Coordinates—Where Exactly Is the Problem Located?</w:t>
      </w:r>
    </w:p>
    <w:p>
      <w:pPr>
        <w:pStyle w:val="Normal"/>
      </w:pPr>
      <w:r>
        <w:rPr>
          <w:rFonts w:ascii="Times New Roman" w:hAnsi="Times New Roman"/>
        </w:rPr>
        <w:t>The 25 coordinates require simultaneous answers to “at which level?” and “in which governance unit?” Existing Taiwanese research is not devoid of level-based perspectives; Huang and Chen (2023), for example, already use macro, organizational, and micro levels. If the 25 coordinates merely rename these levels, they add no value.</w:t>
        <w:br/>
        <w:br/>
        <w:t>Their added value lies in requiring the unit to be determined after the level. The same “organizational level” may encompass a central competent authority, local government, business unit, information unit, procurement unit, and external vendor, each with entirely different statutory authority, resources, and responsibilities. The 25 coordinates force the analyst to identify the particular governance location at which the problem lies.</w:t>
        <w:br/>
        <w:br/>
        <w:t>This distinction makes the “constellation” phenomenon observable: each issue may be valid, yet important findings remain disconnected nodes if they occupy different levels and units and the relationships among them are left unspecified.</w:t>
        <w:br/>
        <w:br/>
        <w:t>Consider a concrete comparison. Batool et al. (2025) can locate “a local government’s use of AI to assist welfare-eligibility review” at the organizational level and label it an accountability issue. This already identifies it as an organizational-level accountability problem. Under the 25 coordinates, however, one must ask further: who or what is the primary governance locus? If the focus is the department administering the program or the information unit maintaining the system, the location is L2–U3. If the controversy arises directly from the model and its parameters, it is L2–U1. Only if procurement rules or technical standards are at issue is L2–U5 the primary or derivative location. These three locations imply entirely different intervention pathways—technical correction, organizational responsibility, or institutional adjustment. This is the added value of requiring the unit to be specified after the level.</w:t>
        <w:br/>
        <w:br/>
        <w:t>At present, this added value is demonstrated through only one case and requires replication across more cases. If an existing multilevel or multi-actor framework can perform the task with equal precision and fewer components, the 25 coordinates should still be judged an AVF. This possibility must remain open.</w:t>
      </w:r>
    </w:p>
    <w:p w:rsidR="00F676FC" w:rsidRDefault="0062439A">
      <w:pPr>
        <w:ind w:firstLine="440"/>
        <w:jc w:val="both"/>
        <w:rPr>
          <w:lang w:eastAsia="zh-TW"/>
        </w:rPr>
      </w:pPr>
      <w:r>
        <w:rPr>
          <w:rFonts w:ascii="Times New Roman" w:hAnsi="Times New Roman"/>
          <w:lang w:eastAsia="zh-TW"/>
        </w:rPr>
        <w:t>A second equivalence challenge comes from the multilevel AI governance framework of Choung et al. (2025). By analyzing AI governance through three interdependent actors—government, business, and citizens—together with dimensions of trust, that framework identifies multiple actors more clearly than a simple level classification. In the case of “a government using an external vendor’s AI system to assist administrative eligibility determinations,” Choung et al. can identify the governance relationships among government, business, and citizens. If the 25 coordinates add no further actionable information, AVF must be acknowledged. The added value currently claimed here is limited to further distinguishing the technical system (U1), frontline or professional actors (U2), organizational/institutional actors such as government agencies and external vendors (U3), affected people (U4), and the institutional/governance environment constraining all parties (U5), and then linking the primary governance locus downstream to P1/P2/P3 and responsibility tracing. The credit of the 25 coordinates therefore lies not in being “multilevel,” but in dual location and its connection to subsequent inference. If an existing multilevel/multi-actor framework can perform the same task with equal precision and fewer components, the 25 coordinates should still be judged an AVF.</w:t>
      </w:r>
    </w:p>
    <w:p>
      <w:r>
        <w:rPr>
          <w:rFonts w:ascii="Times New Roman" w:hAnsi="Times New Roman"/>
          <w:b/>
          <w:i w:val="0"/>
        </w:rPr>
        <w:t>Table 5. Summary of the Equivalence Challenge Between the 25 Coordinates and Existing Multilevel/Multi-Actor Frameworks</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rPr>
                <w:rFonts w:ascii="Times New Roman" w:hAnsi="Times New Roman"/>
                <w:sz w:val="17"/>
              </w:rPr>
              <w:t>Comparative task</w:t>
            </w:r>
          </w:p>
        </w:tc>
        <w:tc>
          <w:tcPr>
            <w:tcW w:type="dxa" w:w="2160"/>
          </w:tcPr>
          <w:p>
            <w:r>
              <w:rPr>
                <w:rFonts w:ascii="Times New Roman" w:hAnsi="Times New Roman"/>
                <w:sz w:val="17"/>
              </w:rPr>
              <w:t>Existing multilevel/multi-actor frameworks</w:t>
            </w:r>
          </w:p>
        </w:tc>
        <w:tc>
          <w:tcPr>
            <w:tcW w:type="dxa" w:w="2160"/>
          </w:tcPr>
          <w:p>
            <w:r>
              <w:rPr>
                <w:rFonts w:ascii="Times New Roman" w:hAnsi="Times New Roman"/>
                <w:sz w:val="17"/>
              </w:rPr>
              <w:t>Information currently added by the 25 coordinates</w:t>
            </w:r>
          </w:p>
        </w:tc>
        <w:tc>
          <w:tcPr>
            <w:tcW w:type="dxa" w:w="2160"/>
          </w:tcPr>
          <w:p>
            <w:r>
              <w:rPr>
                <w:rFonts w:ascii="Times New Roman" w:hAnsi="Times New Roman"/>
                <w:sz w:val="17"/>
              </w:rPr>
              <w:t>AVF criterion</w:t>
            </w:r>
          </w:p>
        </w:tc>
      </w:tr>
      <w:tr>
        <w:tc>
          <w:tcPr>
            <w:tcW w:type="dxa" w:w="2160"/>
          </w:tcPr>
          <w:p>
            <w:r>
              <w:rPr>
                <w:rFonts w:ascii="Times New Roman" w:hAnsi="Times New Roman"/>
                <w:sz w:val="17"/>
              </w:rPr>
              <w:t>Locating the governance level</w:t>
            </w:r>
          </w:p>
        </w:tc>
        <w:tc>
          <w:tcPr>
            <w:tcW w:type="dxa" w:w="2160"/>
          </w:tcPr>
          <w:p>
            <w:r>
              <w:rPr>
                <w:rFonts w:ascii="Times New Roman" w:hAnsi="Times New Roman"/>
                <w:sz w:val="17"/>
              </w:rPr>
              <w:t>Can be performed</w:t>
            </w:r>
          </w:p>
        </w:tc>
        <w:tc>
          <w:tcPr>
            <w:tcW w:type="dxa" w:w="2160"/>
          </w:tcPr>
          <w:p>
            <w:r>
              <w:rPr>
                <w:rFonts w:ascii="Times New Roman" w:hAnsi="Times New Roman"/>
                <w:sz w:val="17"/>
              </w:rPr>
              <w:t>No new value claimed</w:t>
            </w:r>
          </w:p>
        </w:tc>
        <w:tc>
          <w:tcPr>
            <w:tcW w:type="dxa" w:w="2160"/>
          </w:tcPr>
          <w:p>
            <w:r>
              <w:rPr>
                <w:rFonts w:ascii="Times New Roman" w:hAnsi="Times New Roman"/>
                <w:sz w:val="17"/>
              </w:rPr>
              <w:t>AVF is established if levels are merely restated</w:t>
            </w:r>
          </w:p>
        </w:tc>
      </w:tr>
      <w:tr>
        <w:tc>
          <w:tcPr>
            <w:tcW w:type="dxa" w:w="2160"/>
          </w:tcPr>
          <w:p>
            <w:r>
              <w:rPr>
                <w:rFonts w:ascii="Times New Roman" w:hAnsi="Times New Roman"/>
                <w:sz w:val="17"/>
              </w:rPr>
              <w:t>Identifying multiple actors</w:t>
            </w:r>
          </w:p>
        </w:tc>
        <w:tc>
          <w:tcPr>
            <w:tcW w:type="dxa" w:w="2160"/>
          </w:tcPr>
          <w:p>
            <w:r>
              <w:rPr>
                <w:rFonts w:ascii="Times New Roman" w:hAnsi="Times New Roman"/>
                <w:sz w:val="17"/>
              </w:rPr>
              <w:t>Can be performed</w:t>
            </w:r>
          </w:p>
        </w:tc>
        <w:tc>
          <w:tcPr>
            <w:tcW w:type="dxa" w:w="2160"/>
          </w:tcPr>
          <w:p>
            <w:r>
              <w:rPr>
                <w:rFonts w:ascii="Times New Roman" w:hAnsi="Times New Roman"/>
                <w:sz w:val="17"/>
              </w:rPr>
              <w:t>Further distinguishes the primary governance locus by level × unit</w:t>
            </w:r>
          </w:p>
        </w:tc>
        <w:tc>
          <w:tcPr>
            <w:tcW w:type="dxa" w:w="2160"/>
          </w:tcPr>
          <w:p>
            <w:r>
              <w:rPr>
                <w:rFonts w:ascii="Times New Roman" w:hAnsi="Times New Roman"/>
                <w:sz w:val="17"/>
              </w:rPr>
              <w:t>AVF is established if an existing framework locates it with equal precision</w:t>
            </w:r>
          </w:p>
        </w:tc>
      </w:tr>
      <w:tr>
        <w:tc>
          <w:tcPr>
            <w:tcW w:type="dxa" w:w="2160"/>
          </w:tcPr>
          <w:p>
            <w:r>
              <w:rPr>
                <w:rFonts w:ascii="Times New Roman" w:hAnsi="Times New Roman"/>
                <w:sz w:val="17"/>
              </w:rPr>
              <w:t>Distinguishing technology/organization/people/institutions</w:t>
            </w:r>
          </w:p>
        </w:tc>
        <w:tc>
          <w:tcPr>
            <w:tcW w:type="dxa" w:w="2160"/>
          </w:tcPr>
          <w:p>
            <w:r>
              <w:rPr>
                <w:rFonts w:ascii="Times New Roman" w:hAnsi="Times New Roman"/>
                <w:sz w:val="17"/>
              </w:rPr>
              <w:t>Varies by framework</w:t>
            </w:r>
          </w:p>
        </w:tc>
        <w:tc>
          <w:tcPr>
            <w:tcW w:type="dxa" w:w="2160"/>
          </w:tcPr>
          <w:p>
            <w:r>
              <w:rPr>
                <w:rFonts w:ascii="Times New Roman" w:hAnsi="Times New Roman"/>
                <w:sz w:val="17"/>
              </w:rPr>
              <w:t>Uses U1–U5 to specify the analytical object and allows primary/secondary loci</w:t>
            </w:r>
          </w:p>
        </w:tc>
        <w:tc>
          <w:tcPr>
            <w:tcW w:type="dxa" w:w="2160"/>
          </w:tcPr>
          <w:p>
            <w:r>
              <w:rPr>
                <w:rFonts w:ascii="Times New Roman" w:hAnsi="Times New Roman"/>
                <w:sz w:val="17"/>
              </w:rPr>
              <w:t>AVF is established if this does not yield different responsibilities or prescriptions</w:t>
            </w:r>
          </w:p>
        </w:tc>
      </w:tr>
      <w:tr>
        <w:tc>
          <w:tcPr>
            <w:tcW w:type="dxa" w:w="2160"/>
          </w:tcPr>
          <w:p>
            <w:r>
              <w:rPr>
                <w:rFonts w:ascii="Times New Roman" w:hAnsi="Times New Roman"/>
                <w:sz w:val="17"/>
              </w:rPr>
              <w:t>Connecting downstream to power and responsibility</w:t>
            </w:r>
          </w:p>
        </w:tc>
        <w:tc>
          <w:tcPr>
            <w:tcW w:type="dxa" w:w="2160"/>
          </w:tcPr>
          <w:p>
            <w:r>
              <w:rPr>
                <w:rFonts w:ascii="Times New Roman" w:hAnsi="Times New Roman"/>
                <w:sz w:val="17"/>
              </w:rPr>
              <w:t>Some frameworks can perform this</w:t>
            </w:r>
          </w:p>
        </w:tc>
        <w:tc>
          <w:tcPr>
            <w:tcW w:type="dxa" w:w="2160"/>
          </w:tcPr>
          <w:p>
            <w:r>
              <w:rPr>
                <w:rFonts w:ascii="Times New Roman" w:hAnsi="Times New Roman"/>
                <w:sz w:val="17"/>
              </w:rPr>
              <w:t>Connects to P1/P2/P3, 3E, and responsibility tracing</w:t>
            </w:r>
          </w:p>
        </w:tc>
        <w:tc>
          <w:tcPr>
            <w:tcW w:type="dxa" w:w="2160"/>
          </w:tcPr>
          <w:p>
            <w:r>
              <w:rPr>
                <w:rFonts w:ascii="Times New Roman" w:hAnsi="Times New Roman"/>
                <w:sz w:val="17"/>
              </w:rPr>
              <w:t>AVF is established if an alternative performs the same task with fewer components</w:t>
            </w:r>
          </w:p>
        </w:tc>
      </w:tr>
    </w:tbl>
    <w:p>
      <w:pPr>
        <w:pStyle w:val="Heading2"/>
      </w:pPr>
      <w:r>
        <w:rPr>
          <w:rFonts w:ascii="Times New Roman" w:hAnsi="Times New Roman"/>
        </w:rPr>
        <w:t>8. Second-Level Test: P1, P2, and P3—Which Form of Power Is Affected?</w:t>
      </w:r>
    </w:p>
    <w:p>
      <w:pPr>
        <w:pStyle w:val="Normal"/>
      </w:pPr>
      <w:r>
        <w:rPr>
          <w:rFonts w:ascii="Times New Roman" w:hAnsi="Times New Roman"/>
        </w:rPr>
        <w:t>Existing studies often state that AI affects public values, administrative discretion, or people’s rights, but “effect” alone is not a sufficiently precise concept of power.</w:t>
        <w:br/>
        <w:br/>
        <w:t>This article distinguishes three functions: P1 situation construction, which affects how problems are seen, classified, and presented; P2 administrative discretion, which affects options, judgment, and decision space; and P3 public-power effects, which affect people’s eligibility, rights, interests, or obligations.</w:t>
        <w:br/>
        <w:br/>
        <w:t>The same phrase—“AI-assisted decision-making”—may mean that AI merely supplies an informational frame at P1, changes a frontline official’s options at P2, or directly enters an eligibility, licensing, or benefit decision at P3. The governance consequences are entirely different.</w:t>
        <w:br/>
        <w:br/>
        <w:t>The added value of the 3P lies in reconnecting phenomena dispersed across data, psychology, organization, and administrative-law research to the functions of power. If automation bias leads officials continually to accept model recommendations, for example, it is no longer merely a psychological phenomenon; it may become a mechanism that substantively shifts P2. If data selection determines which populations and cases become visible, it may participate in P1.</w:t>
        <w:br/>
        <w:br/>
        <w:t>To avoid blurring the boundary between P1 and P2, the article applies a simple criterion: first ask whether the change concerns how the problem is seen or the case-specific options and judgment themselves. If only the former, classify it as P1. If officials’ available options have been narrowed or replaced, classify it as P2. If both occur, mark both and identify the primary effect. For example, if sampling merely determines which populations enter view while officials retain full discretion, it is P1. If data selection automatically screens out particular cases so that officials cannot review them, mark both P1 and P2, with P2 as the primary governance consequence.</w:t>
      </w:r>
    </w:p>
    <w:p>
      <w:pPr>
        <w:pStyle w:val="Heading2"/>
      </w:pPr>
      <w:r>
        <w:rPr>
          <w:rFonts w:ascii="Times New Roman" w:hAnsi="Times New Roman"/>
        </w:rPr>
        <w:t>9. Third-Level Test: The Three Structural Effects—Merely New Names?</w:t>
      </w:r>
    </w:p>
    <w:p>
      <w:pPr>
        <w:pStyle w:val="Normal"/>
      </w:pPr>
      <w:r>
        <w:rPr>
          <w:rFonts w:ascii="Times New Roman" w:hAnsi="Times New Roman"/>
        </w:rPr>
        <w:t>The three structural effects are the component most in need of an AVF challenge. The global literature already discusses boundaries, accountability gaps, vendor influence, and algorithmic authority extensively. Cross-cell movement, boundary dissolution, and authority reconfiguration cannot be treated as new theory merely because they have different names.</w:t>
        <w:br/>
        <w:br/>
        <w:t>The article therefore imposes three requirements. Cross-cell movement must identify the coordinate from which a function moves and the coordinate to which it moves. Boundary dissolution must identify which lines of responsibility have become difficult to discern. Authority reconfiguration must distinguish where legal authority remains from whether substantive influence has shifted to a model, information professional, or external vendor.</w:t>
        <w:br/>
        <w:br/>
        <w:t>If existing research can already perform these tasks with equal precision, the three structural effects should be treated as AVF candidates. After the expanded second-round comparison, this article must honestly withdraw the strong claim that all three are entirely new AI governance phenomena. Existing scholarship has approached highly similar phenomena through algorithmic power, system bureaucracy, de-centering, technology-company power, and other pathways.</w:t>
        <w:br/>
        <w:br/>
        <w:t>The added value retained by 3E lies not in naming the phenomena, but in serving as a continuous diagnostic procedure: tracing where functions move, how boundaries change, and how legal and substantive authority are reallocated. Its theoretical status is therefore downgraded from “novel structural effects” to an “integrative structural diagnostic procedure.” This is not a rhetorical concession but a substantive revision produced by the stress test.</w:t>
        <w:br/>
        <w:br/>
        <w:t>Following that downgrade, the division of labor between 3E and the four governance chains must be clarified. The 3E asks “what changed?”—how structural relationships were transformed. The four chains ask “who should bear responsibility, for what reasons, and under what responsibility?”—tracing structural change into an attributable chain of administrative reasons. In short, 3E is a discovery procedure; the four chains are an attribution procedure. Without the latter, the former remains descriptive. Without the former, the latter lacks a locational basis. To prevent double counting, the same evidence may trigger them sequentially, but the same proposition may not be counted as two independent findings.</w:t>
      </w:r>
    </w:p>
    <w:p>
      <w:pPr>
        <w:pStyle w:val="Heading2"/>
      </w:pPr>
      <w:r>
        <w:rPr>
          <w:rFonts w:ascii="Times New Roman" w:hAnsi="Times New Roman"/>
        </w:rPr>
        <w:t>10. Multiple-Client Test: For Whom Is the Prescription Written?</w:t>
      </w:r>
    </w:p>
    <w:p>
      <w:pPr>
        <w:pStyle w:val="Normal"/>
      </w:pPr>
      <w:r>
        <w:rPr>
          <w:rFonts w:ascii="Times New Roman" w:hAnsi="Times New Roman"/>
        </w:rPr>
        <w:t>Governance prescriptions cannot be written only for symptoms; they must be written for governance locations and responsible actors.</w:t>
        <w:br/>
        <w:br/>
        <w:t>The Minister of Digital Affairs, the Minister of the National Science and Technology Council, heads of research institutes, local information officers, department heads, frontline civil servants, and administrative addressees may all agree with the statement that “government should strengthen AI transparency, oversight, and accountability.” Yet each requires entirely different administrative information.</w:t>
        <w:br/>
        <w:br/>
        <w:t>Agreement does not imply actionability.</w:t>
        <w:br/>
        <w:br/>
        <w:t>A prescription becomes actionable only when its addressee, governance location, authority, and responsibility can be identified. The Multiple-Client Test is not a new scale, but a practical check of locability. Even if a public manager fully agrees with a diagnosis, the inference from diagnosis to prescription remains incomplete if that manager still does not know: Is this my job? Do I have the authority to act? Where should I act?</w:t>
        <w:br/>
        <w:br/>
        <w:t>For reproducibility, the article fixes three questions: Who? For which governance actor is the prescription written? Where? At which governance location is that actor situated? With what authority? What authority does the actor possess to implement it? If the three questions cannot be answered, the result is recorded as a disconnect between prescription and location.</w:t>
      </w:r>
    </w:p>
    <w:p>
      <w:r>
        <w:rPr>
          <w:rFonts w:ascii="Times New Roman" w:hAnsi="Times New Roman"/>
          <w:b/>
          <w:i w:val="0"/>
        </w:rPr>
        <w:t>Table 6. Multiple-Client Test: Locational Needs of Different Governance Actors</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rPr>
                <w:rFonts w:ascii="Times New Roman" w:hAnsi="Times New Roman"/>
                <w:sz w:val="17"/>
              </w:rPr>
              <w:t>Client</w:t>
            </w:r>
          </w:p>
        </w:tc>
        <w:tc>
          <w:tcPr>
            <w:tcW w:type="dxa" w:w="2160"/>
          </w:tcPr>
          <w:p>
            <w:r>
              <w:rPr>
                <w:rFonts w:ascii="Times New Roman" w:hAnsi="Times New Roman"/>
                <w:sz w:val="17"/>
              </w:rPr>
              <w:t>What the client actually needs to know</w:t>
            </w:r>
          </w:p>
        </w:tc>
        <w:tc>
          <w:tcPr>
            <w:tcW w:type="dxa" w:w="2160"/>
          </w:tcPr>
          <w:p>
            <w:r>
              <w:rPr>
                <w:rFonts w:ascii="Times New Roman" w:hAnsi="Times New Roman"/>
                <w:sz w:val="17"/>
              </w:rPr>
              <w:t>Problem if not located</w:t>
            </w:r>
          </w:p>
        </w:tc>
        <w:tc>
          <w:tcPr>
            <w:tcW w:type="dxa" w:w="2160"/>
          </w:tcPr>
          <w:p>
            <w:r>
              <w:rPr>
                <w:rFonts w:ascii="Times New Roman" w:hAnsi="Times New Roman"/>
                <w:sz w:val="17"/>
              </w:rPr>
              <w:t>Function of the 25 coordinates</w:t>
            </w:r>
          </w:p>
        </w:tc>
      </w:tr>
      <w:tr>
        <w:tc>
          <w:tcPr>
            <w:tcW w:type="dxa" w:w="2160"/>
          </w:tcPr>
          <w:p>
            <w:r>
              <w:rPr>
                <w:rFonts w:ascii="Times New Roman" w:hAnsi="Times New Roman"/>
                <w:sz w:val="17"/>
              </w:rPr>
              <w:t>Minister of Digital Affairs</w:t>
            </w:r>
          </w:p>
        </w:tc>
        <w:tc>
          <w:tcPr>
            <w:tcW w:type="dxa" w:w="2160"/>
          </w:tcPr>
          <w:p>
            <w:r>
              <w:rPr>
                <w:rFonts w:ascii="Times New Roman" w:hAnsi="Times New Roman"/>
                <w:sz w:val="17"/>
              </w:rPr>
              <w:t>Cross-ministerial rules, infrastructure, or oversight system?</w:t>
            </w:r>
          </w:p>
        </w:tc>
        <w:tc>
          <w:tcPr>
            <w:tcW w:type="dxa" w:w="2160"/>
          </w:tcPr>
          <w:p>
            <w:r>
              <w:rPr>
                <w:rFonts w:ascii="Times New Roman" w:hAnsi="Times New Roman"/>
                <w:sz w:val="17"/>
              </w:rPr>
              <w:t>National governance responsibility is unclear</w:t>
            </w:r>
          </w:p>
        </w:tc>
        <w:tc>
          <w:tcPr>
            <w:tcW w:type="dxa" w:w="2160"/>
          </w:tcPr>
          <w:p>
            <w:r>
              <w:rPr>
                <w:rFonts w:ascii="Times New Roman" w:hAnsi="Times New Roman"/>
                <w:sz w:val="17"/>
              </w:rPr>
              <w:t>Locate the central policy/institutional position</w:t>
            </w:r>
          </w:p>
        </w:tc>
      </w:tr>
      <w:tr>
        <w:tc>
          <w:tcPr>
            <w:tcW w:type="dxa" w:w="2160"/>
          </w:tcPr>
          <w:p>
            <w:r>
              <w:rPr>
                <w:rFonts w:ascii="Times New Roman" w:hAnsi="Times New Roman"/>
                <w:sz w:val="17"/>
              </w:rPr>
              <w:t>Minister of the National Science and Technology Council</w:t>
            </w:r>
          </w:p>
        </w:tc>
        <w:tc>
          <w:tcPr>
            <w:tcW w:type="dxa" w:w="2160"/>
          </w:tcPr>
          <w:p>
            <w:r>
              <w:rPr>
                <w:rFonts w:ascii="Times New Roman" w:hAnsi="Times New Roman"/>
                <w:sz w:val="17"/>
              </w:rPr>
              <w:t>Research, talent, resources, or national AI strategy?</w:t>
            </w:r>
          </w:p>
        </w:tc>
        <w:tc>
          <w:tcPr>
            <w:tcW w:type="dxa" w:w="2160"/>
          </w:tcPr>
          <w:p>
            <w:r>
              <w:rPr>
                <w:rFonts w:ascii="Times New Roman" w:hAnsi="Times New Roman"/>
                <w:sz w:val="17"/>
              </w:rPr>
              <w:t>Technology policy and administrative governance are conflated</w:t>
            </w:r>
          </w:p>
        </w:tc>
        <w:tc>
          <w:tcPr>
            <w:tcW w:type="dxa" w:w="2160"/>
          </w:tcPr>
          <w:p>
            <w:r>
              <w:rPr>
                <w:rFonts w:ascii="Times New Roman" w:hAnsi="Times New Roman"/>
                <w:sz w:val="17"/>
              </w:rPr>
              <w:t>Distinguish policy and institutional positions</w:t>
            </w:r>
          </w:p>
        </w:tc>
      </w:tr>
      <w:tr>
        <w:tc>
          <w:tcPr>
            <w:tcW w:type="dxa" w:w="2160"/>
          </w:tcPr>
          <w:p>
            <w:r>
              <w:rPr>
                <w:rFonts w:ascii="Times New Roman" w:hAnsi="Times New Roman"/>
                <w:sz w:val="17"/>
              </w:rPr>
              <w:t>Head of a research institute</w:t>
            </w:r>
          </w:p>
        </w:tc>
        <w:tc>
          <w:tcPr>
            <w:tcW w:type="dxa" w:w="2160"/>
          </w:tcPr>
          <w:p>
            <w:r>
              <w:rPr>
                <w:rFonts w:ascii="Times New Roman" w:hAnsi="Times New Roman"/>
                <w:sz w:val="17"/>
              </w:rPr>
              <w:t>R&amp;D, technology transfer, legal affairs, or internal AI governance?</w:t>
            </w:r>
          </w:p>
        </w:tc>
        <w:tc>
          <w:tcPr>
            <w:tcW w:type="dxa" w:w="2160"/>
          </w:tcPr>
          <w:p>
            <w:r>
              <w:rPr>
                <w:rFonts w:ascii="Times New Roman" w:hAnsi="Times New Roman"/>
                <w:sz w:val="17"/>
              </w:rPr>
              <w:t>Knowledge-provider and implementation roles are conflated</w:t>
            </w:r>
          </w:p>
        </w:tc>
        <w:tc>
          <w:tcPr>
            <w:tcW w:type="dxa" w:w="2160"/>
          </w:tcPr>
          <w:p>
            <w:r>
              <w:rPr>
                <w:rFonts w:ascii="Times New Roman" w:hAnsi="Times New Roman"/>
                <w:sz w:val="17"/>
              </w:rPr>
              <w:t>Locate organizational and professional governance</w:t>
            </w:r>
          </w:p>
        </w:tc>
      </w:tr>
      <w:tr>
        <w:tc>
          <w:tcPr>
            <w:tcW w:type="dxa" w:w="2160"/>
          </w:tcPr>
          <w:p>
            <w:r>
              <w:rPr>
                <w:rFonts w:ascii="Times New Roman" w:hAnsi="Times New Roman"/>
                <w:sz w:val="17"/>
              </w:rPr>
              <w:t>Local-government information officer</w:t>
            </w:r>
          </w:p>
        </w:tc>
        <w:tc>
          <w:tcPr>
            <w:tcW w:type="dxa" w:w="2160"/>
          </w:tcPr>
          <w:p>
            <w:r>
              <w:rPr>
                <w:rFonts w:ascii="Times New Roman" w:hAnsi="Times New Roman"/>
                <w:sz w:val="17"/>
              </w:rPr>
              <w:t>Data, model, procurement, or program-level AI decision?</w:t>
            </w:r>
          </w:p>
        </w:tc>
        <w:tc>
          <w:tcPr>
            <w:tcW w:type="dxa" w:w="2160"/>
          </w:tcPr>
          <w:p>
            <w:r>
              <w:rPr>
                <w:rFonts w:ascii="Times New Roman" w:hAnsi="Times New Roman"/>
                <w:sz w:val="17"/>
              </w:rPr>
              <w:t>Technical and program responsibilities are conflated</w:t>
            </w:r>
          </w:p>
        </w:tc>
        <w:tc>
          <w:tcPr>
            <w:tcW w:type="dxa" w:w="2160"/>
          </w:tcPr>
          <w:p>
            <w:r>
              <w:rPr>
                <w:rFonts w:ascii="Times New Roman" w:hAnsi="Times New Roman"/>
                <w:sz w:val="17"/>
              </w:rPr>
              <w:t>Locate the information-governance position</w:t>
            </w:r>
          </w:p>
        </w:tc>
      </w:tr>
      <w:tr>
        <w:tc>
          <w:tcPr>
            <w:tcW w:type="dxa" w:w="2160"/>
          </w:tcPr>
          <w:p>
            <w:r>
              <w:rPr>
                <w:rFonts w:ascii="Times New Roman" w:hAnsi="Times New Roman"/>
                <w:sz w:val="17"/>
              </w:rPr>
              <w:t>Head of an operating department</w:t>
            </w:r>
          </w:p>
        </w:tc>
        <w:tc>
          <w:tcPr>
            <w:tcW w:type="dxa" w:w="2160"/>
          </w:tcPr>
          <w:p>
            <w:r>
              <w:rPr>
                <w:rFonts w:ascii="Times New Roman" w:hAnsi="Times New Roman"/>
                <w:sz w:val="17"/>
              </w:rPr>
              <w:t>SOP, authorization, human–AI division of labor, or remedy?</w:t>
            </w:r>
          </w:p>
        </w:tc>
        <w:tc>
          <w:tcPr>
            <w:tcW w:type="dxa" w:w="2160"/>
          </w:tcPr>
          <w:p>
            <w:r>
              <w:rPr>
                <w:rFonts w:ascii="Times New Roman" w:hAnsi="Times New Roman"/>
                <w:sz w:val="17"/>
              </w:rPr>
              <w:t>The process point for intervention is unknown</w:t>
            </w:r>
          </w:p>
        </w:tc>
        <w:tc>
          <w:tcPr>
            <w:tcW w:type="dxa" w:w="2160"/>
          </w:tcPr>
          <w:p>
            <w:r>
              <w:rPr>
                <w:rFonts w:ascii="Times New Roman" w:hAnsi="Times New Roman"/>
                <w:sz w:val="17"/>
              </w:rPr>
              <w:t>Locate the administrative decision position</w:t>
            </w:r>
          </w:p>
        </w:tc>
      </w:tr>
      <w:tr>
        <w:tc>
          <w:tcPr>
            <w:tcW w:type="dxa" w:w="2160"/>
          </w:tcPr>
          <w:p>
            <w:r>
              <w:rPr>
                <w:rFonts w:ascii="Times New Roman" w:hAnsi="Times New Roman"/>
                <w:sz w:val="17"/>
              </w:rPr>
              <w:t>Frontline civil servant</w:t>
            </w:r>
          </w:p>
        </w:tc>
        <w:tc>
          <w:tcPr>
            <w:tcW w:type="dxa" w:w="2160"/>
          </w:tcPr>
          <w:p>
            <w:r>
              <w:rPr>
                <w:rFonts w:ascii="Times New Roman" w:hAnsi="Times New Roman"/>
                <w:sz w:val="17"/>
              </w:rPr>
              <w:t>When should an AI recommendation be accepted, rejected, or overridden?</w:t>
            </w:r>
          </w:p>
        </w:tc>
        <w:tc>
          <w:tcPr>
            <w:tcW w:type="dxa" w:w="2160"/>
          </w:tcPr>
          <w:p>
            <w:r>
              <w:rPr>
                <w:rFonts w:ascii="Times New Roman" w:hAnsi="Times New Roman"/>
                <w:sz w:val="17"/>
              </w:rPr>
              <w:t>Human oversight remains abstract</w:t>
            </w:r>
          </w:p>
        </w:tc>
        <w:tc>
          <w:tcPr>
            <w:tcW w:type="dxa" w:w="2160"/>
          </w:tcPr>
          <w:p>
            <w:r>
              <w:rPr>
                <w:rFonts w:ascii="Times New Roman" w:hAnsi="Times New Roman"/>
                <w:sz w:val="17"/>
              </w:rPr>
              <w:t>Locate the individual operational position</w:t>
            </w:r>
          </w:p>
        </w:tc>
      </w:tr>
      <w:tr>
        <w:tc>
          <w:tcPr>
            <w:tcW w:type="dxa" w:w="2160"/>
          </w:tcPr>
          <w:p>
            <w:r>
              <w:rPr>
                <w:rFonts w:ascii="Times New Roman" w:hAnsi="Times New Roman"/>
                <w:sz w:val="17"/>
              </w:rPr>
              <w:t>Person/administrative addressee</w:t>
            </w:r>
          </w:p>
        </w:tc>
        <w:tc>
          <w:tcPr>
            <w:tcW w:type="dxa" w:w="2160"/>
          </w:tcPr>
          <w:p>
            <w:r>
              <w:rPr>
                <w:rFonts w:ascii="Times New Roman" w:hAnsi="Times New Roman"/>
                <w:sz w:val="17"/>
              </w:rPr>
              <w:t>Did AI affect the case, and whom can I contact if it is wrong?</w:t>
            </w:r>
          </w:p>
        </w:tc>
        <w:tc>
          <w:tcPr>
            <w:tcW w:type="dxa" w:w="2160"/>
          </w:tcPr>
          <w:p>
            <w:r>
              <w:rPr>
                <w:rFonts w:ascii="Times New Roman" w:hAnsi="Times New Roman"/>
                <w:sz w:val="17"/>
              </w:rPr>
              <w:t>Rights lack an administrative point of entry</w:t>
            </w:r>
          </w:p>
        </w:tc>
        <w:tc>
          <w:tcPr>
            <w:tcW w:type="dxa" w:w="2160"/>
          </w:tcPr>
          <w:p>
            <w:r>
              <w:rPr>
                <w:rFonts w:ascii="Times New Roman" w:hAnsi="Times New Roman"/>
                <w:sz w:val="17"/>
              </w:rPr>
              <w:t>Locate the government–citizen interaction</w:t>
            </w:r>
          </w:p>
        </w:tc>
      </w:tr>
    </w:tbl>
    <w:p>
      <w:pPr>
        <w:pStyle w:val="Heading2"/>
      </w:pPr>
      <w:r>
        <w:rPr>
          <w:rFonts w:ascii="Times New Roman" w:hAnsi="Times New Roman"/>
        </w:rPr>
        <w:t>11. CF and AVF: A Provisional Verdict on the Parent Framework</w:t>
      </w:r>
    </w:p>
    <w:p>
      <w:pPr>
        <w:pStyle w:val="Normal"/>
      </w:pPr>
      <w:r>
        <w:rPr>
          <w:rFonts w:ascii="Times New Roman" w:hAnsi="Times New Roman"/>
        </w:rPr>
        <w:t>This article does not treat “everything can be fitted into it” as a criterion of success. The capacity to contain everything may instead indicate that a framework lacks falsifiability. CF therefore tests whether an important phenomenon cannot reasonably be covered; AVF tests whether the framework merely renames existing research without adding governance value.</w:t>
        <w:br/>
        <w:br/>
        <w:t>After the Taiwanese sample was expanded, studies of data-governance maturity, fairness and unintended discrimination, actor networks, and generative-AI adoption and trust supplied competing information on multilevel governance, consequences for rights, cross-actor relationships, and individual adoption mechanisms. Re-examination found no major phenomenon that could enter locational, power-identification, or structural analysis only by distorting its original meaning; no additional confirmed CF was therefore identified. At the same time, these studies already perform mature theoretical functions and thus constrain the added value that can be claimed here. The 25 coordinates cannot claim credit for “being multilevel” alone; 3E cannot claim novelty merely for network, boundary, or authority changes; and the seven audits cannot replace mature existing instruments. Nevertheless, no single framework, or parsimonious combination of frameworks, has yet been found that performs with equal precision the complete set of tasks claimed here: location, power identification, structural tracing, and responsibility linkage. Thus, no new framework-level AVF was produced.</w:t>
        <w:br/>
        <w:br/>
        <w:t>Following the second-round cross-disciplinary search, the overall judgment is that no confirmed CF was identified, but AVF did produce substantive revisions. The added value of the 25 coordinates must be narrowed from “multilevel” analysis to level × unit dual location and its downstream connectivity. The phenomenological novelty of 3E is weakened. The four governance chains should concentrate their added-value claim on continuous tracing across situation, authority, reasons, and responsibility. If claimed as an independent theoretical innovation, the seven governance audits add insufficient value in the face of mature instruments such as NIST, ISO, and Canada’s AIA, and are therefore downgraded to an operational interface.</w:t>
        <w:br/>
        <w:br/>
        <w:t>Survival is not proof; within the scope of the present test, however, survival with identifiable analytical gain warrants provisional support.</w:t>
      </w:r>
    </w:p>
    <w:p>
      <w:r>
        <w:rPr>
          <w:rFonts w:ascii="Times New Roman" w:hAnsi="Times New Roman"/>
          <w:b/>
          <w:i w:val="0"/>
        </w:rPr>
        <w:t>Table 7. CF and AVF: Provisional Verdicts on the Tested Components of the Parent Framework</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rPr>
                <w:rFonts w:ascii="Times New Roman" w:hAnsi="Times New Roman"/>
                <w:sz w:val="17"/>
              </w:rPr>
              <w:t>Tested component</w:t>
            </w:r>
          </w:p>
        </w:tc>
        <w:tc>
          <w:tcPr>
            <w:tcW w:type="dxa" w:w="1728"/>
          </w:tcPr>
          <w:p>
            <w:r>
              <w:rPr>
                <w:rFonts w:ascii="Times New Roman" w:hAnsi="Times New Roman"/>
                <w:sz w:val="17"/>
              </w:rPr>
              <w:t>Added value identified after expanded comparison</w:t>
            </w:r>
          </w:p>
        </w:tc>
        <w:tc>
          <w:tcPr>
            <w:tcW w:type="dxa" w:w="1728"/>
          </w:tcPr>
          <w:p>
            <w:r>
              <w:rPr>
                <w:rFonts w:ascii="Times New Roman" w:hAnsi="Times New Roman"/>
                <w:sz w:val="17"/>
              </w:rPr>
              <w:t>Strongest challenge</w:t>
            </w:r>
          </w:p>
        </w:tc>
        <w:tc>
          <w:tcPr>
            <w:tcW w:type="dxa" w:w="1728"/>
          </w:tcPr>
          <w:p>
            <w:r>
              <w:rPr>
                <w:rFonts w:ascii="Times New Roman" w:hAnsi="Times New Roman"/>
                <w:sz w:val="17"/>
              </w:rPr>
              <w:t>CF/AVF judgment</w:t>
            </w:r>
          </w:p>
        </w:tc>
        <w:tc>
          <w:tcPr>
            <w:tcW w:type="dxa" w:w="1728"/>
          </w:tcPr>
          <w:p>
            <w:r>
              <w:rPr>
                <w:rFonts w:ascii="Times New Roman" w:hAnsi="Times New Roman"/>
                <w:sz w:val="17"/>
              </w:rPr>
              <w:t>Final treatment</w:t>
            </w:r>
          </w:p>
        </w:tc>
      </w:tr>
      <w:tr>
        <w:tc>
          <w:tcPr>
            <w:tcW w:type="dxa" w:w="1728"/>
          </w:tcPr>
          <w:p>
            <w:r>
              <w:rPr>
                <w:rFonts w:ascii="Times New Roman" w:hAnsi="Times New Roman"/>
                <w:sz w:val="17"/>
              </w:rPr>
              <w:t>25 coordinates</w:t>
            </w:r>
          </w:p>
        </w:tc>
        <w:tc>
          <w:tcPr>
            <w:tcW w:type="dxa" w:w="1728"/>
          </w:tcPr>
          <w:p>
            <w:r>
              <w:rPr>
                <w:rFonts w:ascii="Times New Roman" w:hAnsi="Times New Roman"/>
                <w:sz w:val="17"/>
              </w:rPr>
              <w:t>Level × unit dual location, linked downstream to power and responsibility analysis</w:t>
            </w:r>
          </w:p>
        </w:tc>
        <w:tc>
          <w:tcPr>
            <w:tcW w:type="dxa" w:w="1728"/>
          </w:tcPr>
          <w:p>
            <w:r>
              <w:rPr>
                <w:rFonts w:ascii="Times New Roman" w:hAnsi="Times New Roman"/>
                <w:sz w:val="17"/>
              </w:rPr>
              <w:t>Multilevel/multi-actor governance; multilevel and maturity models of data governance; ANT</w:t>
            </w:r>
          </w:p>
        </w:tc>
        <w:tc>
          <w:tcPr>
            <w:tcW w:type="dxa" w:w="1728"/>
          </w:tcPr>
          <w:p>
            <w:r>
              <w:rPr>
                <w:rFonts w:ascii="Times New Roman" w:hAnsi="Times New Roman"/>
                <w:sz w:val="17"/>
              </w:rPr>
              <w:t>No CF; no confirmed full AVF, but “multilevel” itself is not original</w:t>
            </w:r>
          </w:p>
        </w:tc>
        <w:tc>
          <w:tcPr>
            <w:tcW w:type="dxa" w:w="1728"/>
          </w:tcPr>
          <w:p>
            <w:r>
              <w:rPr>
                <w:rFonts w:ascii="Times New Roman" w:hAnsi="Times New Roman"/>
                <w:sz w:val="17"/>
              </w:rPr>
              <w:t>Retain; narrow credit to dual location and continuous inference</w:t>
            </w:r>
          </w:p>
        </w:tc>
      </w:tr>
      <w:tr>
        <w:tc>
          <w:tcPr>
            <w:tcW w:type="dxa" w:w="1728"/>
          </w:tcPr>
          <w:p>
            <w:r>
              <w:rPr>
                <w:rFonts w:ascii="Times New Roman" w:hAnsi="Times New Roman"/>
                <w:sz w:val="17"/>
              </w:rPr>
              <w:t>P1/P2/P3</w:t>
            </w:r>
          </w:p>
        </w:tc>
        <w:tc>
          <w:tcPr>
            <w:tcW w:type="dxa" w:w="1728"/>
          </w:tcPr>
          <w:p>
            <w:r>
              <w:rPr>
                <w:rFonts w:ascii="Times New Roman" w:hAnsi="Times New Roman"/>
                <w:sz w:val="17"/>
              </w:rPr>
              <w:t>Distinguishes situation construction, administrative discretion, and public-power effects</w:t>
            </w:r>
          </w:p>
        </w:tc>
        <w:tc>
          <w:tcPr>
            <w:tcW w:type="dxa" w:w="1728"/>
          </w:tcPr>
          <w:p>
            <w:r>
              <w:rPr>
                <w:rFonts w:ascii="Times New Roman" w:hAnsi="Times New Roman"/>
                <w:sz w:val="17"/>
              </w:rPr>
              <w:t>Automated decision-making; algorithmic discretion; Canada AIA; fairness/rights and GenAI-adoption research</w:t>
            </w:r>
          </w:p>
        </w:tc>
        <w:tc>
          <w:tcPr>
            <w:tcW w:type="dxa" w:w="1728"/>
          </w:tcPr>
          <w:p>
            <w:r>
              <w:rPr>
                <w:rFonts w:ascii="Times New Roman" w:hAnsi="Times New Roman"/>
                <w:sz w:val="17"/>
              </w:rPr>
              <w:t>No CF; no confirmed AVF; currently the clearest added value</w:t>
            </w:r>
          </w:p>
        </w:tc>
        <w:tc>
          <w:tcPr>
            <w:tcW w:type="dxa" w:w="1728"/>
          </w:tcPr>
          <w:p>
            <w:r>
              <w:rPr>
                <w:rFonts w:ascii="Times New Roman" w:hAnsi="Times New Roman"/>
                <w:sz w:val="17"/>
              </w:rPr>
              <w:t>Retain as the core power-function component</w:t>
            </w:r>
          </w:p>
        </w:tc>
      </w:tr>
      <w:tr>
        <w:tc>
          <w:tcPr>
            <w:tcW w:type="dxa" w:w="1728"/>
          </w:tcPr>
          <w:p>
            <w:r>
              <w:rPr>
                <w:rFonts w:ascii="Times New Roman" w:hAnsi="Times New Roman"/>
                <w:sz w:val="17"/>
              </w:rPr>
              <w:t>Three structural effects (3E)</w:t>
            </w:r>
          </w:p>
        </w:tc>
        <w:tc>
          <w:tcPr>
            <w:tcW w:type="dxa" w:w="1728"/>
          </w:tcPr>
          <w:p>
            <w:r>
              <w:rPr>
                <w:rFonts w:ascii="Times New Roman" w:hAnsi="Times New Roman"/>
                <w:sz w:val="17"/>
              </w:rPr>
              <w:t>Traces functional movement → boundary change → reallocation of legal/substantive authority</w:t>
            </w:r>
          </w:p>
        </w:tc>
        <w:tc>
          <w:tcPr>
            <w:tcW w:type="dxa" w:w="1728"/>
          </w:tcPr>
          <w:p>
            <w:r>
              <w:rPr>
                <w:rFonts w:ascii="Times New Roman" w:hAnsi="Times New Roman"/>
                <w:sz w:val="17"/>
              </w:rPr>
              <w:t>Boundaries; algorithmic authority; de-centering; system/shadow bureaucracy; ANT network relations</w:t>
            </w:r>
          </w:p>
        </w:tc>
        <w:tc>
          <w:tcPr>
            <w:tcW w:type="dxa" w:w="1728"/>
          </w:tcPr>
          <w:p>
            <w:r>
              <w:rPr>
                <w:rFonts w:ascii="Times New Roman" w:hAnsi="Times New Roman"/>
                <w:sz w:val="17"/>
              </w:rPr>
              <w:t>No CF; conceptual originality weakened, but no framework-level functional AVF confirmed</w:t>
            </w:r>
          </w:p>
        </w:tc>
        <w:tc>
          <w:tcPr>
            <w:tcW w:type="dxa" w:w="1728"/>
          </w:tcPr>
          <w:p>
            <w:r>
              <w:rPr>
                <w:rFonts w:ascii="Times New Roman" w:hAnsi="Times New Roman"/>
                <w:sz w:val="17"/>
              </w:rPr>
              <w:t>Downgrade to an integrative structural diagnostic procedure; do not claim the three phenomena themselves as new discoveries</w:t>
            </w:r>
          </w:p>
        </w:tc>
      </w:tr>
      <w:tr>
        <w:tc>
          <w:tcPr>
            <w:tcW w:type="dxa" w:w="1728"/>
          </w:tcPr>
          <w:p>
            <w:r>
              <w:rPr>
                <w:rFonts w:ascii="Times New Roman" w:hAnsi="Times New Roman"/>
                <w:sz w:val="17"/>
              </w:rPr>
              <w:t>Four governance chains</w:t>
            </w:r>
          </w:p>
        </w:tc>
        <w:tc>
          <w:tcPr>
            <w:tcW w:type="dxa" w:w="1728"/>
          </w:tcPr>
          <w:p>
            <w:r>
              <w:rPr>
                <w:rFonts w:ascii="Times New Roman" w:hAnsi="Times New Roman"/>
                <w:sz w:val="17"/>
              </w:rPr>
              <w:t>Public-administration tracing across situation → authority → reasons → responsibility</w:t>
            </w:r>
          </w:p>
        </w:tc>
        <w:tc>
          <w:tcPr>
            <w:tcW w:type="dxa" w:w="1728"/>
          </w:tcPr>
          <w:p>
            <w:r>
              <w:rPr>
                <w:rFonts w:ascii="Times New Roman" w:hAnsi="Times New Roman"/>
                <w:sz w:val="17"/>
              </w:rPr>
              <w:t>NIST; ISO; accountability/lifecycle frameworks</w:t>
            </w:r>
          </w:p>
        </w:tc>
        <w:tc>
          <w:tcPr>
            <w:tcW w:type="dxa" w:w="1728"/>
          </w:tcPr>
          <w:p>
            <w:r>
              <w:rPr>
                <w:rFonts w:ascii="Times New Roman" w:hAnsi="Times New Roman"/>
                <w:sz w:val="17"/>
              </w:rPr>
              <w:t>No CF; substantial overlap, but no confirmed full AVF</w:t>
            </w:r>
          </w:p>
        </w:tc>
        <w:tc>
          <w:tcPr>
            <w:tcW w:type="dxa" w:w="1728"/>
          </w:tcPr>
          <w:p>
            <w:r>
              <w:rPr>
                <w:rFonts w:ascii="Times New Roman" w:hAnsi="Times New Roman"/>
                <w:sz w:val="17"/>
              </w:rPr>
              <w:t>Retain; concentrate credit on continuous tracing of administrative reasons and responsibility</w:t>
            </w:r>
          </w:p>
        </w:tc>
      </w:tr>
      <w:tr>
        <w:tc>
          <w:tcPr>
            <w:tcW w:type="dxa" w:w="1728"/>
          </w:tcPr>
          <w:p>
            <w:r>
              <w:rPr>
                <w:rFonts w:ascii="Times New Roman" w:hAnsi="Times New Roman"/>
                <w:sz w:val="17"/>
              </w:rPr>
              <w:t>Seven governance audits</w:t>
            </w:r>
          </w:p>
        </w:tc>
        <w:tc>
          <w:tcPr>
            <w:tcW w:type="dxa" w:w="1728"/>
          </w:tcPr>
          <w:p>
            <w:r>
              <w:rPr>
                <w:rFonts w:ascii="Times New Roman" w:hAnsi="Times New Roman"/>
                <w:sz w:val="17"/>
              </w:rPr>
              <w:t>Translate upstream analytical results into executable checks</w:t>
            </w:r>
          </w:p>
        </w:tc>
        <w:tc>
          <w:tcPr>
            <w:tcW w:type="dxa" w:w="1728"/>
          </w:tcPr>
          <w:p>
            <w:r>
              <w:rPr>
                <w:rFonts w:ascii="Times New Roman" w:hAnsi="Times New Roman"/>
                <w:sz w:val="17"/>
              </w:rPr>
              <w:t>NIST AI RMF; ISO/IEC 42001; Canada AIA</w:t>
            </w:r>
          </w:p>
        </w:tc>
        <w:tc>
          <w:tcPr>
            <w:tcW w:type="dxa" w:w="1728"/>
          </w:tcPr>
          <w:p>
            <w:r>
              <w:rPr>
                <w:rFonts w:ascii="Times New Roman" w:hAnsi="Times New Roman"/>
                <w:sz w:val="17"/>
              </w:rPr>
              <w:t>No CF; AVF established if claimed as independent theoretical originality</w:t>
            </w:r>
          </w:p>
        </w:tc>
        <w:tc>
          <w:tcPr>
            <w:tcW w:type="dxa" w:w="1728"/>
          </w:tcPr>
          <w:p>
            <w:r>
              <w:rPr>
                <w:rFonts w:ascii="Times New Roman" w:hAnsi="Times New Roman"/>
                <w:sz w:val="17"/>
              </w:rPr>
              <w:t>Downgrade to an operational audit interface; claim no independent theoretical originality</w:t>
            </w:r>
          </w:p>
        </w:tc>
      </w:tr>
      <w:tr>
        <w:tc>
          <w:tcPr>
            <w:tcW w:type="dxa" w:w="1728"/>
          </w:tcPr>
          <w:p>
            <w:r>
              <w:rPr>
                <w:rFonts w:ascii="Times New Roman" w:hAnsi="Times New Roman"/>
                <w:sz w:val="17"/>
              </w:rPr>
              <w:t>Overall 25→3P→3E→4→7</w:t>
            </w:r>
          </w:p>
        </w:tc>
        <w:tc>
          <w:tcPr>
            <w:tcW w:type="dxa" w:w="1728"/>
          </w:tcPr>
          <w:p>
            <w:r>
              <w:rPr>
                <w:rFonts w:ascii="Times New Roman" w:hAnsi="Times New Roman"/>
                <w:sz w:val="17"/>
              </w:rPr>
              <w:t>Moves from location, power, and structure to reasons, responsibility, and actor-specific prescriptions</w:t>
            </w:r>
          </w:p>
        </w:tc>
        <w:tc>
          <w:tcPr>
            <w:tcW w:type="dxa" w:w="1728"/>
          </w:tcPr>
          <w:p>
            <w:r>
              <w:rPr>
                <w:rFonts w:ascii="Times New Roman" w:hAnsi="Times New Roman"/>
                <w:sz w:val="17"/>
              </w:rPr>
              <w:t>Functions of individual existing frameworks and reasonable combinations thereof</w:t>
            </w:r>
          </w:p>
        </w:tc>
        <w:tc>
          <w:tcPr>
            <w:tcW w:type="dxa" w:w="1728"/>
          </w:tcPr>
          <w:p>
            <w:r>
              <w:rPr>
                <w:rFonts w:ascii="Times New Roman" w:hAnsi="Times New Roman"/>
                <w:sz w:val="17"/>
              </w:rPr>
              <w:t>No CF; no confirmed AVF requiring reconstruction of the whole</w:t>
            </w:r>
          </w:p>
        </w:tc>
        <w:tc>
          <w:tcPr>
            <w:tcW w:type="dxa" w:w="1728"/>
          </w:tcPr>
          <w:p>
            <w:r>
              <w:rPr>
                <w:rFonts w:ascii="Times New Roman" w:hAnsi="Times New Roman"/>
                <w:sz w:val="17"/>
              </w:rPr>
              <w:t>Revised provisional support</w:t>
            </w:r>
          </w:p>
        </w:tc>
      </w:tr>
    </w:tbl>
    <w:p>
      <w:pPr>
        <w:pStyle w:val="Heading2"/>
      </w:pPr>
      <w:r>
        <w:rPr>
          <w:rFonts w:ascii="Times New Roman" w:hAnsi="Times New Roman"/>
        </w:rPr>
        <w:t>12. Discussion: The Problem Is Not a Lack of Remedies, but How Diagnosis Leads to Prescription</w:t>
      </w:r>
    </w:p>
    <w:p>
      <w:pPr>
        <w:pStyle w:val="Normal"/>
      </w:pPr>
      <w:r>
        <w:rPr>
          <w:rFonts w:ascii="Times New Roman" w:hAnsi="Times New Roman"/>
        </w:rPr>
        <w:t>The most important finding from the comparison is not that Taiwan or the global literature lacks awareness of problems. On the contrary, bias, transparency, accountability, administrative discretion, human oversight, public values, organizational capacity, data governance, vendor responsibility, legal rights, and institutional design have nearly all been identified. Nor is there a shortage of prescriptions: transparency, oversight, accountability, better data quality, human–AI collaboration, ethical rules, regulatory adaptation, and capacity building have all been proposed.</w:t>
        <w:br/>
        <w:br/>
        <w:t>The real gap is whether there is an inferential procedure that others can trace from “identifying symptoms” to “writing a prescription.”</w:t>
        <w:br/>
        <w:br/>
        <w:t>To use a medical analogy, fever is not a prescription. A physician must first identify the patient, lesion, cause, conditions, and target of treatment before determining where a drug should act. The same applies to public administration: the same AI governance symptom may require entirely different administrative interventions at different levels, units, power locations, and responsible actors.</w:t>
        <w:br/>
        <w:br/>
        <w:t>The gap identified here is therefore not the absence of solutions, but the translation of general principles into actor-specific administrative prescriptions. This is where the 25–3–3–4–7 framework currently earns credit. The 25 coordinates identify the governance location; 3P identifies the affected power function; and 3E identifies structural changes in governance relationships. When further intervention is needed, the four chains and seven audits then examine reasons, responsibility, and actionability.</w:t>
        <w:br/>
        <w:br/>
        <w:t>This also explains why the global and Taiwanese literatures are not arranged as a maturity hierarchy. The global field more closely resembles multiple research chains awaiting integration; Taiwan more closely presents a connection problem after continuing issue deepening. Neither lacks knowledge. In both, the knowledge architecture remains under development. This is a more honest and more constructive description.</w:t>
      </w:r>
    </w:p>
    <w:p>
      <w:pPr>
        <w:pStyle w:val="Heading2"/>
      </w:pPr>
      <w:r>
        <w:rPr>
          <w:rFonts w:ascii="Times New Roman" w:hAnsi="Times New Roman"/>
        </w:rPr>
        <w:t>13. A Falsification Roadmap: Conditions Under Which the Framework Should Be Rejected</w:t>
      </w:r>
    </w:p>
    <w:p>
      <w:pPr>
        <w:pStyle w:val="Normal"/>
      </w:pPr>
      <w:r>
        <w:rPr>
          <w:rFonts w:ascii="Times New Roman" w:hAnsi="Times New Roman"/>
        </w:rPr>
        <w:t>The saturation judgment in Section 11 remains dependent on the author’s decisions about the search and stopping point. This is a methodological limitation not yet fully resolved. But being author-directed and being irrefutable are two different things. The latter determines whether theoretical survival is meaningful.</w:t>
        <w:br/>
        <w:br/>
        <w:t>To keep “provisional support” falsifiable rather than defensive rhetoric, this article specifies three conditions of rejection.</w:t>
        <w:br/>
        <w:br/>
        <w:t>First, if subsequent research identifies an important AI governance phenomenon that cannot be covered without distorting its meaning through level × unit location, P1/P2/P3 classification, or 3E tracing, CF is established. The framework must then revise its scope or acknowledge that the phenomenon exceeds its analytical capacity.</w:t>
        <w:br/>
        <w:br/>
        <w:t>Second, if a single alternative framework can perform all the inferential tasks claimed here—location, power identification, structural tracing, and responsibility linkage—with equal or greater precision and fewer components, AVF is established. The framework should then be replaced or substantially simplified.</w:t>
        <w:br/>
        <w:br/>
        <w:t>Third, if empirical evidence shows that dual location in the 25 coordinates does not correspond to different governance prescriptions or assignments of responsibility in actual cases—that is, if different coordinate locations do not change SOPs, authorization relationships, authority to stop or modify a system, oversight responsibilities, or the actor held accountable—the added-value claim of the 25 coordinates also constitutes AVF and should be withdrawn or downgraded to a descriptive classification tool.</w:t>
        <w:br/>
        <w:br/>
        <w:t>These conditions are stated publicly so that “revised provisional support” remains a claim that subsequent research can challenge in practice. If any condition is met, the author commits to revising the framework publicly in later work rather than evading falsification through post hoc interpretation.</w:t>
      </w:r>
    </w:p>
    <w:p>
      <w:r>
        <w:rPr>
          <w:rFonts w:ascii="Times New Roman" w:hAnsi="Times New Roman"/>
          <w:b w:val="0"/>
          <w:i w:val="0"/>
        </w:rPr>
        <w:t>“No identifiable difference” means that different coordinate locations produce no observable difference in administrative intervention—for example, no change in standard operating procedures, authorization relationships, authority to stop or modify a system, oversight responsibility, or the actor held accountable. Subsequent research can verify this through case documents, SOPs, authorization instruments, contracts, or interview data.</w:t>
      </w:r>
    </w:p>
    <w:p>
      <w:pPr>
        <w:pStyle w:val="Heading2"/>
      </w:pPr>
      <w:r>
        <w:rPr>
          <w:rFonts w:ascii="Times New Roman" w:hAnsi="Times New Roman"/>
        </w:rPr>
        <w:t>14. Conclusion: A Governance Inferential Procedure That Still Works—for Now</w:t>
      </w:r>
    </w:p>
    <w:p>
      <w:pPr>
        <w:pStyle w:val="Normal"/>
      </w:pPr>
      <w:r>
        <w:rPr>
          <w:rFonts w:ascii="Times New Roman" w:hAnsi="Times New Roman"/>
        </w:rPr>
        <w:t>The question posed here is not “who has produced more research,” but whether AI governance research can move beyond the production of problems to form governance knowledge that is locatable, connectable, comparable, and open to falsification. The comparison shows that both the global and Taiwanese literatures have accumulated important problems and governance proposals, but exhibit different forms of fragmentation. Globally, the main issue is integration after parallel development across levels and domains; in Taiwan, it is connection after issue deepening.</w:t>
        <w:br/>
        <w:br/>
        <w:t>This article does not claim that the 25–3–3–4–7 framework is an ultimate or universal theory. Yet within the scope of the comparison and falsification-oriented stress test, no confirmed CF was identified and no AVF was found that would require reconstruction of the parent framework as a whole. If claimed as an independent theoretical innovation, however, the seven governance audits constitute a component-level AVF and have therefore been downgraded to an operational audit interface. Compared with research that generally identifies problems and proposes principles or solutions, the framework’s clearer added value is a continuous analytical procedure that moves from governance location, power function, and structural change to responsible actors and prescriptions.</w:t>
        <w:br/>
        <w:br/>
        <w:t>“Revised provisional support” does not mean that every component receives equal support. The more strongly retained components are the level × unit dual location of the 25 coordinates, the P1/P2/P3 power functions, and the continuous inferential sequence from location to power, structure, reasons, and responsibility. The 3E has been downgraded to an integrative structural diagnostic procedure, and the seven governance audits to an operational interface. The article therefore supports an inferential procedure that retains analytical added value after its originality claims have been reduced—not an equal endorsement of every component.</w:t>
        <w:br/>
        <w:br/>
        <w:t>Its value, in other words, lies not in replacing existing research but in making the inferential relationship between existing problems and prescriptions more locatable, connectable, and comparable, while remaining open to falsification and revision by subsequent empirical research.</w:t>
        <w:br/>
        <w:br/>
        <w:t>Governance prescriptions cannot be written only for symptoms; they must be written for governance locations and responsible actors.</w:t>
        <w:br/>
        <w:br/>
        <w:t>If an important phenomenon cannot be reasonably located in future research, CF requires a revision of scope. If an alternative framework can perform the same work with equal precision, AVF requires deletion, consolidation, or downgrading. The present cross-disciplinary falsification search has already produced actual revisions: 3E no longer claims exclusive originality, and the seven audits have been reduced from an independent theoretical contribution to an operational interface. The conclusion is therefore not “passed unchanged,” but revised provisional support after collision with strong competitors. Public administration is the problem domain of this article, not the boundary of its knowledge search. Whether the framework deserves retention depends on how much locatable, connectable, comparable, and inferentially traceable information it can still add within the wider world of AI governance knowledge.</w:t>
      </w:r>
    </w:p>
    <w:p/>
    <w:p/>
    <w:p/>
    <w:p/>
    <w:p/>
    <w:p/>
    <w:p/>
    <w:p/>
    <w:p>
      <w:pPr>
        <w:pStyle w:val="Heading2"/>
      </w:pPr>
      <w:r>
        <w:rPr>
          <w:rFonts w:ascii="Times New Roman" w:hAnsi="Times New Roman"/>
        </w:rPr>
        <w:t>References</w:t>
      </w:r>
    </w:p>
    <w:p>
      <w:r>
        <w:t>Almeida, P. G. R. de, &amp; Santos Júnior, C. D. dos. (2025). Artificial intelligence governance: Understanding how public organizations implement it. Government Information Quarterly, 42(1), 102003. https://doi.org/10.1016/j.giq.2024.102003</w:t>
      </w:r>
    </w:p>
    <w:p>
      <w:r>
        <w:t>Batool, A., Zowghi, D., &amp; Bano, M. (2025). AI governance: A systematic literature review. AI and Ethics, 5, 3265–3279. https://doi.org/10.1007/s43681-024-00653-w</w:t>
      </w:r>
    </w:p>
    <w:p>
      <w:r>
        <w:rPr>
          <w:rFonts w:ascii="Times New Roman" w:hAnsi="Times New Roman"/>
        </w:rPr>
        <w:t>Chan, T.-Y. (2026). Building an AI governance framework is urgent: A cross-disciplinary dialogue platform as the foundation [Interview]. Edge Insights (Artificial Intelligence Foundation). https://edge.aif.tw/taiwan-ai-governance-chan-ting-i/</w:t>
      </w:r>
    </w:p>
    <w:p>
      <w:r>
        <w:rPr>
          <w:rFonts w:ascii="Times New Roman" w:hAnsi="Times New Roman"/>
        </w:rPr>
        <w:t>Chang, P.-H., Chen, D.-Y., Liao, C.-P., Huang, H.-Y., Wang, C.-W., Chang, Y.-H., &amp; Chen, Y.-H. (2024). Institutional design strategies and regulatory adaptation for public services amid the rise of artificial intelligence. Public Administration &amp; Policy, 78, 95–126.</w:t>
      </w:r>
    </w:p>
    <w:p>
      <w:r>
        <w:t>Choung, H., David, P., &amp; Seberger, J. S. (2025). A multilevel framework for AI governance. In The Routledge Handbook of Global and Digital Governance Crossroads (pp. 310–323). Routledge. https://doi.org/10.4324/9781003316077-25</w:t>
      </w:r>
    </w:p>
    <w:p>
      <w:r>
        <w:rPr>
          <w:rFonts w:ascii="Times New Roman" w:hAnsi="Times New Roman"/>
        </w:rPr>
        <w:t>Digital Governance Research Center. (2025–2026). Applications and challenges of generative AI in public services: User behavior and trust in digital-service design [Research project commissioned by the Ministry of Digital Affairs].</w:t>
      </w:r>
    </w:p>
    <w:p>
      <w:r>
        <w:t>Gagua, A., van der Voort, H. G., Goyal, N., &amp; Verbraeck, A. (2025). Responsible AI governance in the public sector: Explaining contextual dynamics through a realist synthesis review. Proceedings of the AAAI/ACM Conference on AI, Ethics, and Society, 8(1), 990–1002. https://doi.org/10.1609/aies.v8i1.36606</w:t>
      </w:r>
    </w:p>
    <w:p>
      <w:r>
        <w:rPr>
          <w:rFonts w:ascii="Times New Roman" w:hAnsi="Times New Roman"/>
        </w:rPr>
        <w:t>Hsiao, N.-Y., &amp; Chu, P.-Y. (2022). Digital development and civil-service adaptation: The case of data governance. Civil Service, 14(1), 1–24.</w:t>
      </w:r>
    </w:p>
    <w:p>
      <w:r>
        <w:rPr>
          <w:rFonts w:ascii="Times New Roman" w:hAnsi="Times New Roman"/>
        </w:rPr>
        <w:t>Huang, C.-H. (2025). Are we ready to be served by AI? The roles and challenges of AI robots in connecting citizens and government. Journal of Public Administration, 69, 161–176.</w:t>
      </w:r>
    </w:p>
    <w:p>
      <w:r>
        <w:rPr>
          <w:rFonts w:ascii="Times New Roman" w:hAnsi="Times New Roman"/>
        </w:rPr>
        <w:t>Huang, H.-Y., &amp; Chen, D.-Y. (2023). Public administration research under artificial-intelligence collaboration: Multilevel reflections on organizational issues in the public sector. Taiwanese Journal of Political Science, 96, 139–178. https://doi.org/10.6166/TJPS.202306_(96).0004</w:t>
      </w:r>
    </w:p>
    <w:p>
      <w:r>
        <w:rPr>
          <w:rFonts w:ascii="Times New Roman" w:hAnsi="Times New Roman"/>
        </w:rPr>
        <w:t>Huang, H.-Y., Tseng, K.-C., Liao, C.-P., &amp; Chen, D.-Y. (2021). When artificial intelligence enters government: Reflections on the use of AI from public administration theory. Civil Service, 13(2), 91–114.</w:t>
      </w:r>
    </w:p>
    <w:p>
      <w:r>
        <w:t>International Organization for Standardization. (2023). ISO/IEC 42001:2023 Information technology—Artificial intelligence—Management system.</w:t>
      </w:r>
    </w:p>
    <w:p>
      <w:r>
        <w:t>Jiang, M., &amp; Xie, M. (2025). Artificial intelligence and public governance: Research progress and future prospects—Visualization analysis based on CiteSpace. Journal of University of Electronic Science and Technology of China (Social Sciences Edition), 27(2), 106–120. https://doi.org/10.14071/j.1008-8105(2025)-5006</w:t>
      </w:r>
    </w:p>
    <w:p>
      <w:r>
        <w:rPr>
          <w:rFonts w:ascii="Times New Roman" w:hAnsi="Times New Roman"/>
        </w:rPr>
        <w:t>Lee, L.-W. (2024). Knowing and doing government data governance: Construction and validation of an internal-perspective assessment framework [Doctoral dissertation, Department of Public Administration, National Chengchi University].</w:t>
      </w:r>
    </w:p>
    <w:p>
      <w:r>
        <w:rPr>
          <w:rFonts w:ascii="Times New Roman" w:hAnsi="Times New Roman"/>
        </w:rPr>
        <w:t>Lee, L.-W., Chu, P.-Y., &amp; Tseng, H.-L. (2023). Key factors in promoting government data governance: A causal model from the perspective of internal stakeholders. Journal of Public Administration, 64, 35–77. https://doi.org/10.30409/JPA.202303_(64).0002</w:t>
      </w:r>
    </w:p>
    <w:p>
      <w:r>
        <w:rPr>
          <w:rFonts w:ascii="Times New Roman" w:hAnsi="Times New Roman"/>
        </w:rPr>
        <w:t>Lee, T.-P., Chang, C.-Y., &amp; Lee, C.-L. (2022). Unintended discrimination in the application of artificial intelligence to public policy: A systematic literature review. Journal of Public Administration, 63, 1–49. https://doi.org/10.30409/JPA.202209_(63).0001</w:t>
      </w:r>
    </w:p>
    <w:p>
      <w:r>
        <w:rPr>
          <w:rFonts w:ascii="Times New Roman" w:hAnsi="Times New Roman"/>
        </w:rPr>
        <w:t>Liao, H.-C. (2024). Opportunities and challenges of artificial intelligence in public administration. Civil Service, 16(2), 1–20.</w:t>
      </w:r>
    </w:p>
    <w:p>
      <w:r>
        <w:rPr>
          <w:rFonts w:ascii="Times New Roman" w:hAnsi="Times New Roman"/>
        </w:rPr>
        <w:t>Lin, M.-W. (2026). Three cheers for artificial intelligence? Taiwanese civil servants’ views and attitudes toward adopting generative AI [Doctoral dissertation, Department of Public Administration, National Chengchi University].</w:t>
      </w:r>
    </w:p>
    <w:p>
      <w:r>
        <w:t>National Institute of Standards and Technology. (2023). Artificial Intelligence Risk Management Framework (AI RMF 1.0).</w:t>
      </w:r>
    </w:p>
    <w:p>
      <w:r>
        <w:t>Roehl, U. B. U., &amp; Hansen, M. B. (2024). Automated, administrative decision-making and good governance: Synergies, trade-offs, and limits. Public Administration Review, 84(6), 1184–1199. https://doi.org/10.1111/puar.13799</w:t>
      </w:r>
    </w:p>
    <w:p>
      <w:r>
        <w:rPr>
          <w:rFonts w:ascii="Times New Roman" w:hAnsi="Times New Roman"/>
        </w:rPr>
        <w:t>Ting, Y.-C. (2024). The entanglement of public governance and artificial intelligence: An actor-network theory approach [Doctoral dissertation, Department of Political Science, National Taiwan University]. https://doi.org/10.6342/NTU202400451</w:t>
      </w:r>
    </w:p>
    <w:p>
      <w:r>
        <w:rPr>
          <w:rFonts w:ascii="Times New Roman" w:hAnsi="Times New Roman"/>
        </w:rPr>
        <w:t>Ting, Y.-C., &amp; Lin, T.-L. (2020). Exploring the potential of artificial intelligence to enhance public governance. Archives Semiannual, 19(2), 24–41.</w:t>
      </w:r>
    </w:p>
    <w:p>
      <w:r>
        <w:t>Treasury Board of Canada Secretariat. (2019). Algorithmic Impact Assessment tool (updated 2023). Retrieved from Government of Canada Open Government Portal.</w:t>
      </w:r>
    </w:p>
    <w:p>
      <w:r>
        <w:rPr>
          <w:rFonts w:ascii="Times New Roman" w:hAnsi="Times New Roman"/>
        </w:rPr>
        <w:t>Tseng, H.-L., Liao, C.-P., &amp; Lee, T.-S. (2022). Models and applications of public–private collaboration in government data: An analysis of collaborative mechanisms. Journal of Public Administration, 62, 43–77.</w:t>
      </w:r>
    </w:p>
    <w:p>
      <w:r>
        <w:t>UNESCO. (2023). Designing institutional frameworks for the ethical governance of AI in the Netherlands.</w:t>
      </w:r>
    </w:p>
    <w:p>
      <w:r>
        <w:rPr>
          <w:rFonts w:ascii="Times New Roman" w:hAnsi="Times New Roman"/>
        </w:rPr>
        <w:t>Wang, Y.-F. (2024). Potential applications of artificial intelligence in local government. Civil Service, 16(2), 139–144.</w:t>
      </w:r>
    </w:p>
    <w:p>
      <w:r>
        <w:t>Zuiderwijk, A., Chen, Y.-C., &amp; Salem, F. (2021). Implications of the use of artificial intelligence in public governance: A systematic literature review and a research agenda. Government Information Quarterly, 38(3), 101577. https://doi.org/10.1016/j.giq.2021.101577</w:t>
      </w:r>
    </w:p>
    <w:p>
      <w:r>
        <w:rPr>
          <w:rFonts w:ascii="Times New Roman" w:hAnsi="Times New Roman"/>
        </w:rPr>
        <w:t>This appendix enables readers to reconstruct the basic operation of the 25 governance coordinates. The coordinates cross five analytical levels with five analytical units. Their purpose is to require analysis to answer both “at which level?” and “in which governance unit?”, rather than treating an issue as a governance problem without a location.</w:t>
      </w:r>
    </w:p>
    <w:p>
      <w:pPr>
        <w:pStyle w:val="Heading2"/>
      </w:pPr>
      <w:r>
        <w:rPr>
          <w:rFonts w:ascii="Times New Roman" w:hAnsi="Times New Roman"/>
          <w:b w:val="0"/>
          <w:i w:val="0"/>
        </w:rPr>
        <w:t>Appendix A. The 25 Governance Coordinates Matrix</w:t>
      </w:r>
    </w:p>
    <w:p>
      <w:r>
        <w:rPr>
          <w:rFonts w:ascii="Times New Roman" w:hAnsi="Times New Roman"/>
          <w:b w:val="0"/>
          <w:i w:val="0"/>
        </w:rPr>
        <w:t>This appendix enables readers to reconstruct the basic operation of the 25 governance coordinates. The coordinates cross five analytical levels with five analytical units. Their purpose is to require analysis to answer both “at which level?” and “in which governance unit?”, rather than treating an issue as a governance problem without a location.</w:t>
      </w:r>
    </w:p>
    <w:p>
      <w:r>
        <w:rPr>
          <w:rFonts w:ascii="Times New Roman" w:hAnsi="Times New Roman"/>
          <w:b/>
          <w:i w:val="0"/>
        </w:rPr>
        <w:t>Table 8. The 25 Governance Coordinates Matrix (Level × Unit)</w:t>
      </w:r>
    </w:p>
    <w:tbl>
      <w:tblPr>
        <w:tblStyle w:val="LightShading"/>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Times New Roman" w:hAnsi="Times New Roman"/>
                <w:sz w:val="17"/>
              </w:rPr>
              <w:t>Level × Unit</w:t>
            </w:r>
          </w:p>
        </w:tc>
        <w:tc>
          <w:tcPr>
            <w:tcW w:type="dxa" w:w="1440"/>
          </w:tcPr>
          <w:p>
            <w:r>
              <w:rPr>
                <w:rFonts w:ascii="Times New Roman" w:hAnsi="Times New Roman"/>
                <w:sz w:val="17"/>
              </w:rPr>
              <w:t>AI/technical system</w:t>
            </w:r>
          </w:p>
        </w:tc>
        <w:tc>
          <w:tcPr>
            <w:tcW w:type="dxa" w:w="1440"/>
          </w:tcPr>
          <w:p>
            <w:r>
              <w:rPr>
                <w:rFonts w:ascii="Times New Roman" w:hAnsi="Times New Roman"/>
                <w:sz w:val="17"/>
              </w:rPr>
              <w:t>Civil servant/professional</w:t>
            </w:r>
          </w:p>
        </w:tc>
        <w:tc>
          <w:tcPr>
            <w:tcW w:type="dxa" w:w="1440"/>
          </w:tcPr>
          <w:p>
            <w:r>
              <w:rPr>
                <w:rFonts w:ascii="Times New Roman" w:hAnsi="Times New Roman"/>
                <w:sz w:val="17"/>
              </w:rPr>
              <w:t>Organizational/institutional actor</w:t>
            </w:r>
          </w:p>
        </w:tc>
        <w:tc>
          <w:tcPr>
            <w:tcW w:type="dxa" w:w="1440"/>
          </w:tcPr>
          <w:p>
            <w:r>
              <w:rPr>
                <w:rFonts w:ascii="Times New Roman" w:hAnsi="Times New Roman"/>
                <w:sz w:val="17"/>
              </w:rPr>
              <w:t>People/stakeholders</w:t>
            </w:r>
          </w:p>
        </w:tc>
        <w:tc>
          <w:tcPr>
            <w:tcW w:type="dxa" w:w="1440"/>
          </w:tcPr>
          <w:p>
            <w:r>
              <w:rPr>
                <w:rFonts w:ascii="Times New Roman" w:hAnsi="Times New Roman"/>
                <w:sz w:val="17"/>
              </w:rPr>
              <w:t>Institutional/governance environment</w:t>
            </w:r>
          </w:p>
        </w:tc>
      </w:tr>
      <w:tr>
        <w:tc>
          <w:tcPr>
            <w:tcW w:type="dxa" w:w="1440"/>
          </w:tcPr>
          <w:p>
            <w:r>
              <w:rPr>
                <w:rFonts w:ascii="Times New Roman" w:hAnsi="Times New Roman"/>
                <w:sz w:val="17"/>
              </w:rPr>
              <w:t>Individual/micro</w:t>
            </w:r>
          </w:p>
        </w:tc>
        <w:tc>
          <w:tcPr>
            <w:tcW w:type="dxa" w:w="1440"/>
          </w:tcPr>
          <w:p>
            <w:r>
              <w:rPr>
                <w:rFonts w:ascii="Times New Roman" w:hAnsi="Times New Roman"/>
                <w:sz w:val="17"/>
              </w:rPr>
              <w:t>L1–U1</w:t>
            </w:r>
          </w:p>
        </w:tc>
        <w:tc>
          <w:tcPr>
            <w:tcW w:type="dxa" w:w="1440"/>
          </w:tcPr>
          <w:p>
            <w:r>
              <w:rPr>
                <w:rFonts w:ascii="Times New Roman" w:hAnsi="Times New Roman"/>
                <w:sz w:val="17"/>
              </w:rPr>
              <w:t>L1–U2</w:t>
            </w:r>
          </w:p>
        </w:tc>
        <w:tc>
          <w:tcPr>
            <w:tcW w:type="dxa" w:w="1440"/>
          </w:tcPr>
          <w:p>
            <w:r>
              <w:rPr>
                <w:rFonts w:ascii="Times New Roman" w:hAnsi="Times New Roman"/>
                <w:sz w:val="17"/>
              </w:rPr>
              <w:t>L1–U3</w:t>
            </w:r>
          </w:p>
        </w:tc>
        <w:tc>
          <w:tcPr>
            <w:tcW w:type="dxa" w:w="1440"/>
          </w:tcPr>
          <w:p>
            <w:r>
              <w:rPr>
                <w:rFonts w:ascii="Times New Roman" w:hAnsi="Times New Roman"/>
                <w:sz w:val="17"/>
              </w:rPr>
              <w:t>L1–U4</w:t>
            </w:r>
          </w:p>
        </w:tc>
        <w:tc>
          <w:tcPr>
            <w:tcW w:type="dxa" w:w="1440"/>
          </w:tcPr>
          <w:p>
            <w:r>
              <w:rPr>
                <w:rFonts w:ascii="Times New Roman" w:hAnsi="Times New Roman"/>
                <w:sz w:val="17"/>
              </w:rPr>
              <w:t>L1–U5</w:t>
            </w:r>
          </w:p>
        </w:tc>
      </w:tr>
      <w:tr>
        <w:tc>
          <w:tcPr>
            <w:tcW w:type="dxa" w:w="1440"/>
          </w:tcPr>
          <w:p>
            <w:r>
              <w:rPr>
                <w:rFonts w:ascii="Times New Roman" w:hAnsi="Times New Roman"/>
                <w:sz w:val="17"/>
              </w:rPr>
              <w:t>Organization</w:t>
            </w:r>
          </w:p>
        </w:tc>
        <w:tc>
          <w:tcPr>
            <w:tcW w:type="dxa" w:w="1440"/>
          </w:tcPr>
          <w:p>
            <w:r>
              <w:rPr>
                <w:rFonts w:ascii="Times New Roman" w:hAnsi="Times New Roman"/>
                <w:sz w:val="17"/>
              </w:rPr>
              <w:t>L2–U1</w:t>
            </w:r>
          </w:p>
        </w:tc>
        <w:tc>
          <w:tcPr>
            <w:tcW w:type="dxa" w:w="1440"/>
          </w:tcPr>
          <w:p>
            <w:r>
              <w:rPr>
                <w:rFonts w:ascii="Times New Roman" w:hAnsi="Times New Roman"/>
                <w:sz w:val="17"/>
              </w:rPr>
              <w:t>L2–U2</w:t>
            </w:r>
          </w:p>
        </w:tc>
        <w:tc>
          <w:tcPr>
            <w:tcW w:type="dxa" w:w="1440"/>
          </w:tcPr>
          <w:p>
            <w:r>
              <w:rPr>
                <w:rFonts w:ascii="Times New Roman" w:hAnsi="Times New Roman"/>
                <w:sz w:val="17"/>
              </w:rPr>
              <w:t>L2–U3</w:t>
            </w:r>
          </w:p>
        </w:tc>
        <w:tc>
          <w:tcPr>
            <w:tcW w:type="dxa" w:w="1440"/>
          </w:tcPr>
          <w:p>
            <w:r>
              <w:rPr>
                <w:rFonts w:ascii="Times New Roman" w:hAnsi="Times New Roman"/>
                <w:sz w:val="17"/>
              </w:rPr>
              <w:t>L2–U4</w:t>
            </w:r>
          </w:p>
        </w:tc>
        <w:tc>
          <w:tcPr>
            <w:tcW w:type="dxa" w:w="1440"/>
          </w:tcPr>
          <w:p>
            <w:r>
              <w:rPr>
                <w:rFonts w:ascii="Times New Roman" w:hAnsi="Times New Roman"/>
                <w:sz w:val="17"/>
              </w:rPr>
              <w:t>L2–U5</w:t>
            </w:r>
          </w:p>
        </w:tc>
      </w:tr>
      <w:tr>
        <w:tc>
          <w:tcPr>
            <w:tcW w:type="dxa" w:w="1440"/>
          </w:tcPr>
          <w:p>
            <w:r>
              <w:rPr>
                <w:rFonts w:ascii="Times New Roman" w:hAnsi="Times New Roman"/>
                <w:sz w:val="17"/>
              </w:rPr>
              <w:t>Interorganizational/policy network</w:t>
            </w:r>
          </w:p>
        </w:tc>
        <w:tc>
          <w:tcPr>
            <w:tcW w:type="dxa" w:w="1440"/>
          </w:tcPr>
          <w:p>
            <w:r>
              <w:rPr>
                <w:rFonts w:ascii="Times New Roman" w:hAnsi="Times New Roman"/>
                <w:sz w:val="17"/>
              </w:rPr>
              <w:t>L3–U1</w:t>
            </w:r>
          </w:p>
        </w:tc>
        <w:tc>
          <w:tcPr>
            <w:tcW w:type="dxa" w:w="1440"/>
          </w:tcPr>
          <w:p>
            <w:r>
              <w:rPr>
                <w:rFonts w:ascii="Times New Roman" w:hAnsi="Times New Roman"/>
                <w:sz w:val="17"/>
              </w:rPr>
              <w:t>L3–U2</w:t>
            </w:r>
          </w:p>
        </w:tc>
        <w:tc>
          <w:tcPr>
            <w:tcW w:type="dxa" w:w="1440"/>
          </w:tcPr>
          <w:p>
            <w:r>
              <w:rPr>
                <w:rFonts w:ascii="Times New Roman" w:hAnsi="Times New Roman"/>
                <w:sz w:val="17"/>
              </w:rPr>
              <w:t>L3–U3</w:t>
            </w:r>
          </w:p>
        </w:tc>
        <w:tc>
          <w:tcPr>
            <w:tcW w:type="dxa" w:w="1440"/>
          </w:tcPr>
          <w:p>
            <w:r>
              <w:rPr>
                <w:rFonts w:ascii="Times New Roman" w:hAnsi="Times New Roman"/>
                <w:sz w:val="17"/>
              </w:rPr>
              <w:t>L3–U4</w:t>
            </w:r>
          </w:p>
        </w:tc>
        <w:tc>
          <w:tcPr>
            <w:tcW w:type="dxa" w:w="1440"/>
          </w:tcPr>
          <w:p>
            <w:r>
              <w:rPr>
                <w:rFonts w:ascii="Times New Roman" w:hAnsi="Times New Roman"/>
                <w:sz w:val="17"/>
              </w:rPr>
              <w:t>L3–U5</w:t>
            </w:r>
          </w:p>
        </w:tc>
      </w:tr>
      <w:tr>
        <w:tc>
          <w:tcPr>
            <w:tcW w:type="dxa" w:w="1440"/>
          </w:tcPr>
          <w:p>
            <w:r>
              <w:rPr>
                <w:rFonts w:ascii="Times New Roman" w:hAnsi="Times New Roman"/>
                <w:sz w:val="17"/>
              </w:rPr>
              <w:t>National/institutional</w:t>
            </w:r>
          </w:p>
        </w:tc>
        <w:tc>
          <w:tcPr>
            <w:tcW w:type="dxa" w:w="1440"/>
          </w:tcPr>
          <w:p>
            <w:r>
              <w:rPr>
                <w:rFonts w:ascii="Times New Roman" w:hAnsi="Times New Roman"/>
                <w:sz w:val="17"/>
              </w:rPr>
              <w:t>L4–U1</w:t>
            </w:r>
          </w:p>
        </w:tc>
        <w:tc>
          <w:tcPr>
            <w:tcW w:type="dxa" w:w="1440"/>
          </w:tcPr>
          <w:p>
            <w:r>
              <w:rPr>
                <w:rFonts w:ascii="Times New Roman" w:hAnsi="Times New Roman"/>
                <w:sz w:val="17"/>
              </w:rPr>
              <w:t>L4–U2</w:t>
            </w:r>
          </w:p>
        </w:tc>
        <w:tc>
          <w:tcPr>
            <w:tcW w:type="dxa" w:w="1440"/>
          </w:tcPr>
          <w:p>
            <w:r>
              <w:rPr>
                <w:rFonts w:ascii="Times New Roman" w:hAnsi="Times New Roman"/>
                <w:sz w:val="17"/>
              </w:rPr>
              <w:t>L4–U3</w:t>
            </w:r>
          </w:p>
        </w:tc>
        <w:tc>
          <w:tcPr>
            <w:tcW w:type="dxa" w:w="1440"/>
          </w:tcPr>
          <w:p>
            <w:r>
              <w:rPr>
                <w:rFonts w:ascii="Times New Roman" w:hAnsi="Times New Roman"/>
                <w:sz w:val="17"/>
              </w:rPr>
              <w:t>L4–U4</w:t>
            </w:r>
          </w:p>
        </w:tc>
        <w:tc>
          <w:tcPr>
            <w:tcW w:type="dxa" w:w="1440"/>
          </w:tcPr>
          <w:p>
            <w:r>
              <w:rPr>
                <w:rFonts w:ascii="Times New Roman" w:hAnsi="Times New Roman"/>
                <w:sz w:val="17"/>
              </w:rPr>
              <w:t>L4–U5</w:t>
            </w:r>
          </w:p>
        </w:tc>
      </w:tr>
      <w:tr>
        <w:tc>
          <w:tcPr>
            <w:tcW w:type="dxa" w:w="1440"/>
          </w:tcPr>
          <w:p>
            <w:r>
              <w:rPr>
                <w:rFonts w:ascii="Times New Roman" w:hAnsi="Times New Roman"/>
                <w:sz w:val="17"/>
              </w:rPr>
              <w:t>Transnational/international</w:t>
            </w:r>
          </w:p>
        </w:tc>
        <w:tc>
          <w:tcPr>
            <w:tcW w:type="dxa" w:w="1440"/>
          </w:tcPr>
          <w:p>
            <w:r>
              <w:rPr>
                <w:rFonts w:ascii="Times New Roman" w:hAnsi="Times New Roman"/>
                <w:sz w:val="17"/>
              </w:rPr>
              <w:t>L5–U1</w:t>
            </w:r>
          </w:p>
        </w:tc>
        <w:tc>
          <w:tcPr>
            <w:tcW w:type="dxa" w:w="1440"/>
          </w:tcPr>
          <w:p>
            <w:r>
              <w:rPr>
                <w:rFonts w:ascii="Times New Roman" w:hAnsi="Times New Roman"/>
                <w:sz w:val="17"/>
              </w:rPr>
              <w:t>L5–U2</w:t>
            </w:r>
          </w:p>
        </w:tc>
        <w:tc>
          <w:tcPr>
            <w:tcW w:type="dxa" w:w="1440"/>
          </w:tcPr>
          <w:p>
            <w:r>
              <w:rPr>
                <w:rFonts w:ascii="Times New Roman" w:hAnsi="Times New Roman"/>
                <w:sz w:val="17"/>
              </w:rPr>
              <w:t>L5–U3</w:t>
            </w:r>
          </w:p>
        </w:tc>
        <w:tc>
          <w:tcPr>
            <w:tcW w:type="dxa" w:w="1440"/>
          </w:tcPr>
          <w:p>
            <w:r>
              <w:rPr>
                <w:rFonts w:ascii="Times New Roman" w:hAnsi="Times New Roman"/>
                <w:sz w:val="17"/>
              </w:rPr>
              <w:t>L5–U4</w:t>
            </w:r>
          </w:p>
        </w:tc>
        <w:tc>
          <w:tcPr>
            <w:tcW w:type="dxa" w:w="1440"/>
          </w:tcPr>
          <w:p>
            <w:r>
              <w:rPr>
                <w:rFonts w:ascii="Times New Roman" w:hAnsi="Times New Roman"/>
                <w:sz w:val="17"/>
              </w:rPr>
              <w:t>L5–U5</w:t>
            </w:r>
          </w:p>
        </w:tc>
      </w:tr>
    </w:tbl>
    <w:p w:rsidR="00F676FC" w:rsidRDefault="0062439A">
      <w:pPr>
        <w:jc w:val="both"/>
        <w:rPr>
          <w:lang w:eastAsia="zh-TW"/>
        </w:rPr>
      </w:pPr>
      <w:r>
        <w:rPr>
          <w:rFonts w:ascii="Times New Roman" w:hAnsi="Times New Roman"/>
          <w:lang w:eastAsia="zh-TW"/>
        </w:rPr>
        <w:t>Note: This matrix functions as a locational tool in this article. In application, coordinate labels should be specified according to the statutory organizations, actors, and institutional relationships in the case; the matrix does not presume that any coordinate necessarily carries greater governance importance. It is an analytic distinction, not an ontologically exclusive classification. U1 denotes AI/technical systems; U2, individual or professional actors; U3, “organizational/institutional actors,” including government agencies, internal government units, commissioned entities, and external vendors that perform organizational functions in a particular governance event; U4, people/stakeholders; and U5, laws, policies, standards, contractual arrangements, procurement rules, and other institutional/governance environments. U5 is not a residual category for actors that cannot otherwise be classified. To distinguish U3 from U5, first ask whether the analytical focus is “the authority, responsibility, or action of a particular organization” or “institutional rules and environments constraining multiple actors.” The former takes U3 as the primary location; only the latter is located at U5. The same event may involve multiple coordinates, but the researcher must explicitly identify the primary locus and secondary or derivative locations and explain the basis for doing so. When the same actor spans multiple coordinates, the primary location should be the coordinate most directly associated with that actor’s statutory responsibility or substantive decision-making influence in the case. This rule seeks to improve coding consistency, not to transform the matrix into an ontologically exclusive classification framework.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