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ABFC0" w14:textId="77777777" w:rsidR="0084721C" w:rsidRDefault="009B07FB">
      <w:pPr>
        <w:spacing w:after="40" w:line="324" w:lineRule="auto"/>
        <w:jc w:val="center"/>
        <w:rPr>
          <w:lang w:eastAsia="zh-TW"/>
        </w:rPr>
      </w:pPr>
      <w:bookmarkStart w:id="0" w:name="_GoBack"/>
      <w:r>
        <w:rPr>
          <w:b/>
          <w:sz w:val="36"/>
          <w:lang w:eastAsia="zh-TW"/>
        </w:rPr>
        <w:t>誰替臺灣政府向世界說明？</w:t>
      </w:r>
    </w:p>
    <w:p w14:paraId="28FB1E77" w14:textId="77777777" w:rsidR="0084721C" w:rsidRDefault="009B07FB">
      <w:pPr>
        <w:spacing w:after="40" w:line="324" w:lineRule="auto"/>
        <w:jc w:val="center"/>
        <w:rPr>
          <w:lang w:eastAsia="zh-TW"/>
        </w:rPr>
      </w:pPr>
      <w:r>
        <w:rPr>
          <w:b/>
          <w:sz w:val="27"/>
          <w:lang w:eastAsia="zh-TW"/>
        </w:rPr>
        <w:t>生成式</w:t>
      </w:r>
      <w:r>
        <w:rPr>
          <w:b/>
          <w:sz w:val="27"/>
          <w:lang w:eastAsia="zh-TW"/>
        </w:rPr>
        <w:t>AI</w:t>
      </w:r>
      <w:r>
        <w:rPr>
          <w:b/>
          <w:sz w:val="27"/>
          <w:lang w:eastAsia="zh-TW"/>
        </w:rPr>
        <w:t>、跨境智慧財產權與國家回應能力的壓力測試</w:t>
      </w:r>
    </w:p>
    <w:bookmarkEnd w:id="0"/>
    <w:p w14:paraId="44CC7C7E" w14:textId="2A7097CE" w:rsidR="0084721C" w:rsidRDefault="009B07FB">
      <w:pPr>
        <w:spacing w:line="324" w:lineRule="auto"/>
        <w:jc w:val="center"/>
        <w:rPr>
          <w:sz w:val="22"/>
          <w:lang w:eastAsia="zh-TW"/>
        </w:rPr>
      </w:pPr>
      <w:r>
        <w:rPr>
          <w:sz w:val="22"/>
          <w:lang w:eastAsia="zh-TW"/>
        </w:rPr>
        <w:t>第十九篇</w:t>
      </w:r>
      <w:proofErr w:type="gramStart"/>
      <w:r>
        <w:rPr>
          <w:sz w:val="22"/>
          <w:lang w:eastAsia="zh-TW"/>
        </w:rPr>
        <w:t>｜</w:t>
      </w:r>
      <w:proofErr w:type="gramEnd"/>
      <w:r>
        <w:rPr>
          <w:rFonts w:hint="eastAsia"/>
          <w:sz w:val="22"/>
          <w:lang w:eastAsia="zh-TW"/>
        </w:rPr>
        <w:t>A</w:t>
      </w:r>
      <w:r>
        <w:rPr>
          <w:sz w:val="22"/>
          <w:lang w:eastAsia="zh-TW"/>
        </w:rPr>
        <w:t>I</w:t>
      </w:r>
      <w:r>
        <w:rPr>
          <w:rFonts w:hint="eastAsia"/>
          <w:sz w:val="22"/>
          <w:lang w:eastAsia="zh-TW"/>
        </w:rPr>
        <w:t>治理系列</w:t>
      </w:r>
    </w:p>
    <w:p w14:paraId="2F19B0C8" w14:textId="2546939D" w:rsidR="009B07FB" w:rsidRDefault="009B07FB">
      <w:pPr>
        <w:spacing w:line="324" w:lineRule="auto"/>
        <w:jc w:val="center"/>
        <w:rPr>
          <w:rFonts w:hint="eastAsia"/>
          <w:lang w:eastAsia="zh-TW"/>
        </w:rPr>
      </w:pPr>
      <w:r>
        <w:rPr>
          <w:rFonts w:hint="eastAsia"/>
          <w:lang w:eastAsia="zh-TW"/>
        </w:rPr>
        <w:t>盧建旭</w:t>
      </w:r>
    </w:p>
    <w:p w14:paraId="73D0CFA0" w14:textId="77777777" w:rsidR="0084721C" w:rsidRDefault="009B07FB">
      <w:pPr>
        <w:spacing w:after="140" w:line="324" w:lineRule="auto"/>
        <w:rPr>
          <w:lang w:eastAsia="zh-TW"/>
        </w:rPr>
      </w:pPr>
      <w:r>
        <w:rPr>
          <w:b/>
          <w:sz w:val="26"/>
          <w:lang w:eastAsia="zh-TW"/>
        </w:rPr>
        <w:t>摘要</w:t>
      </w:r>
    </w:p>
    <w:p w14:paraId="2CBA35DF" w14:textId="77777777" w:rsidR="0084721C" w:rsidRDefault="009B07FB">
      <w:pPr>
        <w:spacing w:after="120" w:line="324" w:lineRule="auto"/>
        <w:rPr>
          <w:lang w:eastAsia="zh-TW"/>
        </w:rPr>
      </w:pPr>
      <w:r>
        <w:rPr>
          <w:lang w:eastAsia="zh-TW"/>
        </w:rPr>
        <w:t>本文檢驗：當境外權利人、模型或資料服務商、合作政府或供應鏈夥伴質疑臺灣政府</w:t>
      </w:r>
      <w:r>
        <w:rPr>
          <w:lang w:eastAsia="zh-TW"/>
        </w:rPr>
        <w:t>AI</w:t>
      </w:r>
      <w:r>
        <w:rPr>
          <w:lang w:eastAsia="zh-TW"/>
        </w:rPr>
        <w:t>使用第三人內容時，政府能否在法院、仲裁或經貿爭端之前，提出可查核的行政證據。研究承接第十八篇「權利來源</w:t>
      </w:r>
      <w:proofErr w:type="gramStart"/>
      <w:r>
        <w:rPr>
          <w:lang w:eastAsia="zh-TW"/>
        </w:rPr>
        <w:t>—</w:t>
      </w:r>
      <w:proofErr w:type="gramEnd"/>
      <w:r>
        <w:rPr>
          <w:lang w:eastAsia="zh-TW"/>
        </w:rPr>
        <w:t>使用範圍</w:t>
      </w:r>
      <w:r>
        <w:rPr>
          <w:lang w:eastAsia="zh-TW"/>
        </w:rPr>
        <w:t>—</w:t>
      </w:r>
      <w:r>
        <w:rPr>
          <w:lang w:eastAsia="zh-TW"/>
        </w:rPr>
        <w:t>停止權」的系統</w:t>
      </w:r>
      <w:r>
        <w:rPr>
          <w:lang w:eastAsia="zh-TW"/>
        </w:rPr>
        <w:t>OAC</w:t>
      </w:r>
      <w:r>
        <w:rPr>
          <w:lang w:eastAsia="zh-TW"/>
        </w:rPr>
        <w:t>，以公開規範、官方文件、近似公開爭議材料與三類合成情境，依</w:t>
      </w:r>
      <w:r>
        <w:rPr>
          <w:lang w:eastAsia="zh-TW"/>
        </w:rPr>
        <w:t>25</w:t>
      </w:r>
      <w:r>
        <w:rPr>
          <w:lang w:eastAsia="zh-TW"/>
        </w:rPr>
        <w:t>治理座標、四條治理鏈與八步驟壓力測試進行規範分析。</w:t>
      </w:r>
    </w:p>
    <w:p w14:paraId="7EB17284" w14:textId="77777777" w:rsidR="0084721C" w:rsidRDefault="009B07FB">
      <w:pPr>
        <w:spacing w:after="120" w:line="324" w:lineRule="auto"/>
        <w:rPr>
          <w:lang w:eastAsia="zh-TW"/>
        </w:rPr>
      </w:pPr>
      <w:r>
        <w:rPr>
          <w:lang w:eastAsia="zh-TW"/>
        </w:rPr>
        <w:t>發現顯示，多手政府在跨境情境中會形成責任片段化：目的機關、採購、資訊、法制、供應商及中央部會各握一段資訊，卻未必能完成同一條可辨識、可停止、可說明、可補救的證據鏈。本文因此提出兩層證據包、分層停止權、跨境升級程序與最低程序七步驟，並主張以採購條款與行政規則先行，將需要拘束性命令的部分留待法律明文授權。本文</w:t>
      </w:r>
      <w:proofErr w:type="gramStart"/>
      <w:r>
        <w:rPr>
          <w:lang w:eastAsia="zh-TW"/>
        </w:rPr>
        <w:t>不</w:t>
      </w:r>
      <w:proofErr w:type="gramEnd"/>
      <w:r>
        <w:rPr>
          <w:lang w:eastAsia="zh-TW"/>
        </w:rPr>
        <w:t>預設侵權、違約、出口管制或</w:t>
      </w:r>
      <w:r>
        <w:rPr>
          <w:lang w:eastAsia="zh-TW"/>
        </w:rPr>
        <w:t>Special 301</w:t>
      </w:r>
      <w:r>
        <w:rPr>
          <w:lang w:eastAsia="zh-TW"/>
        </w:rPr>
        <w:t>必然發生；其目的在於檢驗政府事前保留可被外部理解與核對之證據的能力。</w:t>
      </w:r>
    </w:p>
    <w:p w14:paraId="78832F3B" w14:textId="77777777" w:rsidR="0084721C" w:rsidRDefault="009B07FB">
      <w:pPr>
        <w:spacing w:after="120" w:line="324" w:lineRule="auto"/>
        <w:rPr>
          <w:lang w:eastAsia="zh-TW"/>
        </w:rPr>
      </w:pPr>
      <w:r>
        <w:rPr>
          <w:lang w:eastAsia="zh-TW"/>
        </w:rPr>
        <w:t>關鍵詞：生成式</w:t>
      </w:r>
      <w:r>
        <w:rPr>
          <w:lang w:eastAsia="zh-TW"/>
        </w:rPr>
        <w:t>AI</w:t>
      </w:r>
      <w:r>
        <w:rPr>
          <w:lang w:eastAsia="zh-TW"/>
        </w:rPr>
        <w:t>、跨境智慧財產權、權利</w:t>
      </w:r>
      <w:proofErr w:type="gramStart"/>
      <w:r>
        <w:rPr>
          <w:lang w:eastAsia="zh-TW"/>
        </w:rPr>
        <w:t>來源洗淡</w:t>
      </w:r>
      <w:proofErr w:type="gramEnd"/>
      <w:r>
        <w:rPr>
          <w:lang w:eastAsia="zh-TW"/>
        </w:rPr>
        <w:t>、國家回應能力、多手政府、政府</w:t>
      </w:r>
      <w:r>
        <w:rPr>
          <w:lang w:eastAsia="zh-TW"/>
        </w:rPr>
        <w:t>AI</w:t>
      </w:r>
      <w:r>
        <w:rPr>
          <w:lang w:eastAsia="zh-TW"/>
        </w:rPr>
        <w:t>權利</w:t>
      </w:r>
      <w:r>
        <w:rPr>
          <w:lang w:eastAsia="zh-TW"/>
        </w:rPr>
        <w:t>來源證據包、比較</w:t>
      </w:r>
      <w:r>
        <w:rPr>
          <w:lang w:eastAsia="zh-TW"/>
        </w:rPr>
        <w:t>AI</w:t>
      </w:r>
      <w:r>
        <w:rPr>
          <w:lang w:eastAsia="zh-TW"/>
        </w:rPr>
        <w:t>治理</w:t>
      </w:r>
    </w:p>
    <w:p w14:paraId="5BB7DF3F" w14:textId="77777777" w:rsidR="0084721C" w:rsidRDefault="009B07FB">
      <w:pPr>
        <w:spacing w:after="140" w:line="324" w:lineRule="auto"/>
        <w:rPr>
          <w:lang w:eastAsia="zh-TW"/>
        </w:rPr>
      </w:pPr>
      <w:r>
        <w:rPr>
          <w:b/>
          <w:sz w:val="26"/>
          <w:lang w:eastAsia="zh-TW"/>
        </w:rPr>
        <w:t>一、緒論：何時一筆政府</w:t>
      </w:r>
      <w:r>
        <w:rPr>
          <w:b/>
          <w:sz w:val="26"/>
          <w:lang w:eastAsia="zh-TW"/>
        </w:rPr>
        <w:t>AI</w:t>
      </w:r>
      <w:r>
        <w:rPr>
          <w:b/>
          <w:sz w:val="26"/>
          <w:lang w:eastAsia="zh-TW"/>
        </w:rPr>
        <w:t>資料使用，會變成國際事件？</w:t>
      </w:r>
    </w:p>
    <w:p w14:paraId="37FC549F" w14:textId="77777777" w:rsidR="0084721C" w:rsidRDefault="009B07FB">
      <w:pPr>
        <w:spacing w:after="120" w:line="324" w:lineRule="auto"/>
        <w:rPr>
          <w:lang w:eastAsia="zh-TW"/>
        </w:rPr>
      </w:pPr>
      <w:r>
        <w:rPr>
          <w:lang w:eastAsia="zh-TW"/>
        </w:rPr>
        <w:t>一筆原本只在地方政府</w:t>
      </w:r>
      <w:r>
        <w:rPr>
          <w:lang w:eastAsia="zh-TW"/>
        </w:rPr>
        <w:t>RAG</w:t>
      </w:r>
      <w:r>
        <w:rPr>
          <w:lang w:eastAsia="zh-TW"/>
        </w:rPr>
        <w:t>系統中運作的資料，何時會變成國際事件？答案不在於「是否已構成侵權」（那是法院與仲裁的事），而在於權利人、合作方或外部壓力是否開始追問三個問題：誰同意把這些內容放進去？使用到哪一步？誰能把它停下來？</w:t>
      </w:r>
    </w:p>
    <w:p w14:paraId="66471E58" w14:textId="77777777" w:rsidR="0084721C" w:rsidRDefault="009B07FB">
      <w:pPr>
        <w:spacing w:after="120" w:line="324" w:lineRule="auto"/>
        <w:rPr>
          <w:lang w:eastAsia="zh-TW"/>
        </w:rPr>
      </w:pPr>
      <w:r>
        <w:rPr>
          <w:lang w:eastAsia="zh-TW"/>
        </w:rPr>
        <w:t>第十八篇處理的是國內事前治理：業務、資訊、採購、法制與供應商之間的責任推移，以及</w:t>
      </w:r>
      <w:r>
        <w:rPr>
          <w:lang w:eastAsia="zh-TW"/>
        </w:rPr>
        <w:t>OAC</w:t>
      </w:r>
      <w:r>
        <w:rPr>
          <w:lang w:eastAsia="zh-TW"/>
        </w:rPr>
        <w:t>能否在上線前要求權利來源證據。第十九篇處理的是同一失效被放大後的國家能力問題。跨境來源不會使第十八篇的事前責任消失；它只是</w:t>
      </w:r>
      <w:r>
        <w:rPr>
          <w:lang w:eastAsia="zh-TW"/>
        </w:rPr>
        <w:t>讓原本分散的「多手政府」再加上境外權利人、資料庫／模型提供者、跨國供應鏈、外國政府或合作夥伴的斷裂層。</w:t>
      </w:r>
    </w:p>
    <w:p w14:paraId="5163F3DA" w14:textId="77777777" w:rsidR="0084721C" w:rsidRDefault="009B07FB">
      <w:pPr>
        <w:spacing w:after="120" w:line="324" w:lineRule="auto"/>
      </w:pPr>
      <w:r>
        <w:lastRenderedPageBreak/>
        <w:t>本文所稱「多手政府」承接</w:t>
      </w:r>
      <w:r>
        <w:t>Thompson</w:t>
      </w:r>
      <w:r>
        <w:t>（</w:t>
      </w:r>
      <w:r>
        <w:t>1980</w:t>
      </w:r>
      <w:r>
        <w:t>）所提出的</w:t>
      </w:r>
      <w:r>
        <w:t xml:space="preserve"> *problem of many hands*</w:t>
      </w:r>
      <w:r>
        <w:t>：在多名公務員分別參與的決策中，結果責任可能難以歸屬。本文的重點不是以此概念替代法律責任判斷，而是檢驗採購、技術、法制與目的事業分工能否仍留下可追溯的行政責任鏈。</w:t>
      </w:r>
    </w:p>
    <w:p w14:paraId="028EE2E4" w14:textId="77777777" w:rsidR="0084721C" w:rsidRDefault="009B07FB">
      <w:pPr>
        <w:spacing w:after="120" w:line="324" w:lineRule="auto"/>
        <w:rPr>
          <w:lang w:eastAsia="zh-TW"/>
        </w:rPr>
      </w:pPr>
      <w:r>
        <w:rPr>
          <w:lang w:eastAsia="zh-TW"/>
        </w:rPr>
        <w:t>本文的中心命題是：同一套「權利來源</w:t>
      </w:r>
      <w:proofErr w:type="gramStart"/>
      <w:r>
        <w:rPr>
          <w:lang w:eastAsia="zh-TW"/>
        </w:rPr>
        <w:t>—</w:t>
      </w:r>
      <w:proofErr w:type="gramEnd"/>
      <w:r>
        <w:rPr>
          <w:lang w:eastAsia="zh-TW"/>
        </w:rPr>
        <w:t>使用範圍</w:t>
      </w:r>
      <w:r>
        <w:rPr>
          <w:lang w:eastAsia="zh-TW"/>
        </w:rPr>
        <w:t>—</w:t>
      </w:r>
      <w:r>
        <w:rPr>
          <w:lang w:eastAsia="zh-TW"/>
        </w:rPr>
        <w:t>停止權」壓力測試，在跨境情境中不會失效，而是會被放大。原本由機關內部造成的斷裂，會演變為「</w:t>
      </w:r>
      <w:r>
        <w:rPr>
          <w:lang w:eastAsia="zh-TW"/>
        </w:rPr>
        <w:t>臺灣政府制度性保護不足」的外部指控。此時，若政府手上沒有事前治理留下的證據包，只能臨時危機公關；若有，才有資格向世界說明。</w:t>
      </w:r>
    </w:p>
    <w:p w14:paraId="3EA2FF7F" w14:textId="77777777" w:rsidR="0084721C" w:rsidRDefault="009B07FB">
      <w:pPr>
        <w:spacing w:after="120" w:line="324" w:lineRule="auto"/>
        <w:rPr>
          <w:lang w:eastAsia="zh-TW"/>
        </w:rPr>
      </w:pPr>
      <w:r>
        <w:rPr>
          <w:lang w:eastAsia="zh-TW"/>
        </w:rPr>
        <w:t>本文明確排除幾個範圍：不把每一項境外權利主張直接等同於國際貿易爭端；不替法院、仲裁庭或輸出國管制機關作法律結論；也</w:t>
      </w:r>
      <w:proofErr w:type="gramStart"/>
      <w:r>
        <w:rPr>
          <w:lang w:eastAsia="zh-TW"/>
        </w:rPr>
        <w:t>不</w:t>
      </w:r>
      <w:proofErr w:type="gramEnd"/>
      <w:r>
        <w:rPr>
          <w:lang w:eastAsia="zh-TW"/>
        </w:rPr>
        <w:t>預設</w:t>
      </w:r>
      <w:r>
        <w:rPr>
          <w:lang w:eastAsia="zh-TW"/>
        </w:rPr>
        <w:t>Special 301</w:t>
      </w:r>
      <w:r>
        <w:rPr>
          <w:lang w:eastAsia="zh-TW"/>
        </w:rPr>
        <w:t>或雙邊經貿壓力必然發生。它只以外部高壓情境反測：臺灣平時是否保存了可驗證的授權範圍、資料處理、決定理由、停止紀錄與責任歸屬。</w:t>
      </w:r>
    </w:p>
    <w:p w14:paraId="0E308D99" w14:textId="77777777" w:rsidR="0084721C" w:rsidRDefault="009B07FB">
      <w:pPr>
        <w:spacing w:after="140" w:line="324" w:lineRule="auto"/>
        <w:rPr>
          <w:lang w:eastAsia="zh-TW"/>
        </w:rPr>
      </w:pPr>
      <w:r>
        <w:rPr>
          <w:b/>
          <w:sz w:val="26"/>
          <w:lang w:eastAsia="zh-TW"/>
        </w:rPr>
        <w:t>二、概念界定：跨境事件、權利來源</w:t>
      </w:r>
      <w:proofErr w:type="gramStart"/>
      <w:r>
        <w:rPr>
          <w:b/>
          <w:sz w:val="26"/>
          <w:lang w:eastAsia="zh-TW"/>
        </w:rPr>
        <w:t>洗淡與</w:t>
      </w:r>
      <w:proofErr w:type="gramEnd"/>
      <w:r>
        <w:rPr>
          <w:b/>
          <w:sz w:val="26"/>
          <w:lang w:eastAsia="zh-TW"/>
        </w:rPr>
        <w:t>國家回應能力</w:t>
      </w:r>
    </w:p>
    <w:p w14:paraId="77B4E49F" w14:textId="77777777" w:rsidR="0084721C" w:rsidRDefault="009B07FB">
      <w:pPr>
        <w:spacing w:after="120" w:line="324" w:lineRule="auto"/>
        <w:rPr>
          <w:lang w:eastAsia="zh-TW"/>
        </w:rPr>
      </w:pPr>
      <w:proofErr w:type="gramStart"/>
      <w:r>
        <w:rPr>
          <w:lang w:eastAsia="zh-TW"/>
        </w:rPr>
        <w:t>跨境性不是</w:t>
      </w:r>
      <w:proofErr w:type="gramEnd"/>
      <w:r>
        <w:rPr>
          <w:lang w:eastAsia="zh-TW"/>
        </w:rPr>
        <w:t>抽象的國際背景，而是可被定位、觀察與檢驗的治理單位。下表界</w:t>
      </w:r>
      <w:r>
        <w:rPr>
          <w:lang w:eastAsia="zh-TW"/>
        </w:rPr>
        <w:t>定本文概念，避免以新名詞重述既有採購、</w:t>
      </w:r>
      <w:proofErr w:type="gramStart"/>
      <w:r>
        <w:rPr>
          <w:lang w:eastAsia="zh-TW"/>
        </w:rPr>
        <w:t>資安與</w:t>
      </w:r>
      <w:proofErr w:type="gramEnd"/>
      <w:r>
        <w:rPr>
          <w:lang w:eastAsia="zh-TW"/>
        </w:rPr>
        <w:t>著作權問題。</w:t>
      </w:r>
    </w:p>
    <w:tbl>
      <w:tblPr>
        <w:tblStyle w:val="aff2"/>
        <w:tblW w:w="0" w:type="auto"/>
        <w:jc w:val="center"/>
        <w:tblLook w:val="04A0" w:firstRow="1" w:lastRow="0" w:firstColumn="1" w:lastColumn="0" w:noHBand="0" w:noVBand="1"/>
      </w:tblPr>
      <w:tblGrid>
        <w:gridCol w:w="3312"/>
        <w:gridCol w:w="3312"/>
        <w:gridCol w:w="3312"/>
      </w:tblGrid>
      <w:tr w:rsidR="0084721C" w14:paraId="64F646BB" w14:textId="77777777">
        <w:trPr>
          <w:jc w:val="center"/>
        </w:trPr>
        <w:tc>
          <w:tcPr>
            <w:tcW w:w="3312" w:type="dxa"/>
            <w:shd w:val="clear" w:color="auto" w:fill="DCE6F2"/>
            <w:tcMar>
              <w:top w:w="90" w:type="dxa"/>
              <w:left w:w="100" w:type="dxa"/>
              <w:bottom w:w="90" w:type="dxa"/>
              <w:right w:w="100" w:type="dxa"/>
            </w:tcMar>
            <w:vAlign w:val="center"/>
          </w:tcPr>
          <w:p w14:paraId="71B390E2" w14:textId="77777777" w:rsidR="0084721C" w:rsidRDefault="009B07FB">
            <w:pPr>
              <w:spacing w:line="252" w:lineRule="auto"/>
            </w:pPr>
            <w:proofErr w:type="spellStart"/>
            <w:r>
              <w:rPr>
                <w:b/>
                <w:sz w:val="17"/>
              </w:rPr>
              <w:t>概念</w:t>
            </w:r>
            <w:proofErr w:type="spellEnd"/>
          </w:p>
        </w:tc>
        <w:tc>
          <w:tcPr>
            <w:tcW w:w="3312" w:type="dxa"/>
            <w:shd w:val="clear" w:color="auto" w:fill="DCE6F2"/>
            <w:tcMar>
              <w:top w:w="90" w:type="dxa"/>
              <w:left w:w="100" w:type="dxa"/>
              <w:bottom w:w="90" w:type="dxa"/>
              <w:right w:w="100" w:type="dxa"/>
            </w:tcMar>
            <w:vAlign w:val="center"/>
          </w:tcPr>
          <w:p w14:paraId="10CA2850" w14:textId="77777777" w:rsidR="0084721C" w:rsidRDefault="009B07FB">
            <w:pPr>
              <w:spacing w:line="252" w:lineRule="auto"/>
            </w:pPr>
            <w:r>
              <w:rPr>
                <w:b/>
                <w:sz w:val="17"/>
              </w:rPr>
              <w:t>本文操作定義</w:t>
            </w:r>
          </w:p>
        </w:tc>
        <w:tc>
          <w:tcPr>
            <w:tcW w:w="3312" w:type="dxa"/>
            <w:shd w:val="clear" w:color="auto" w:fill="DCE6F2"/>
            <w:tcMar>
              <w:top w:w="90" w:type="dxa"/>
              <w:left w:w="100" w:type="dxa"/>
              <w:bottom w:w="90" w:type="dxa"/>
              <w:right w:w="100" w:type="dxa"/>
            </w:tcMar>
            <w:vAlign w:val="center"/>
          </w:tcPr>
          <w:p w14:paraId="3679426E" w14:textId="77777777" w:rsidR="0084721C" w:rsidRDefault="009B07FB">
            <w:pPr>
              <w:spacing w:line="252" w:lineRule="auto"/>
            </w:pPr>
            <w:r>
              <w:rPr>
                <w:b/>
                <w:sz w:val="17"/>
              </w:rPr>
              <w:t>可觀察指標</w:t>
            </w:r>
          </w:p>
        </w:tc>
      </w:tr>
      <w:tr w:rsidR="0084721C" w14:paraId="1DA1246A" w14:textId="77777777">
        <w:trPr>
          <w:jc w:val="center"/>
        </w:trPr>
        <w:tc>
          <w:tcPr>
            <w:tcW w:w="3312" w:type="dxa"/>
            <w:tcMar>
              <w:top w:w="90" w:type="dxa"/>
              <w:left w:w="100" w:type="dxa"/>
              <w:bottom w:w="90" w:type="dxa"/>
              <w:right w:w="100" w:type="dxa"/>
            </w:tcMar>
            <w:vAlign w:val="center"/>
          </w:tcPr>
          <w:p w14:paraId="57046CCB" w14:textId="77777777" w:rsidR="0084721C" w:rsidRDefault="009B07FB">
            <w:pPr>
              <w:spacing w:line="252" w:lineRule="auto"/>
            </w:pPr>
            <w:r>
              <w:rPr>
                <w:sz w:val="17"/>
              </w:rPr>
              <w:t>跨境</w:t>
            </w:r>
            <w:r>
              <w:rPr>
                <w:sz w:val="17"/>
              </w:rPr>
              <w:t>AI</w:t>
            </w:r>
            <w:r>
              <w:rPr>
                <w:sz w:val="17"/>
              </w:rPr>
              <w:t>權利事件</w:t>
            </w:r>
          </w:p>
        </w:tc>
        <w:tc>
          <w:tcPr>
            <w:tcW w:w="3312" w:type="dxa"/>
            <w:tcMar>
              <w:top w:w="90" w:type="dxa"/>
              <w:left w:w="100" w:type="dxa"/>
              <w:bottom w:w="90" w:type="dxa"/>
              <w:right w:w="100" w:type="dxa"/>
            </w:tcMar>
            <w:vAlign w:val="center"/>
          </w:tcPr>
          <w:p w14:paraId="5FCE810F" w14:textId="77777777" w:rsidR="0084721C" w:rsidRDefault="009B07FB">
            <w:pPr>
              <w:spacing w:line="252" w:lineRule="auto"/>
              <w:rPr>
                <w:lang w:eastAsia="zh-TW"/>
              </w:rPr>
            </w:pPr>
            <w:r>
              <w:rPr>
                <w:sz w:val="17"/>
                <w:lang w:eastAsia="zh-TW"/>
              </w:rPr>
              <w:t>政府</w:t>
            </w:r>
            <w:r>
              <w:rPr>
                <w:sz w:val="17"/>
                <w:lang w:eastAsia="zh-TW"/>
              </w:rPr>
              <w:t>AI</w:t>
            </w:r>
            <w:r>
              <w:rPr>
                <w:sz w:val="17"/>
                <w:lang w:eastAsia="zh-TW"/>
              </w:rPr>
              <w:t>的資料、服務商、契約、權利人、部署地或</w:t>
            </w:r>
            <w:proofErr w:type="gramStart"/>
            <w:r>
              <w:rPr>
                <w:sz w:val="17"/>
                <w:lang w:eastAsia="zh-TW"/>
              </w:rPr>
              <w:t>準</w:t>
            </w:r>
            <w:proofErr w:type="gramEnd"/>
            <w:r>
              <w:rPr>
                <w:sz w:val="17"/>
                <w:lang w:eastAsia="zh-TW"/>
              </w:rPr>
              <w:t>據法至少一項跨越臺灣</w:t>
            </w:r>
            <w:proofErr w:type="gramStart"/>
            <w:r>
              <w:rPr>
                <w:sz w:val="17"/>
                <w:lang w:eastAsia="zh-TW"/>
              </w:rPr>
              <w:t>法域</w:t>
            </w:r>
            <w:proofErr w:type="gramEnd"/>
            <w:r>
              <w:rPr>
                <w:sz w:val="17"/>
                <w:lang w:eastAsia="zh-TW"/>
              </w:rPr>
              <w:t>，並引發具體的權利、用途或資料控制疑義。</w:t>
            </w:r>
          </w:p>
        </w:tc>
        <w:tc>
          <w:tcPr>
            <w:tcW w:w="3312" w:type="dxa"/>
            <w:tcMar>
              <w:top w:w="90" w:type="dxa"/>
              <w:left w:w="100" w:type="dxa"/>
              <w:bottom w:w="90" w:type="dxa"/>
              <w:right w:w="100" w:type="dxa"/>
            </w:tcMar>
            <w:vAlign w:val="center"/>
          </w:tcPr>
          <w:p w14:paraId="103A0A13" w14:textId="77777777" w:rsidR="0084721C" w:rsidRDefault="009B07FB">
            <w:pPr>
              <w:spacing w:line="252" w:lineRule="auto"/>
              <w:rPr>
                <w:lang w:eastAsia="zh-TW"/>
              </w:rPr>
            </w:pPr>
            <w:r>
              <w:rPr>
                <w:sz w:val="17"/>
                <w:lang w:eastAsia="zh-TW"/>
              </w:rPr>
              <w:t>境外通知、跨境契約或傳輸、境外部署、外國主管機關或合作方介入。</w:t>
            </w:r>
          </w:p>
        </w:tc>
      </w:tr>
      <w:tr w:rsidR="0084721C" w14:paraId="4DA44ED0" w14:textId="77777777">
        <w:trPr>
          <w:jc w:val="center"/>
        </w:trPr>
        <w:tc>
          <w:tcPr>
            <w:tcW w:w="3312" w:type="dxa"/>
            <w:tcMar>
              <w:top w:w="90" w:type="dxa"/>
              <w:left w:w="100" w:type="dxa"/>
              <w:bottom w:w="90" w:type="dxa"/>
              <w:right w:w="100" w:type="dxa"/>
            </w:tcMar>
            <w:vAlign w:val="center"/>
          </w:tcPr>
          <w:p w14:paraId="49FEC21C" w14:textId="77777777" w:rsidR="0084721C" w:rsidRDefault="009B07FB">
            <w:pPr>
              <w:spacing w:line="252" w:lineRule="auto"/>
            </w:pPr>
            <w:proofErr w:type="spellStart"/>
            <w:r>
              <w:rPr>
                <w:sz w:val="17"/>
              </w:rPr>
              <w:t>權利來源洗淡</w:t>
            </w:r>
            <w:proofErr w:type="spellEnd"/>
          </w:p>
        </w:tc>
        <w:tc>
          <w:tcPr>
            <w:tcW w:w="3312" w:type="dxa"/>
            <w:tcMar>
              <w:top w:w="90" w:type="dxa"/>
              <w:left w:w="100" w:type="dxa"/>
              <w:bottom w:w="90" w:type="dxa"/>
              <w:right w:w="100" w:type="dxa"/>
            </w:tcMar>
            <w:vAlign w:val="center"/>
          </w:tcPr>
          <w:p w14:paraId="4D699093" w14:textId="77777777" w:rsidR="0084721C" w:rsidRDefault="009B07FB">
            <w:pPr>
              <w:spacing w:line="252" w:lineRule="auto"/>
              <w:rPr>
                <w:lang w:eastAsia="zh-TW"/>
              </w:rPr>
            </w:pPr>
            <w:r>
              <w:rPr>
                <w:sz w:val="17"/>
                <w:lang w:eastAsia="zh-TW"/>
              </w:rPr>
              <w:t>資料經取得、彙整、</w:t>
            </w:r>
            <w:proofErr w:type="gramStart"/>
            <w:r>
              <w:rPr>
                <w:sz w:val="17"/>
                <w:lang w:eastAsia="zh-TW"/>
              </w:rPr>
              <w:t>爬取</w:t>
            </w:r>
            <w:proofErr w:type="gramEnd"/>
            <w:r>
              <w:rPr>
                <w:sz w:val="17"/>
                <w:lang w:eastAsia="zh-TW"/>
              </w:rPr>
              <w:t>、再授權、蒸餾、微調、向量化或</w:t>
            </w:r>
            <w:r>
              <w:rPr>
                <w:sz w:val="17"/>
                <w:lang w:eastAsia="zh-TW"/>
              </w:rPr>
              <w:t>API</w:t>
            </w:r>
            <w:r>
              <w:rPr>
                <w:sz w:val="17"/>
                <w:lang w:eastAsia="zh-TW"/>
              </w:rPr>
              <w:t>轉送後，原始權利人、授權範圍、</w:t>
            </w:r>
            <w:proofErr w:type="gramStart"/>
            <w:r>
              <w:rPr>
                <w:sz w:val="17"/>
                <w:lang w:eastAsia="zh-TW"/>
              </w:rPr>
              <w:t>適用法域</w:t>
            </w:r>
            <w:proofErr w:type="gramEnd"/>
            <w:r>
              <w:rPr>
                <w:sz w:val="17"/>
                <w:lang w:eastAsia="zh-TW"/>
              </w:rPr>
              <w:t>或再利用限制至少一項無法回溯，且現行責任人無法在合理期間重建資訊鏈。</w:t>
            </w:r>
          </w:p>
        </w:tc>
        <w:tc>
          <w:tcPr>
            <w:tcW w:w="3312" w:type="dxa"/>
            <w:tcMar>
              <w:top w:w="90" w:type="dxa"/>
              <w:left w:w="100" w:type="dxa"/>
              <w:bottom w:w="90" w:type="dxa"/>
              <w:right w:w="100" w:type="dxa"/>
            </w:tcMar>
            <w:vAlign w:val="center"/>
          </w:tcPr>
          <w:p w14:paraId="65DC4086" w14:textId="77777777" w:rsidR="0084721C" w:rsidRDefault="009B07FB">
            <w:pPr>
              <w:spacing w:line="252" w:lineRule="auto"/>
              <w:rPr>
                <w:lang w:eastAsia="zh-TW"/>
              </w:rPr>
            </w:pPr>
            <w:r>
              <w:rPr>
                <w:sz w:val="17"/>
                <w:lang w:eastAsia="zh-TW"/>
              </w:rPr>
              <w:t>授權鏈中斷、資料集清單缺失、權利管理資訊消失、部署地或次處理者不明。</w:t>
            </w:r>
          </w:p>
        </w:tc>
      </w:tr>
      <w:tr w:rsidR="0084721C" w14:paraId="46006464" w14:textId="77777777">
        <w:trPr>
          <w:jc w:val="center"/>
        </w:trPr>
        <w:tc>
          <w:tcPr>
            <w:tcW w:w="3312" w:type="dxa"/>
            <w:tcMar>
              <w:top w:w="90" w:type="dxa"/>
              <w:left w:w="100" w:type="dxa"/>
              <w:bottom w:w="90" w:type="dxa"/>
              <w:right w:w="100" w:type="dxa"/>
            </w:tcMar>
            <w:vAlign w:val="center"/>
          </w:tcPr>
          <w:p w14:paraId="33705E40" w14:textId="77777777" w:rsidR="0084721C" w:rsidRDefault="009B07FB">
            <w:pPr>
              <w:spacing w:line="252" w:lineRule="auto"/>
            </w:pPr>
            <w:proofErr w:type="spellStart"/>
            <w:r>
              <w:rPr>
                <w:sz w:val="17"/>
              </w:rPr>
              <w:t>國家回應能力</w:t>
            </w:r>
            <w:proofErr w:type="spellEnd"/>
          </w:p>
        </w:tc>
        <w:tc>
          <w:tcPr>
            <w:tcW w:w="3312" w:type="dxa"/>
            <w:tcMar>
              <w:top w:w="90" w:type="dxa"/>
              <w:left w:w="100" w:type="dxa"/>
              <w:bottom w:w="90" w:type="dxa"/>
              <w:right w:w="100" w:type="dxa"/>
            </w:tcMar>
            <w:vAlign w:val="center"/>
          </w:tcPr>
          <w:p w14:paraId="78DC8B2C" w14:textId="77777777" w:rsidR="0084721C" w:rsidRDefault="009B07FB">
            <w:pPr>
              <w:spacing w:line="252" w:lineRule="auto"/>
              <w:rPr>
                <w:lang w:eastAsia="zh-TW"/>
              </w:rPr>
            </w:pPr>
            <w:r>
              <w:rPr>
                <w:sz w:val="17"/>
                <w:lang w:eastAsia="zh-TW"/>
              </w:rPr>
              <w:t>政府在可預期期限內完成辨識、決策、執行、說明與補救的能力；「國家」不等於外交部單獨對外回應。</w:t>
            </w:r>
          </w:p>
        </w:tc>
        <w:tc>
          <w:tcPr>
            <w:tcW w:w="3312" w:type="dxa"/>
            <w:tcMar>
              <w:top w:w="90" w:type="dxa"/>
              <w:left w:w="100" w:type="dxa"/>
              <w:bottom w:w="90" w:type="dxa"/>
              <w:right w:w="100" w:type="dxa"/>
            </w:tcMar>
            <w:vAlign w:val="center"/>
          </w:tcPr>
          <w:p w14:paraId="3FD41397" w14:textId="77777777" w:rsidR="0084721C" w:rsidRDefault="009B07FB">
            <w:pPr>
              <w:spacing w:line="252" w:lineRule="auto"/>
              <w:rPr>
                <w:lang w:eastAsia="zh-TW"/>
              </w:rPr>
            </w:pPr>
            <w:r>
              <w:rPr>
                <w:sz w:val="17"/>
                <w:lang w:eastAsia="zh-TW"/>
              </w:rPr>
              <w:t>指定窗口、停止工具、結構化證據包、回覆時程、升級與覆核紀錄。</w:t>
            </w:r>
          </w:p>
        </w:tc>
      </w:tr>
      <w:tr w:rsidR="0084721C" w14:paraId="1BD0F84E" w14:textId="77777777">
        <w:trPr>
          <w:jc w:val="center"/>
        </w:trPr>
        <w:tc>
          <w:tcPr>
            <w:tcW w:w="3312" w:type="dxa"/>
            <w:tcMar>
              <w:top w:w="90" w:type="dxa"/>
              <w:left w:w="100" w:type="dxa"/>
              <w:bottom w:w="90" w:type="dxa"/>
              <w:right w:w="100" w:type="dxa"/>
            </w:tcMar>
            <w:vAlign w:val="center"/>
          </w:tcPr>
          <w:p w14:paraId="181836AF" w14:textId="77777777" w:rsidR="0084721C" w:rsidRDefault="009B07FB">
            <w:pPr>
              <w:spacing w:line="252" w:lineRule="auto"/>
            </w:pPr>
            <w:proofErr w:type="spellStart"/>
            <w:r>
              <w:rPr>
                <w:sz w:val="17"/>
              </w:rPr>
              <w:t>國家／跨境證據包</w:t>
            </w:r>
            <w:proofErr w:type="spellEnd"/>
          </w:p>
        </w:tc>
        <w:tc>
          <w:tcPr>
            <w:tcW w:w="3312" w:type="dxa"/>
            <w:tcMar>
              <w:top w:w="90" w:type="dxa"/>
              <w:left w:w="100" w:type="dxa"/>
              <w:bottom w:w="90" w:type="dxa"/>
              <w:right w:w="100" w:type="dxa"/>
            </w:tcMar>
            <w:vAlign w:val="center"/>
          </w:tcPr>
          <w:p w14:paraId="73F68FB1" w14:textId="77777777" w:rsidR="0084721C" w:rsidRDefault="009B07FB">
            <w:pPr>
              <w:spacing w:line="252" w:lineRule="auto"/>
              <w:rPr>
                <w:lang w:eastAsia="zh-TW"/>
              </w:rPr>
            </w:pPr>
            <w:r>
              <w:rPr>
                <w:sz w:val="17"/>
                <w:lang w:eastAsia="zh-TW"/>
              </w:rPr>
              <w:t>足以支援內部決策、對外說明及後續救濟的結構化資料集合。</w:t>
            </w:r>
          </w:p>
        </w:tc>
        <w:tc>
          <w:tcPr>
            <w:tcW w:w="3312" w:type="dxa"/>
            <w:tcMar>
              <w:top w:w="90" w:type="dxa"/>
              <w:left w:w="100" w:type="dxa"/>
              <w:bottom w:w="90" w:type="dxa"/>
              <w:right w:w="100" w:type="dxa"/>
            </w:tcMar>
            <w:vAlign w:val="center"/>
          </w:tcPr>
          <w:p w14:paraId="54F37B60" w14:textId="77777777" w:rsidR="0084721C" w:rsidRDefault="009B07FB">
            <w:pPr>
              <w:spacing w:line="252" w:lineRule="auto"/>
              <w:rPr>
                <w:lang w:eastAsia="zh-TW"/>
              </w:rPr>
            </w:pPr>
            <w:proofErr w:type="gramStart"/>
            <w:r>
              <w:rPr>
                <w:sz w:val="17"/>
                <w:lang w:eastAsia="zh-TW"/>
              </w:rPr>
              <w:t>法域、</w:t>
            </w:r>
            <w:proofErr w:type="gramEnd"/>
            <w:r>
              <w:rPr>
                <w:sz w:val="17"/>
                <w:lang w:eastAsia="zh-TW"/>
              </w:rPr>
              <w:t>權利來源、資料流、契約、日誌、決定理由、停止與補救紀錄。</w:t>
            </w:r>
          </w:p>
        </w:tc>
      </w:tr>
    </w:tbl>
    <w:p w14:paraId="3AD2876D" w14:textId="77777777" w:rsidR="0084721C" w:rsidRDefault="0084721C">
      <w:pPr>
        <w:spacing w:after="40"/>
        <w:rPr>
          <w:lang w:eastAsia="zh-TW"/>
        </w:rPr>
      </w:pPr>
    </w:p>
    <w:p w14:paraId="39A23831" w14:textId="77777777" w:rsidR="0084721C" w:rsidRDefault="009B07FB">
      <w:pPr>
        <w:spacing w:after="120" w:line="324" w:lineRule="auto"/>
        <w:rPr>
          <w:lang w:eastAsia="zh-TW"/>
        </w:rPr>
      </w:pPr>
      <w:r>
        <w:rPr>
          <w:lang w:eastAsia="zh-TW"/>
        </w:rPr>
        <w:lastRenderedPageBreak/>
        <w:t>標題中的「世界」是境外權利人、外國企業、資料庫與模型提供者、合作政府、國際供應鏈及經貿／技術合作機構；本文不替法院或仲裁庭判定侵權，而是檢驗政府能否向這些具體對象提出可被理解與查核的行政證據。</w:t>
      </w:r>
    </w:p>
    <w:p w14:paraId="1F52703E" w14:textId="77777777" w:rsidR="0084721C" w:rsidRDefault="009B07FB">
      <w:pPr>
        <w:spacing w:after="120" w:line="324" w:lineRule="auto"/>
        <w:rPr>
          <w:lang w:eastAsia="zh-TW"/>
        </w:rPr>
      </w:pPr>
      <w:r>
        <w:rPr>
          <w:lang w:eastAsia="zh-TW"/>
        </w:rPr>
        <w:t>「權利</w:t>
      </w:r>
      <w:proofErr w:type="gramStart"/>
      <w:r>
        <w:rPr>
          <w:lang w:eastAsia="zh-TW"/>
        </w:rPr>
        <w:t>來源洗淡</w:t>
      </w:r>
      <w:proofErr w:type="gramEnd"/>
      <w:r>
        <w:rPr>
          <w:lang w:eastAsia="zh-TW"/>
        </w:rPr>
        <w:t>」不是「資料來源不明」的修辭替代，而是資料血緣、供應鏈追溯、授權鏈中斷與權利管理資訊消失在</w:t>
      </w:r>
      <w:r>
        <w:rPr>
          <w:lang w:eastAsia="zh-TW"/>
        </w:rPr>
        <w:t>AI</w:t>
      </w:r>
      <w:r>
        <w:rPr>
          <w:lang w:eastAsia="zh-TW"/>
        </w:rPr>
        <w:t>處理流程中的累積結果。它是一個可反證的診斷概念：若機關或供應商能在合理期間重建權利人、用途、</w:t>
      </w:r>
      <w:proofErr w:type="gramStart"/>
      <w:r>
        <w:rPr>
          <w:lang w:eastAsia="zh-TW"/>
        </w:rPr>
        <w:t>法域與</w:t>
      </w:r>
      <w:proofErr w:type="gramEnd"/>
      <w:r>
        <w:rPr>
          <w:lang w:eastAsia="zh-TW"/>
        </w:rPr>
        <w:t>再利用限制，本文即不判定</w:t>
      </w:r>
      <w:proofErr w:type="gramStart"/>
      <w:r>
        <w:rPr>
          <w:lang w:eastAsia="zh-TW"/>
        </w:rPr>
        <w:t>為洗</w:t>
      </w:r>
      <w:proofErr w:type="gramEnd"/>
      <w:r>
        <w:rPr>
          <w:lang w:eastAsia="zh-TW"/>
        </w:rPr>
        <w:t>淡。</w:t>
      </w:r>
    </w:p>
    <w:p w14:paraId="38A8B618" w14:textId="77777777" w:rsidR="0084721C" w:rsidRDefault="009B07FB">
      <w:pPr>
        <w:spacing w:after="120" w:line="324" w:lineRule="auto"/>
        <w:rPr>
          <w:lang w:eastAsia="zh-TW"/>
        </w:rPr>
      </w:pPr>
      <w:r>
        <w:rPr>
          <w:lang w:eastAsia="zh-TW"/>
        </w:rPr>
        <w:t>資料血緣（</w:t>
      </w:r>
      <w:r>
        <w:rPr>
          <w:lang w:eastAsia="zh-TW"/>
        </w:rPr>
        <w:t>data provenance</w:t>
      </w:r>
      <w:r>
        <w:rPr>
          <w:lang w:eastAsia="zh-TW"/>
        </w:rPr>
        <w:t>）研究本就關切資料從何而來、經何種轉換</w:t>
      </w:r>
      <w:r>
        <w:rPr>
          <w:lang w:eastAsia="zh-TW"/>
        </w:rPr>
        <w:t>與由誰處理（</w:t>
      </w:r>
      <w:proofErr w:type="spellStart"/>
      <w:r>
        <w:rPr>
          <w:lang w:eastAsia="zh-TW"/>
        </w:rPr>
        <w:t>Simmhan</w:t>
      </w:r>
      <w:proofErr w:type="spellEnd"/>
      <w:r>
        <w:rPr>
          <w:lang w:eastAsia="zh-TW"/>
        </w:rPr>
        <w:t xml:space="preserve">, </w:t>
      </w:r>
      <w:proofErr w:type="spellStart"/>
      <w:r>
        <w:rPr>
          <w:lang w:eastAsia="zh-TW"/>
        </w:rPr>
        <w:t>Plale</w:t>
      </w:r>
      <w:proofErr w:type="spellEnd"/>
      <w:r>
        <w:rPr>
          <w:lang w:eastAsia="zh-TW"/>
        </w:rPr>
        <w:t>, &amp; Gannon, 2005</w:t>
      </w:r>
      <w:r>
        <w:rPr>
          <w:lang w:eastAsia="zh-TW"/>
        </w:rPr>
        <w:t>）。本文將此技術性追溯問題置入權利與行政責任脈絡：追不到來源不只妨礙系統除錯，也使機關無法說明取得與再利用的正當性。</w:t>
      </w:r>
    </w:p>
    <w:p w14:paraId="3B5E79B5" w14:textId="77777777" w:rsidR="0084721C" w:rsidRDefault="009B07FB">
      <w:pPr>
        <w:spacing w:after="120" w:line="324" w:lineRule="auto"/>
        <w:rPr>
          <w:lang w:eastAsia="zh-TW"/>
        </w:rPr>
      </w:pPr>
      <w:r>
        <w:rPr>
          <w:lang w:eastAsia="zh-TW"/>
        </w:rPr>
        <w:t>國家回應能力以</w:t>
      </w:r>
      <w:proofErr w:type="gramStart"/>
      <w:r>
        <w:rPr>
          <w:lang w:eastAsia="zh-TW"/>
        </w:rPr>
        <w:t>五項構</w:t>
      </w:r>
      <w:proofErr w:type="gramEnd"/>
      <w:r>
        <w:rPr>
          <w:lang w:eastAsia="zh-TW"/>
        </w:rPr>
        <w:t>面觀察，而非以抽象的「政府重視」判斷：辨識（能否盤點資料、模型、</w:t>
      </w:r>
      <w:r>
        <w:rPr>
          <w:lang w:eastAsia="zh-TW"/>
        </w:rPr>
        <w:t>API</w:t>
      </w:r>
      <w:r>
        <w:rPr>
          <w:lang w:eastAsia="zh-TW"/>
        </w:rPr>
        <w:t>與供應商鏈）、決策（能否作成</w:t>
      </w:r>
      <w:r>
        <w:rPr>
          <w:lang w:eastAsia="zh-TW"/>
        </w:rPr>
        <w:t>Go</w:t>
      </w:r>
      <w:r>
        <w:rPr>
          <w:lang w:eastAsia="zh-TW"/>
        </w:rPr>
        <w:t>／</w:t>
      </w:r>
      <w:r>
        <w:rPr>
          <w:lang w:eastAsia="zh-TW"/>
        </w:rPr>
        <w:t>Conditional</w:t>
      </w:r>
      <w:r>
        <w:rPr>
          <w:lang w:eastAsia="zh-TW"/>
        </w:rPr>
        <w:t>／</w:t>
      </w:r>
      <w:r>
        <w:rPr>
          <w:lang w:eastAsia="zh-TW"/>
        </w:rPr>
        <w:t>No-Go</w:t>
      </w:r>
      <w:r>
        <w:rPr>
          <w:lang w:eastAsia="zh-TW"/>
        </w:rPr>
        <w:t>／</w:t>
      </w:r>
      <w:r>
        <w:rPr>
          <w:lang w:eastAsia="zh-TW"/>
        </w:rPr>
        <w:t>Stop</w:t>
      </w:r>
      <w:r>
        <w:rPr>
          <w:lang w:eastAsia="zh-TW"/>
        </w:rPr>
        <w:t>）、執行（能否實際停止或隔離）、說明（能否提出可核對的理由與證據）、補救（能否移除、通知、修正、重訓、重評選或處理契約）。</w:t>
      </w:r>
      <w:proofErr w:type="gramStart"/>
      <w:r>
        <w:rPr>
          <w:lang w:eastAsia="zh-TW"/>
        </w:rPr>
        <w:t>五項均非必然</w:t>
      </w:r>
      <w:proofErr w:type="gramEnd"/>
      <w:r>
        <w:rPr>
          <w:lang w:eastAsia="zh-TW"/>
        </w:rPr>
        <w:t>數值化，卻構成本文判</w:t>
      </w:r>
      <w:r>
        <w:rPr>
          <w:lang w:eastAsia="zh-TW"/>
        </w:rPr>
        <w:t>斷能力不足的最小準則。</w:t>
      </w:r>
    </w:p>
    <w:p w14:paraId="326FD711" w14:textId="77777777" w:rsidR="0084721C" w:rsidRDefault="009B07FB">
      <w:pPr>
        <w:spacing w:after="120" w:line="324" w:lineRule="auto"/>
        <w:rPr>
          <w:lang w:eastAsia="zh-TW"/>
        </w:rPr>
      </w:pPr>
      <w:r>
        <w:rPr>
          <w:lang w:eastAsia="zh-TW"/>
        </w:rPr>
        <w:t>不同技術動作不應被合併成「放進</w:t>
      </w:r>
      <w:r>
        <w:rPr>
          <w:lang w:eastAsia="zh-TW"/>
        </w:rPr>
        <w:t>AI</w:t>
      </w:r>
      <w:r>
        <w:rPr>
          <w:lang w:eastAsia="zh-TW"/>
        </w:rPr>
        <w:t>」。同一來源在不同處理階段，權利風險、證據要求與停止方式均不同；下表是本文採取的最低區分。</w:t>
      </w:r>
    </w:p>
    <w:tbl>
      <w:tblPr>
        <w:tblStyle w:val="aff2"/>
        <w:tblW w:w="0" w:type="auto"/>
        <w:jc w:val="center"/>
        <w:tblLook w:val="04A0" w:firstRow="1" w:lastRow="0" w:firstColumn="1" w:lastColumn="0" w:noHBand="0" w:noVBand="1"/>
      </w:tblPr>
      <w:tblGrid>
        <w:gridCol w:w="3312"/>
        <w:gridCol w:w="3312"/>
        <w:gridCol w:w="3312"/>
      </w:tblGrid>
      <w:tr w:rsidR="0084721C" w14:paraId="146D16EE" w14:textId="77777777">
        <w:trPr>
          <w:jc w:val="center"/>
        </w:trPr>
        <w:tc>
          <w:tcPr>
            <w:tcW w:w="3312" w:type="dxa"/>
            <w:shd w:val="clear" w:color="auto" w:fill="DCE6F2"/>
            <w:tcMar>
              <w:top w:w="90" w:type="dxa"/>
              <w:left w:w="100" w:type="dxa"/>
              <w:bottom w:w="90" w:type="dxa"/>
              <w:right w:w="100" w:type="dxa"/>
            </w:tcMar>
            <w:vAlign w:val="center"/>
          </w:tcPr>
          <w:p w14:paraId="079A7781" w14:textId="77777777" w:rsidR="0084721C" w:rsidRDefault="009B07FB">
            <w:pPr>
              <w:spacing w:line="252" w:lineRule="auto"/>
            </w:pPr>
            <w:proofErr w:type="spellStart"/>
            <w:r>
              <w:rPr>
                <w:b/>
                <w:sz w:val="17"/>
              </w:rPr>
              <w:t>技術動作</w:t>
            </w:r>
            <w:proofErr w:type="spellEnd"/>
          </w:p>
        </w:tc>
        <w:tc>
          <w:tcPr>
            <w:tcW w:w="3312" w:type="dxa"/>
            <w:shd w:val="clear" w:color="auto" w:fill="DCE6F2"/>
            <w:tcMar>
              <w:top w:w="90" w:type="dxa"/>
              <w:left w:w="100" w:type="dxa"/>
              <w:bottom w:w="90" w:type="dxa"/>
              <w:right w:w="100" w:type="dxa"/>
            </w:tcMar>
            <w:vAlign w:val="center"/>
          </w:tcPr>
          <w:p w14:paraId="4BE7388D" w14:textId="77777777" w:rsidR="0084721C" w:rsidRDefault="009B07FB">
            <w:pPr>
              <w:spacing w:line="252" w:lineRule="auto"/>
              <w:rPr>
                <w:lang w:eastAsia="zh-TW"/>
              </w:rPr>
            </w:pPr>
            <w:r>
              <w:rPr>
                <w:b/>
                <w:sz w:val="17"/>
                <w:lang w:eastAsia="zh-TW"/>
              </w:rPr>
              <w:t>對權利來源的核心問題</w:t>
            </w:r>
          </w:p>
        </w:tc>
        <w:tc>
          <w:tcPr>
            <w:tcW w:w="3312" w:type="dxa"/>
            <w:shd w:val="clear" w:color="auto" w:fill="DCE6F2"/>
            <w:tcMar>
              <w:top w:w="90" w:type="dxa"/>
              <w:left w:w="100" w:type="dxa"/>
              <w:bottom w:w="90" w:type="dxa"/>
              <w:right w:w="100" w:type="dxa"/>
            </w:tcMar>
            <w:vAlign w:val="center"/>
          </w:tcPr>
          <w:p w14:paraId="007144E8" w14:textId="77777777" w:rsidR="0084721C" w:rsidRDefault="009B07FB">
            <w:pPr>
              <w:spacing w:line="252" w:lineRule="auto"/>
            </w:pPr>
            <w:proofErr w:type="spellStart"/>
            <w:r>
              <w:rPr>
                <w:b/>
                <w:sz w:val="17"/>
              </w:rPr>
              <w:t>最小停止／保全單位</w:t>
            </w:r>
            <w:proofErr w:type="spellEnd"/>
          </w:p>
        </w:tc>
      </w:tr>
      <w:tr w:rsidR="0084721C" w14:paraId="2FE023A7" w14:textId="77777777">
        <w:trPr>
          <w:jc w:val="center"/>
        </w:trPr>
        <w:tc>
          <w:tcPr>
            <w:tcW w:w="3312" w:type="dxa"/>
            <w:tcMar>
              <w:top w:w="90" w:type="dxa"/>
              <w:left w:w="100" w:type="dxa"/>
              <w:bottom w:w="90" w:type="dxa"/>
              <w:right w:w="100" w:type="dxa"/>
            </w:tcMar>
            <w:vAlign w:val="center"/>
          </w:tcPr>
          <w:p w14:paraId="3815671A" w14:textId="77777777" w:rsidR="0084721C" w:rsidRDefault="009B07FB">
            <w:pPr>
              <w:spacing w:line="252" w:lineRule="auto"/>
            </w:pPr>
            <w:r>
              <w:rPr>
                <w:sz w:val="17"/>
              </w:rPr>
              <w:t>訓練</w:t>
            </w:r>
          </w:p>
        </w:tc>
        <w:tc>
          <w:tcPr>
            <w:tcW w:w="3312" w:type="dxa"/>
            <w:tcMar>
              <w:top w:w="90" w:type="dxa"/>
              <w:left w:w="100" w:type="dxa"/>
              <w:bottom w:w="90" w:type="dxa"/>
              <w:right w:w="100" w:type="dxa"/>
            </w:tcMar>
            <w:vAlign w:val="center"/>
          </w:tcPr>
          <w:p w14:paraId="28213018" w14:textId="77777777" w:rsidR="0084721C" w:rsidRDefault="009B07FB">
            <w:pPr>
              <w:spacing w:line="252" w:lineRule="auto"/>
              <w:rPr>
                <w:lang w:eastAsia="zh-TW"/>
              </w:rPr>
            </w:pPr>
            <w:r>
              <w:rPr>
                <w:sz w:val="17"/>
                <w:lang w:eastAsia="zh-TW"/>
              </w:rPr>
              <w:t>是否有將資料作為模型學習材料的授權或法定依據？</w:t>
            </w:r>
          </w:p>
        </w:tc>
        <w:tc>
          <w:tcPr>
            <w:tcW w:w="3312" w:type="dxa"/>
            <w:tcMar>
              <w:top w:w="90" w:type="dxa"/>
              <w:left w:w="100" w:type="dxa"/>
              <w:bottom w:w="90" w:type="dxa"/>
              <w:right w:w="100" w:type="dxa"/>
            </w:tcMar>
            <w:vAlign w:val="center"/>
          </w:tcPr>
          <w:p w14:paraId="1C3ECA35" w14:textId="77777777" w:rsidR="0084721C" w:rsidRDefault="009B07FB">
            <w:pPr>
              <w:spacing w:line="252" w:lineRule="auto"/>
              <w:rPr>
                <w:lang w:eastAsia="zh-TW"/>
              </w:rPr>
            </w:pPr>
            <w:r>
              <w:rPr>
                <w:sz w:val="17"/>
                <w:lang w:eastAsia="zh-TW"/>
              </w:rPr>
              <w:t>訓練工作、資料集版本、權重版本與訓練日誌。</w:t>
            </w:r>
          </w:p>
        </w:tc>
      </w:tr>
      <w:tr w:rsidR="0084721C" w14:paraId="1453C6CD" w14:textId="77777777">
        <w:trPr>
          <w:jc w:val="center"/>
        </w:trPr>
        <w:tc>
          <w:tcPr>
            <w:tcW w:w="3312" w:type="dxa"/>
            <w:tcMar>
              <w:top w:w="90" w:type="dxa"/>
              <w:left w:w="100" w:type="dxa"/>
              <w:bottom w:w="90" w:type="dxa"/>
              <w:right w:w="100" w:type="dxa"/>
            </w:tcMar>
            <w:vAlign w:val="center"/>
          </w:tcPr>
          <w:p w14:paraId="44C493B0" w14:textId="77777777" w:rsidR="0084721C" w:rsidRDefault="009B07FB">
            <w:pPr>
              <w:spacing w:line="252" w:lineRule="auto"/>
            </w:pPr>
            <w:proofErr w:type="spellStart"/>
            <w:r>
              <w:rPr>
                <w:sz w:val="17"/>
              </w:rPr>
              <w:t>微調</w:t>
            </w:r>
            <w:proofErr w:type="spellEnd"/>
          </w:p>
        </w:tc>
        <w:tc>
          <w:tcPr>
            <w:tcW w:w="3312" w:type="dxa"/>
            <w:tcMar>
              <w:top w:w="90" w:type="dxa"/>
              <w:left w:w="100" w:type="dxa"/>
              <w:bottom w:w="90" w:type="dxa"/>
              <w:right w:w="100" w:type="dxa"/>
            </w:tcMar>
            <w:vAlign w:val="center"/>
          </w:tcPr>
          <w:p w14:paraId="44628E7E" w14:textId="77777777" w:rsidR="0084721C" w:rsidRDefault="009B07FB">
            <w:pPr>
              <w:spacing w:line="252" w:lineRule="auto"/>
              <w:rPr>
                <w:lang w:eastAsia="zh-TW"/>
              </w:rPr>
            </w:pPr>
            <w:r>
              <w:rPr>
                <w:sz w:val="17"/>
                <w:lang w:eastAsia="zh-TW"/>
              </w:rPr>
              <w:t>基礎模型可用，是否仍涵蓋特定領域資料再訓練與商業／公共部署？</w:t>
            </w:r>
          </w:p>
        </w:tc>
        <w:tc>
          <w:tcPr>
            <w:tcW w:w="3312" w:type="dxa"/>
            <w:tcMar>
              <w:top w:w="90" w:type="dxa"/>
              <w:left w:w="100" w:type="dxa"/>
              <w:bottom w:w="90" w:type="dxa"/>
              <w:right w:w="100" w:type="dxa"/>
            </w:tcMar>
            <w:vAlign w:val="center"/>
          </w:tcPr>
          <w:p w14:paraId="14016386" w14:textId="77777777" w:rsidR="0084721C" w:rsidRDefault="009B07FB">
            <w:pPr>
              <w:spacing w:line="252" w:lineRule="auto"/>
            </w:pPr>
            <w:proofErr w:type="spellStart"/>
            <w:r>
              <w:rPr>
                <w:sz w:val="17"/>
              </w:rPr>
              <w:t>微調資料集、</w:t>
            </w:r>
            <w:r>
              <w:rPr>
                <w:sz w:val="17"/>
              </w:rPr>
              <w:t>checkpoint</w:t>
            </w:r>
            <w:r>
              <w:rPr>
                <w:sz w:val="17"/>
              </w:rPr>
              <w:t>、部署版本與衍生權重</w:t>
            </w:r>
            <w:proofErr w:type="spellEnd"/>
            <w:r>
              <w:rPr>
                <w:sz w:val="17"/>
              </w:rPr>
              <w:t>。</w:t>
            </w:r>
          </w:p>
        </w:tc>
      </w:tr>
      <w:tr w:rsidR="0084721C" w14:paraId="47B525F0" w14:textId="77777777">
        <w:trPr>
          <w:jc w:val="center"/>
        </w:trPr>
        <w:tc>
          <w:tcPr>
            <w:tcW w:w="3312" w:type="dxa"/>
            <w:tcMar>
              <w:top w:w="90" w:type="dxa"/>
              <w:left w:w="100" w:type="dxa"/>
              <w:bottom w:w="90" w:type="dxa"/>
              <w:right w:w="100" w:type="dxa"/>
            </w:tcMar>
            <w:vAlign w:val="center"/>
          </w:tcPr>
          <w:p w14:paraId="6CFE6602" w14:textId="77777777" w:rsidR="0084721C" w:rsidRDefault="009B07FB">
            <w:pPr>
              <w:spacing w:line="252" w:lineRule="auto"/>
            </w:pPr>
            <w:r>
              <w:rPr>
                <w:sz w:val="17"/>
              </w:rPr>
              <w:t>RAG</w:t>
            </w:r>
            <w:r>
              <w:rPr>
                <w:sz w:val="17"/>
              </w:rPr>
              <w:t>檢索</w:t>
            </w:r>
          </w:p>
        </w:tc>
        <w:tc>
          <w:tcPr>
            <w:tcW w:w="3312" w:type="dxa"/>
            <w:tcMar>
              <w:top w:w="90" w:type="dxa"/>
              <w:left w:w="100" w:type="dxa"/>
              <w:bottom w:w="90" w:type="dxa"/>
              <w:right w:w="100" w:type="dxa"/>
            </w:tcMar>
            <w:vAlign w:val="center"/>
          </w:tcPr>
          <w:p w14:paraId="769C5C20" w14:textId="77777777" w:rsidR="0084721C" w:rsidRDefault="009B07FB">
            <w:pPr>
              <w:spacing w:line="252" w:lineRule="auto"/>
              <w:rPr>
                <w:lang w:eastAsia="zh-TW"/>
              </w:rPr>
            </w:pPr>
            <w:r>
              <w:rPr>
                <w:sz w:val="17"/>
                <w:lang w:eastAsia="zh-TW"/>
              </w:rPr>
              <w:t>可閱覽或下載，是否允許切塊、向量化、索引、</w:t>
            </w:r>
            <w:proofErr w:type="gramStart"/>
            <w:r>
              <w:rPr>
                <w:sz w:val="17"/>
                <w:lang w:eastAsia="zh-TW"/>
              </w:rPr>
              <w:t>檢索與供公共</w:t>
            </w:r>
            <w:proofErr w:type="gramEnd"/>
            <w:r>
              <w:rPr>
                <w:sz w:val="17"/>
                <w:lang w:eastAsia="zh-TW"/>
              </w:rPr>
              <w:t>決策使用？</w:t>
            </w:r>
          </w:p>
        </w:tc>
        <w:tc>
          <w:tcPr>
            <w:tcW w:w="3312" w:type="dxa"/>
            <w:tcMar>
              <w:top w:w="90" w:type="dxa"/>
              <w:left w:w="100" w:type="dxa"/>
              <w:bottom w:w="90" w:type="dxa"/>
              <w:right w:w="100" w:type="dxa"/>
            </w:tcMar>
            <w:vAlign w:val="center"/>
          </w:tcPr>
          <w:p w14:paraId="67872C23" w14:textId="77777777" w:rsidR="0084721C" w:rsidRDefault="009B07FB">
            <w:pPr>
              <w:spacing w:line="252" w:lineRule="auto"/>
              <w:rPr>
                <w:lang w:eastAsia="zh-TW"/>
              </w:rPr>
            </w:pPr>
            <w:r>
              <w:rPr>
                <w:sz w:val="17"/>
                <w:lang w:eastAsia="zh-TW"/>
              </w:rPr>
              <w:t>特定來源、切塊、向量索引、快取與檢索功能。</w:t>
            </w:r>
          </w:p>
        </w:tc>
      </w:tr>
      <w:tr w:rsidR="0084721C" w14:paraId="30F2663C" w14:textId="77777777">
        <w:trPr>
          <w:jc w:val="center"/>
        </w:trPr>
        <w:tc>
          <w:tcPr>
            <w:tcW w:w="3312" w:type="dxa"/>
            <w:tcMar>
              <w:top w:w="90" w:type="dxa"/>
              <w:left w:w="100" w:type="dxa"/>
              <w:bottom w:w="90" w:type="dxa"/>
              <w:right w:w="100" w:type="dxa"/>
            </w:tcMar>
            <w:vAlign w:val="center"/>
          </w:tcPr>
          <w:p w14:paraId="0B7D3F42" w14:textId="77777777" w:rsidR="0084721C" w:rsidRDefault="009B07FB">
            <w:pPr>
              <w:spacing w:line="252" w:lineRule="auto"/>
            </w:pPr>
            <w:proofErr w:type="spellStart"/>
            <w:r>
              <w:rPr>
                <w:sz w:val="17"/>
              </w:rPr>
              <w:t>外部</w:t>
            </w:r>
            <w:r>
              <w:rPr>
                <w:sz w:val="17"/>
              </w:rPr>
              <w:t>API</w:t>
            </w:r>
            <w:proofErr w:type="spellEnd"/>
          </w:p>
        </w:tc>
        <w:tc>
          <w:tcPr>
            <w:tcW w:w="3312" w:type="dxa"/>
            <w:tcMar>
              <w:top w:w="90" w:type="dxa"/>
              <w:left w:w="100" w:type="dxa"/>
              <w:bottom w:w="90" w:type="dxa"/>
              <w:right w:w="100" w:type="dxa"/>
            </w:tcMar>
            <w:vAlign w:val="center"/>
          </w:tcPr>
          <w:p w14:paraId="5EF07D00" w14:textId="77777777" w:rsidR="0084721C" w:rsidRDefault="009B07FB">
            <w:pPr>
              <w:spacing w:line="252" w:lineRule="auto"/>
              <w:rPr>
                <w:lang w:eastAsia="zh-TW"/>
              </w:rPr>
            </w:pPr>
            <w:r>
              <w:rPr>
                <w:sz w:val="17"/>
                <w:lang w:eastAsia="zh-TW"/>
              </w:rPr>
              <w:t>資料、提示詞或輸出是否跨境傳送；服務條款是否允許供應商留存或再利用？</w:t>
            </w:r>
          </w:p>
        </w:tc>
        <w:tc>
          <w:tcPr>
            <w:tcW w:w="3312" w:type="dxa"/>
            <w:tcMar>
              <w:top w:w="90" w:type="dxa"/>
              <w:left w:w="100" w:type="dxa"/>
              <w:bottom w:w="90" w:type="dxa"/>
              <w:right w:w="100" w:type="dxa"/>
            </w:tcMar>
            <w:vAlign w:val="center"/>
          </w:tcPr>
          <w:p w14:paraId="4AF8416A" w14:textId="77777777" w:rsidR="0084721C" w:rsidRDefault="009B07FB">
            <w:pPr>
              <w:spacing w:line="252" w:lineRule="auto"/>
              <w:rPr>
                <w:lang w:eastAsia="zh-TW"/>
              </w:rPr>
            </w:pPr>
            <w:r>
              <w:rPr>
                <w:sz w:val="17"/>
                <w:lang w:eastAsia="zh-TW"/>
              </w:rPr>
              <w:t>API</w:t>
            </w:r>
            <w:r>
              <w:rPr>
                <w:sz w:val="17"/>
                <w:lang w:eastAsia="zh-TW"/>
              </w:rPr>
              <w:t>金</w:t>
            </w:r>
            <w:proofErr w:type="gramStart"/>
            <w:r>
              <w:rPr>
                <w:sz w:val="17"/>
                <w:lang w:eastAsia="zh-TW"/>
              </w:rPr>
              <w:t>鑰</w:t>
            </w:r>
            <w:proofErr w:type="gramEnd"/>
            <w:r>
              <w:rPr>
                <w:sz w:val="17"/>
                <w:lang w:eastAsia="zh-TW"/>
              </w:rPr>
              <w:t>、路由、傳送工作、供應商留存設定與日誌。</w:t>
            </w:r>
          </w:p>
        </w:tc>
      </w:tr>
      <w:tr w:rsidR="0084721C" w14:paraId="3BD2C2D3" w14:textId="77777777">
        <w:trPr>
          <w:jc w:val="center"/>
        </w:trPr>
        <w:tc>
          <w:tcPr>
            <w:tcW w:w="3312" w:type="dxa"/>
            <w:tcMar>
              <w:top w:w="90" w:type="dxa"/>
              <w:left w:w="100" w:type="dxa"/>
              <w:bottom w:w="90" w:type="dxa"/>
              <w:right w:w="100" w:type="dxa"/>
            </w:tcMar>
            <w:vAlign w:val="center"/>
          </w:tcPr>
          <w:p w14:paraId="5E48E6C2" w14:textId="77777777" w:rsidR="0084721C" w:rsidRDefault="009B07FB">
            <w:pPr>
              <w:spacing w:line="252" w:lineRule="auto"/>
            </w:pPr>
            <w:proofErr w:type="spellStart"/>
            <w:r>
              <w:rPr>
                <w:sz w:val="17"/>
              </w:rPr>
              <w:t>輸出生成</w:t>
            </w:r>
            <w:proofErr w:type="spellEnd"/>
          </w:p>
        </w:tc>
        <w:tc>
          <w:tcPr>
            <w:tcW w:w="3312" w:type="dxa"/>
            <w:tcMar>
              <w:top w:w="90" w:type="dxa"/>
              <w:left w:w="100" w:type="dxa"/>
              <w:bottom w:w="90" w:type="dxa"/>
              <w:right w:w="100" w:type="dxa"/>
            </w:tcMar>
            <w:vAlign w:val="center"/>
          </w:tcPr>
          <w:p w14:paraId="2DC98DF3" w14:textId="77777777" w:rsidR="0084721C" w:rsidRDefault="009B07FB">
            <w:pPr>
              <w:spacing w:line="252" w:lineRule="auto"/>
              <w:rPr>
                <w:lang w:eastAsia="zh-TW"/>
              </w:rPr>
            </w:pPr>
            <w:r>
              <w:rPr>
                <w:sz w:val="17"/>
                <w:lang w:eastAsia="zh-TW"/>
              </w:rPr>
              <w:t>輸出是否重現、改作或揭露受保護內容；是否被用於評選、決策或對外服務？</w:t>
            </w:r>
          </w:p>
        </w:tc>
        <w:tc>
          <w:tcPr>
            <w:tcW w:w="3312" w:type="dxa"/>
            <w:tcMar>
              <w:top w:w="90" w:type="dxa"/>
              <w:left w:w="100" w:type="dxa"/>
              <w:bottom w:w="90" w:type="dxa"/>
              <w:right w:w="100" w:type="dxa"/>
            </w:tcMar>
            <w:vAlign w:val="center"/>
          </w:tcPr>
          <w:p w14:paraId="28576537" w14:textId="77777777" w:rsidR="0084721C" w:rsidRDefault="009B07FB">
            <w:pPr>
              <w:spacing w:line="252" w:lineRule="auto"/>
              <w:rPr>
                <w:lang w:eastAsia="zh-TW"/>
              </w:rPr>
            </w:pPr>
            <w:r>
              <w:rPr>
                <w:sz w:val="17"/>
                <w:lang w:eastAsia="zh-TW"/>
              </w:rPr>
              <w:t>產出功能、特定提示範本、輸出快取與使用紀錄。</w:t>
            </w:r>
          </w:p>
        </w:tc>
      </w:tr>
    </w:tbl>
    <w:p w14:paraId="1F88FC4F" w14:textId="77777777" w:rsidR="0084721C" w:rsidRDefault="0084721C">
      <w:pPr>
        <w:spacing w:after="40"/>
        <w:rPr>
          <w:lang w:eastAsia="zh-TW"/>
        </w:rPr>
      </w:pPr>
    </w:p>
    <w:p w14:paraId="65442C80" w14:textId="77777777" w:rsidR="0084721C" w:rsidRDefault="009B07FB">
      <w:pPr>
        <w:spacing w:after="140" w:line="324" w:lineRule="auto"/>
        <w:rPr>
          <w:lang w:eastAsia="zh-TW"/>
        </w:rPr>
      </w:pPr>
      <w:r>
        <w:rPr>
          <w:b/>
          <w:sz w:val="26"/>
          <w:lang w:eastAsia="zh-TW"/>
        </w:rPr>
        <w:t>三、研究方法：</w:t>
      </w:r>
      <w:r>
        <w:rPr>
          <w:b/>
          <w:sz w:val="26"/>
          <w:lang w:eastAsia="zh-TW"/>
        </w:rPr>
        <w:t>25</w:t>
      </w:r>
      <w:r>
        <w:rPr>
          <w:b/>
          <w:sz w:val="26"/>
          <w:lang w:eastAsia="zh-TW"/>
        </w:rPr>
        <w:t>治理座標、八步驟與兩層壓力測試</w:t>
      </w:r>
    </w:p>
    <w:tbl>
      <w:tblPr>
        <w:tblStyle w:val="aff2"/>
        <w:tblW w:w="0" w:type="auto"/>
        <w:jc w:val="center"/>
        <w:tblLook w:val="04A0" w:firstRow="1" w:lastRow="0" w:firstColumn="1" w:lastColumn="0" w:noHBand="0" w:noVBand="1"/>
      </w:tblPr>
      <w:tblGrid>
        <w:gridCol w:w="3312"/>
        <w:gridCol w:w="3312"/>
        <w:gridCol w:w="3312"/>
      </w:tblGrid>
      <w:tr w:rsidR="0084721C" w14:paraId="7D313865" w14:textId="77777777">
        <w:trPr>
          <w:jc w:val="center"/>
        </w:trPr>
        <w:tc>
          <w:tcPr>
            <w:tcW w:w="3312" w:type="dxa"/>
            <w:shd w:val="clear" w:color="auto" w:fill="DCE6F2"/>
            <w:tcMar>
              <w:top w:w="90" w:type="dxa"/>
              <w:left w:w="100" w:type="dxa"/>
              <w:bottom w:w="90" w:type="dxa"/>
              <w:right w:w="100" w:type="dxa"/>
            </w:tcMar>
            <w:vAlign w:val="center"/>
          </w:tcPr>
          <w:p w14:paraId="036C277C" w14:textId="77777777" w:rsidR="0084721C" w:rsidRDefault="009B07FB">
            <w:pPr>
              <w:spacing w:line="252" w:lineRule="auto"/>
            </w:pPr>
            <w:proofErr w:type="spellStart"/>
            <w:r>
              <w:rPr>
                <w:b/>
                <w:sz w:val="17"/>
              </w:rPr>
              <w:lastRenderedPageBreak/>
              <w:t>比較面向</w:t>
            </w:r>
            <w:proofErr w:type="spellEnd"/>
          </w:p>
        </w:tc>
        <w:tc>
          <w:tcPr>
            <w:tcW w:w="3312" w:type="dxa"/>
            <w:shd w:val="clear" w:color="auto" w:fill="DCE6F2"/>
            <w:tcMar>
              <w:top w:w="90" w:type="dxa"/>
              <w:left w:w="100" w:type="dxa"/>
              <w:bottom w:w="90" w:type="dxa"/>
              <w:right w:w="100" w:type="dxa"/>
            </w:tcMar>
            <w:vAlign w:val="center"/>
          </w:tcPr>
          <w:p w14:paraId="6733729F" w14:textId="77777777" w:rsidR="0084721C" w:rsidRDefault="009B07FB">
            <w:pPr>
              <w:spacing w:line="252" w:lineRule="auto"/>
              <w:rPr>
                <w:lang w:eastAsia="zh-TW"/>
              </w:rPr>
            </w:pPr>
            <w:r>
              <w:rPr>
                <w:b/>
                <w:sz w:val="17"/>
                <w:lang w:eastAsia="zh-TW"/>
              </w:rPr>
              <w:t>第十八篇：國內事前治理</w:t>
            </w:r>
          </w:p>
        </w:tc>
        <w:tc>
          <w:tcPr>
            <w:tcW w:w="3312" w:type="dxa"/>
            <w:shd w:val="clear" w:color="auto" w:fill="DCE6F2"/>
            <w:tcMar>
              <w:top w:w="90" w:type="dxa"/>
              <w:left w:w="100" w:type="dxa"/>
              <w:bottom w:w="90" w:type="dxa"/>
              <w:right w:w="100" w:type="dxa"/>
            </w:tcMar>
            <w:vAlign w:val="center"/>
          </w:tcPr>
          <w:p w14:paraId="3BC12EE7" w14:textId="77777777" w:rsidR="0084721C" w:rsidRDefault="009B07FB">
            <w:pPr>
              <w:spacing w:line="252" w:lineRule="auto"/>
              <w:rPr>
                <w:lang w:eastAsia="zh-TW"/>
              </w:rPr>
            </w:pPr>
            <w:r>
              <w:rPr>
                <w:b/>
                <w:sz w:val="17"/>
                <w:lang w:eastAsia="zh-TW"/>
              </w:rPr>
              <w:t>第十九篇：跨境與國家回應</w:t>
            </w:r>
          </w:p>
        </w:tc>
      </w:tr>
      <w:tr w:rsidR="0084721C" w14:paraId="155B2E7B" w14:textId="77777777">
        <w:trPr>
          <w:jc w:val="center"/>
        </w:trPr>
        <w:tc>
          <w:tcPr>
            <w:tcW w:w="3312" w:type="dxa"/>
            <w:tcMar>
              <w:top w:w="90" w:type="dxa"/>
              <w:left w:w="100" w:type="dxa"/>
              <w:bottom w:w="90" w:type="dxa"/>
              <w:right w:w="100" w:type="dxa"/>
            </w:tcMar>
            <w:vAlign w:val="center"/>
          </w:tcPr>
          <w:p w14:paraId="644D6AC8" w14:textId="77777777" w:rsidR="0084721C" w:rsidRDefault="009B07FB">
            <w:pPr>
              <w:spacing w:line="252" w:lineRule="auto"/>
            </w:pPr>
            <w:proofErr w:type="spellStart"/>
            <w:r>
              <w:rPr>
                <w:sz w:val="17"/>
              </w:rPr>
              <w:t>主問題</w:t>
            </w:r>
            <w:proofErr w:type="spellEnd"/>
          </w:p>
        </w:tc>
        <w:tc>
          <w:tcPr>
            <w:tcW w:w="3312" w:type="dxa"/>
            <w:tcMar>
              <w:top w:w="90" w:type="dxa"/>
              <w:left w:w="100" w:type="dxa"/>
              <w:bottom w:w="90" w:type="dxa"/>
              <w:right w:w="100" w:type="dxa"/>
            </w:tcMar>
            <w:vAlign w:val="center"/>
          </w:tcPr>
          <w:p w14:paraId="090670AC" w14:textId="77777777" w:rsidR="0084721C" w:rsidRDefault="009B07FB">
            <w:pPr>
              <w:spacing w:line="252" w:lineRule="auto"/>
              <w:rPr>
                <w:lang w:eastAsia="zh-TW"/>
              </w:rPr>
            </w:pPr>
            <w:r>
              <w:rPr>
                <w:sz w:val="17"/>
                <w:lang w:eastAsia="zh-TW"/>
              </w:rPr>
              <w:t>政府有沒有權利把第三人內容用於</w:t>
            </w:r>
            <w:r>
              <w:rPr>
                <w:sz w:val="17"/>
                <w:lang w:eastAsia="zh-TW"/>
              </w:rPr>
              <w:t>AI</w:t>
            </w:r>
            <w:r>
              <w:rPr>
                <w:sz w:val="17"/>
                <w:lang w:eastAsia="zh-TW"/>
              </w:rPr>
              <w:t>？</w:t>
            </w:r>
          </w:p>
        </w:tc>
        <w:tc>
          <w:tcPr>
            <w:tcW w:w="3312" w:type="dxa"/>
            <w:tcMar>
              <w:top w:w="90" w:type="dxa"/>
              <w:left w:w="100" w:type="dxa"/>
              <w:bottom w:w="90" w:type="dxa"/>
              <w:right w:w="100" w:type="dxa"/>
            </w:tcMar>
            <w:vAlign w:val="center"/>
          </w:tcPr>
          <w:p w14:paraId="571D2D2E" w14:textId="77777777" w:rsidR="0084721C" w:rsidRDefault="009B07FB">
            <w:pPr>
              <w:spacing w:line="252" w:lineRule="auto"/>
              <w:rPr>
                <w:lang w:eastAsia="zh-TW"/>
              </w:rPr>
            </w:pPr>
            <w:r>
              <w:rPr>
                <w:sz w:val="17"/>
                <w:lang w:eastAsia="zh-TW"/>
              </w:rPr>
              <w:t>當此作法被境外權利人、企業或政府質疑時，誰代表臺灣回答？</w:t>
            </w:r>
          </w:p>
        </w:tc>
      </w:tr>
      <w:tr w:rsidR="0084721C" w14:paraId="128DB2E0" w14:textId="77777777">
        <w:trPr>
          <w:jc w:val="center"/>
        </w:trPr>
        <w:tc>
          <w:tcPr>
            <w:tcW w:w="3312" w:type="dxa"/>
            <w:tcMar>
              <w:top w:w="90" w:type="dxa"/>
              <w:left w:w="100" w:type="dxa"/>
              <w:bottom w:w="90" w:type="dxa"/>
              <w:right w:w="100" w:type="dxa"/>
            </w:tcMar>
            <w:vAlign w:val="center"/>
          </w:tcPr>
          <w:p w14:paraId="6612E652" w14:textId="77777777" w:rsidR="0084721C" w:rsidRDefault="009B07FB">
            <w:pPr>
              <w:spacing w:line="252" w:lineRule="auto"/>
            </w:pPr>
            <w:proofErr w:type="spellStart"/>
            <w:r>
              <w:rPr>
                <w:sz w:val="17"/>
              </w:rPr>
              <w:t>主要場域</w:t>
            </w:r>
            <w:proofErr w:type="spellEnd"/>
          </w:p>
        </w:tc>
        <w:tc>
          <w:tcPr>
            <w:tcW w:w="3312" w:type="dxa"/>
            <w:tcMar>
              <w:top w:w="90" w:type="dxa"/>
              <w:left w:w="100" w:type="dxa"/>
              <w:bottom w:w="90" w:type="dxa"/>
              <w:right w:w="100" w:type="dxa"/>
            </w:tcMar>
            <w:vAlign w:val="center"/>
          </w:tcPr>
          <w:p w14:paraId="7E1AB61F" w14:textId="77777777" w:rsidR="0084721C" w:rsidRDefault="009B07FB">
            <w:pPr>
              <w:spacing w:line="252" w:lineRule="auto"/>
              <w:rPr>
                <w:lang w:eastAsia="zh-TW"/>
              </w:rPr>
            </w:pPr>
            <w:r>
              <w:rPr>
                <w:sz w:val="17"/>
                <w:lang w:eastAsia="zh-TW"/>
              </w:rPr>
              <w:t>資料盤點、採購、試行、驗收、異議處理</w:t>
            </w:r>
          </w:p>
        </w:tc>
        <w:tc>
          <w:tcPr>
            <w:tcW w:w="3312" w:type="dxa"/>
            <w:tcMar>
              <w:top w:w="90" w:type="dxa"/>
              <w:left w:w="100" w:type="dxa"/>
              <w:bottom w:w="90" w:type="dxa"/>
              <w:right w:w="100" w:type="dxa"/>
            </w:tcMar>
            <w:vAlign w:val="center"/>
          </w:tcPr>
          <w:p w14:paraId="61C9B766" w14:textId="77777777" w:rsidR="0084721C" w:rsidRDefault="009B07FB">
            <w:pPr>
              <w:spacing w:line="252" w:lineRule="auto"/>
              <w:rPr>
                <w:lang w:eastAsia="zh-TW"/>
              </w:rPr>
            </w:pPr>
            <w:r>
              <w:rPr>
                <w:sz w:val="17"/>
                <w:lang w:eastAsia="zh-TW"/>
              </w:rPr>
              <w:t>跨境供應鏈、境外權利主張、外國合作方與國家信任</w:t>
            </w:r>
          </w:p>
        </w:tc>
      </w:tr>
      <w:tr w:rsidR="0084721C" w14:paraId="2784E8FA" w14:textId="77777777">
        <w:trPr>
          <w:jc w:val="center"/>
        </w:trPr>
        <w:tc>
          <w:tcPr>
            <w:tcW w:w="3312" w:type="dxa"/>
            <w:tcMar>
              <w:top w:w="90" w:type="dxa"/>
              <w:left w:w="100" w:type="dxa"/>
              <w:bottom w:w="90" w:type="dxa"/>
              <w:right w:w="100" w:type="dxa"/>
            </w:tcMar>
            <w:vAlign w:val="center"/>
          </w:tcPr>
          <w:p w14:paraId="611407A6" w14:textId="77777777" w:rsidR="0084721C" w:rsidRDefault="009B07FB">
            <w:pPr>
              <w:spacing w:line="252" w:lineRule="auto"/>
            </w:pPr>
            <w:proofErr w:type="spellStart"/>
            <w:r>
              <w:rPr>
                <w:sz w:val="17"/>
              </w:rPr>
              <w:t>分析單位</w:t>
            </w:r>
            <w:proofErr w:type="spellEnd"/>
          </w:p>
        </w:tc>
        <w:tc>
          <w:tcPr>
            <w:tcW w:w="3312" w:type="dxa"/>
            <w:tcMar>
              <w:top w:w="90" w:type="dxa"/>
              <w:left w:w="100" w:type="dxa"/>
              <w:bottom w:w="90" w:type="dxa"/>
              <w:right w:w="100" w:type="dxa"/>
            </w:tcMar>
            <w:vAlign w:val="center"/>
          </w:tcPr>
          <w:p w14:paraId="5876680F" w14:textId="77777777" w:rsidR="0084721C" w:rsidRDefault="009B07FB">
            <w:pPr>
              <w:spacing w:line="252" w:lineRule="auto"/>
              <w:rPr>
                <w:lang w:eastAsia="zh-TW"/>
              </w:rPr>
            </w:pPr>
            <w:r>
              <w:rPr>
                <w:sz w:val="17"/>
                <w:lang w:eastAsia="zh-TW"/>
              </w:rPr>
              <w:t>一個政府</w:t>
            </w:r>
            <w:r>
              <w:rPr>
                <w:sz w:val="17"/>
                <w:lang w:eastAsia="zh-TW"/>
              </w:rPr>
              <w:t>AI</w:t>
            </w:r>
            <w:r>
              <w:rPr>
                <w:sz w:val="17"/>
                <w:lang w:eastAsia="zh-TW"/>
              </w:rPr>
              <w:t>系統的行政責任鏈</w:t>
            </w:r>
          </w:p>
        </w:tc>
        <w:tc>
          <w:tcPr>
            <w:tcW w:w="3312" w:type="dxa"/>
            <w:tcMar>
              <w:top w:w="90" w:type="dxa"/>
              <w:left w:w="100" w:type="dxa"/>
              <w:bottom w:w="90" w:type="dxa"/>
              <w:right w:w="100" w:type="dxa"/>
            </w:tcMar>
            <w:vAlign w:val="center"/>
          </w:tcPr>
          <w:p w14:paraId="5182F1D9" w14:textId="77777777" w:rsidR="0084721C" w:rsidRDefault="009B07FB">
            <w:pPr>
              <w:spacing w:line="252" w:lineRule="auto"/>
              <w:rPr>
                <w:lang w:eastAsia="zh-TW"/>
              </w:rPr>
            </w:pPr>
            <w:r>
              <w:rPr>
                <w:sz w:val="17"/>
                <w:lang w:eastAsia="zh-TW"/>
              </w:rPr>
              <w:t>制度性作法、跨機關升級與國家對外回應鏈</w:t>
            </w:r>
          </w:p>
        </w:tc>
      </w:tr>
      <w:tr w:rsidR="0084721C" w14:paraId="5B8CA0D6" w14:textId="77777777">
        <w:trPr>
          <w:jc w:val="center"/>
        </w:trPr>
        <w:tc>
          <w:tcPr>
            <w:tcW w:w="3312" w:type="dxa"/>
            <w:tcMar>
              <w:top w:w="90" w:type="dxa"/>
              <w:left w:w="100" w:type="dxa"/>
              <w:bottom w:w="90" w:type="dxa"/>
              <w:right w:w="100" w:type="dxa"/>
            </w:tcMar>
            <w:vAlign w:val="center"/>
          </w:tcPr>
          <w:p w14:paraId="30EA7BD0" w14:textId="77777777" w:rsidR="0084721C" w:rsidRDefault="009B07FB">
            <w:pPr>
              <w:spacing w:line="252" w:lineRule="auto"/>
            </w:pPr>
            <w:proofErr w:type="spellStart"/>
            <w:r>
              <w:rPr>
                <w:sz w:val="17"/>
              </w:rPr>
              <w:t>核心證據</w:t>
            </w:r>
            <w:proofErr w:type="spellEnd"/>
          </w:p>
        </w:tc>
        <w:tc>
          <w:tcPr>
            <w:tcW w:w="3312" w:type="dxa"/>
            <w:tcMar>
              <w:top w:w="90" w:type="dxa"/>
              <w:left w:w="100" w:type="dxa"/>
              <w:bottom w:w="90" w:type="dxa"/>
              <w:right w:w="100" w:type="dxa"/>
            </w:tcMar>
            <w:vAlign w:val="center"/>
          </w:tcPr>
          <w:p w14:paraId="2E9CAEDC" w14:textId="77777777" w:rsidR="0084721C" w:rsidRDefault="009B07FB">
            <w:pPr>
              <w:spacing w:line="252" w:lineRule="auto"/>
              <w:rPr>
                <w:lang w:eastAsia="zh-TW"/>
              </w:rPr>
            </w:pPr>
            <w:r>
              <w:rPr>
                <w:sz w:val="17"/>
                <w:lang w:eastAsia="zh-TW"/>
              </w:rPr>
              <w:t>來源、授權範圍、用途、供應商義務、停止權</w:t>
            </w:r>
          </w:p>
        </w:tc>
        <w:tc>
          <w:tcPr>
            <w:tcW w:w="3312" w:type="dxa"/>
            <w:tcMar>
              <w:top w:w="90" w:type="dxa"/>
              <w:left w:w="100" w:type="dxa"/>
              <w:bottom w:w="90" w:type="dxa"/>
              <w:right w:w="100" w:type="dxa"/>
            </w:tcMar>
            <w:vAlign w:val="center"/>
          </w:tcPr>
          <w:p w14:paraId="4BECEEA9" w14:textId="77777777" w:rsidR="0084721C" w:rsidRDefault="009B07FB">
            <w:pPr>
              <w:spacing w:line="252" w:lineRule="auto"/>
              <w:rPr>
                <w:lang w:eastAsia="zh-TW"/>
              </w:rPr>
            </w:pPr>
            <w:r>
              <w:rPr>
                <w:sz w:val="17"/>
                <w:lang w:eastAsia="zh-TW"/>
              </w:rPr>
              <w:t>加上</w:t>
            </w:r>
            <w:proofErr w:type="gramStart"/>
            <w:r>
              <w:rPr>
                <w:sz w:val="17"/>
                <w:lang w:eastAsia="zh-TW"/>
              </w:rPr>
              <w:t>法域、</w:t>
            </w:r>
            <w:proofErr w:type="gramEnd"/>
            <w:r>
              <w:rPr>
                <w:sz w:val="17"/>
                <w:lang w:eastAsia="zh-TW"/>
              </w:rPr>
              <w:t>跨境轉移、再授權、分包、對外說明與補救紀錄</w:t>
            </w:r>
          </w:p>
        </w:tc>
      </w:tr>
      <w:tr w:rsidR="0084721C" w14:paraId="4537CAE0" w14:textId="77777777">
        <w:trPr>
          <w:jc w:val="center"/>
        </w:trPr>
        <w:tc>
          <w:tcPr>
            <w:tcW w:w="3312" w:type="dxa"/>
            <w:tcMar>
              <w:top w:w="90" w:type="dxa"/>
              <w:left w:w="100" w:type="dxa"/>
              <w:bottom w:w="90" w:type="dxa"/>
              <w:right w:w="100" w:type="dxa"/>
            </w:tcMar>
            <w:vAlign w:val="center"/>
          </w:tcPr>
          <w:p w14:paraId="3D030A9C" w14:textId="77777777" w:rsidR="0084721C" w:rsidRDefault="009B07FB">
            <w:pPr>
              <w:spacing w:line="252" w:lineRule="auto"/>
            </w:pPr>
            <w:proofErr w:type="spellStart"/>
            <w:r>
              <w:rPr>
                <w:sz w:val="17"/>
              </w:rPr>
              <w:t>失效後果</w:t>
            </w:r>
            <w:proofErr w:type="spellEnd"/>
          </w:p>
        </w:tc>
        <w:tc>
          <w:tcPr>
            <w:tcW w:w="3312" w:type="dxa"/>
            <w:tcMar>
              <w:top w:w="90" w:type="dxa"/>
              <w:left w:w="100" w:type="dxa"/>
              <w:bottom w:w="90" w:type="dxa"/>
              <w:right w:w="100" w:type="dxa"/>
            </w:tcMar>
            <w:vAlign w:val="center"/>
          </w:tcPr>
          <w:p w14:paraId="38BAC67C" w14:textId="77777777" w:rsidR="0084721C" w:rsidRDefault="009B07FB">
            <w:pPr>
              <w:spacing w:line="252" w:lineRule="auto"/>
              <w:rPr>
                <w:lang w:eastAsia="zh-TW"/>
              </w:rPr>
            </w:pPr>
            <w:r>
              <w:rPr>
                <w:sz w:val="17"/>
                <w:lang w:eastAsia="zh-TW"/>
              </w:rPr>
              <w:t>行政說明失敗、侵權爭議與公共信任受損</w:t>
            </w:r>
          </w:p>
        </w:tc>
        <w:tc>
          <w:tcPr>
            <w:tcW w:w="3312" w:type="dxa"/>
            <w:tcMar>
              <w:top w:w="90" w:type="dxa"/>
              <w:left w:w="100" w:type="dxa"/>
              <w:bottom w:w="90" w:type="dxa"/>
              <w:right w:w="100" w:type="dxa"/>
            </w:tcMar>
            <w:vAlign w:val="center"/>
          </w:tcPr>
          <w:p w14:paraId="705D4548" w14:textId="77777777" w:rsidR="0084721C" w:rsidRDefault="009B07FB">
            <w:pPr>
              <w:spacing w:line="252" w:lineRule="auto"/>
              <w:rPr>
                <w:lang w:eastAsia="zh-TW"/>
              </w:rPr>
            </w:pPr>
            <w:r>
              <w:rPr>
                <w:sz w:val="17"/>
                <w:lang w:eastAsia="zh-TW"/>
              </w:rPr>
              <w:t>合作信任流失、跨境爭</w:t>
            </w:r>
            <w:proofErr w:type="gramStart"/>
            <w:r>
              <w:rPr>
                <w:sz w:val="17"/>
                <w:lang w:eastAsia="zh-TW"/>
              </w:rPr>
              <w:t>訟</w:t>
            </w:r>
            <w:proofErr w:type="gramEnd"/>
            <w:r>
              <w:rPr>
                <w:sz w:val="17"/>
                <w:lang w:eastAsia="zh-TW"/>
              </w:rPr>
              <w:t>或仲裁、產業與外交壓力</w:t>
            </w:r>
          </w:p>
        </w:tc>
      </w:tr>
    </w:tbl>
    <w:p w14:paraId="086EC6A0" w14:textId="77777777" w:rsidR="0084721C" w:rsidRDefault="0084721C">
      <w:pPr>
        <w:spacing w:after="40"/>
        <w:rPr>
          <w:lang w:eastAsia="zh-TW"/>
        </w:rPr>
      </w:pPr>
    </w:p>
    <w:p w14:paraId="1CC69409" w14:textId="77777777" w:rsidR="0084721C" w:rsidRDefault="009B07FB">
      <w:pPr>
        <w:spacing w:after="120" w:line="324" w:lineRule="auto"/>
        <w:rPr>
          <w:lang w:eastAsia="zh-TW"/>
        </w:rPr>
      </w:pPr>
      <w:r>
        <w:rPr>
          <w:lang w:eastAsia="zh-TW"/>
        </w:rPr>
        <w:t>第十八篇處理系統</w:t>
      </w:r>
      <w:r>
        <w:rPr>
          <w:lang w:eastAsia="zh-TW"/>
        </w:rPr>
        <w:t>OAC</w:t>
      </w:r>
      <w:r>
        <w:rPr>
          <w:lang w:eastAsia="zh-TW"/>
        </w:rPr>
        <w:t>（來源、範圍、停止）；第十九篇從跨境升級門檻開始，檢驗國家是否能提出可被外部檢驗的行政證據。這不是兩套理論，而是同一壓力測試在不同治理層級的延伸。</w:t>
      </w:r>
    </w:p>
    <w:p w14:paraId="0929E1AF" w14:textId="77777777" w:rsidR="0084721C" w:rsidRDefault="009B07FB">
      <w:pPr>
        <w:spacing w:after="60" w:line="324" w:lineRule="auto"/>
        <w:jc w:val="center"/>
        <w:rPr>
          <w:lang w:eastAsia="zh-TW"/>
        </w:rPr>
      </w:pPr>
      <w:r>
        <w:rPr>
          <w:b/>
          <w:sz w:val="20"/>
          <w:lang w:eastAsia="zh-TW"/>
        </w:rPr>
        <w:t>圖</w:t>
      </w:r>
      <w:r>
        <w:rPr>
          <w:b/>
          <w:sz w:val="20"/>
          <w:lang w:eastAsia="zh-TW"/>
        </w:rPr>
        <w:t>1</w:t>
      </w:r>
      <w:r>
        <w:rPr>
          <w:b/>
          <w:sz w:val="20"/>
          <w:lang w:eastAsia="zh-TW"/>
        </w:rPr>
        <w:t xml:space="preserve">　同一壓力測試的兩層治理：從系統</w:t>
      </w:r>
      <w:r>
        <w:rPr>
          <w:b/>
          <w:sz w:val="20"/>
          <w:lang w:eastAsia="zh-TW"/>
        </w:rPr>
        <w:t>OAC</w:t>
      </w:r>
      <w:r>
        <w:rPr>
          <w:b/>
          <w:sz w:val="20"/>
          <w:lang w:eastAsia="zh-TW"/>
        </w:rPr>
        <w:t>到國家證據包</w:t>
      </w:r>
    </w:p>
    <w:tbl>
      <w:tblPr>
        <w:tblStyle w:val="aff2"/>
        <w:tblW w:w="0" w:type="auto"/>
        <w:jc w:val="center"/>
        <w:tblLook w:val="04A0" w:firstRow="1" w:lastRow="0" w:firstColumn="1" w:lastColumn="0" w:noHBand="0" w:noVBand="1"/>
      </w:tblPr>
      <w:tblGrid>
        <w:gridCol w:w="1987"/>
        <w:gridCol w:w="1987"/>
        <w:gridCol w:w="1987"/>
        <w:gridCol w:w="1987"/>
        <w:gridCol w:w="1987"/>
      </w:tblGrid>
      <w:tr w:rsidR="0084721C" w14:paraId="5A103DCE" w14:textId="77777777">
        <w:trPr>
          <w:jc w:val="center"/>
        </w:trPr>
        <w:tc>
          <w:tcPr>
            <w:tcW w:w="1987" w:type="dxa"/>
            <w:shd w:val="clear" w:color="auto" w:fill="D9EAF7"/>
            <w:tcMar>
              <w:top w:w="90" w:type="dxa"/>
              <w:left w:w="100" w:type="dxa"/>
              <w:bottom w:w="90" w:type="dxa"/>
              <w:right w:w="100" w:type="dxa"/>
            </w:tcMar>
            <w:vAlign w:val="center"/>
          </w:tcPr>
          <w:p w14:paraId="26C3A3D5" w14:textId="77777777" w:rsidR="0084721C" w:rsidRDefault="009B07FB">
            <w:pPr>
              <w:spacing w:line="252" w:lineRule="auto"/>
            </w:pPr>
            <w:proofErr w:type="spellStart"/>
            <w:r>
              <w:rPr>
                <w:b/>
                <w:sz w:val="17"/>
              </w:rPr>
              <w:t>政府</w:t>
            </w:r>
            <w:r>
              <w:rPr>
                <w:b/>
                <w:sz w:val="17"/>
              </w:rPr>
              <w:t>AI</w:t>
            </w:r>
            <w:r>
              <w:rPr>
                <w:b/>
                <w:sz w:val="17"/>
              </w:rPr>
              <w:t>系統</w:t>
            </w:r>
            <w:proofErr w:type="spellEnd"/>
            <w:r>
              <w:rPr>
                <w:b/>
                <w:sz w:val="17"/>
              </w:rPr>
              <w:br/>
              <w:t>↓</w:t>
            </w:r>
          </w:p>
        </w:tc>
        <w:tc>
          <w:tcPr>
            <w:tcW w:w="1987" w:type="dxa"/>
            <w:shd w:val="clear" w:color="auto" w:fill="DDEBF7"/>
            <w:tcMar>
              <w:top w:w="90" w:type="dxa"/>
              <w:left w:w="100" w:type="dxa"/>
              <w:bottom w:w="90" w:type="dxa"/>
              <w:right w:w="100" w:type="dxa"/>
            </w:tcMar>
            <w:vAlign w:val="center"/>
          </w:tcPr>
          <w:p w14:paraId="3A70F121" w14:textId="77777777" w:rsidR="0084721C" w:rsidRDefault="009B07FB">
            <w:pPr>
              <w:spacing w:line="252" w:lineRule="auto"/>
              <w:rPr>
                <w:lang w:eastAsia="zh-TW"/>
              </w:rPr>
            </w:pPr>
            <w:r>
              <w:rPr>
                <w:b/>
                <w:sz w:val="17"/>
                <w:lang w:eastAsia="zh-TW"/>
              </w:rPr>
              <w:t>系統</w:t>
            </w:r>
            <w:r>
              <w:rPr>
                <w:b/>
                <w:sz w:val="17"/>
                <w:lang w:eastAsia="zh-TW"/>
              </w:rPr>
              <w:t>OAC</w:t>
            </w:r>
            <w:r>
              <w:rPr>
                <w:b/>
                <w:sz w:val="17"/>
                <w:lang w:eastAsia="zh-TW"/>
              </w:rPr>
              <w:br/>
            </w:r>
            <w:r>
              <w:rPr>
                <w:b/>
                <w:sz w:val="17"/>
                <w:lang w:eastAsia="zh-TW"/>
              </w:rPr>
              <w:t>來源、範圍、停止</w:t>
            </w:r>
            <w:r>
              <w:rPr>
                <w:b/>
                <w:sz w:val="17"/>
                <w:lang w:eastAsia="zh-TW"/>
              </w:rPr>
              <w:br/>
              <w:t>↓</w:t>
            </w:r>
          </w:p>
        </w:tc>
        <w:tc>
          <w:tcPr>
            <w:tcW w:w="1987" w:type="dxa"/>
            <w:shd w:val="clear" w:color="auto" w:fill="FFF2CC"/>
            <w:tcMar>
              <w:top w:w="90" w:type="dxa"/>
              <w:left w:w="100" w:type="dxa"/>
              <w:bottom w:w="90" w:type="dxa"/>
              <w:right w:w="100" w:type="dxa"/>
            </w:tcMar>
            <w:vAlign w:val="center"/>
          </w:tcPr>
          <w:p w14:paraId="19DF5529" w14:textId="77777777" w:rsidR="0084721C" w:rsidRDefault="009B07FB">
            <w:pPr>
              <w:spacing w:line="252" w:lineRule="auto"/>
            </w:pPr>
            <w:proofErr w:type="spellStart"/>
            <w:r>
              <w:rPr>
                <w:b/>
                <w:sz w:val="17"/>
              </w:rPr>
              <w:t>跨境升級門檻</w:t>
            </w:r>
            <w:proofErr w:type="spellEnd"/>
            <w:r>
              <w:rPr>
                <w:b/>
                <w:sz w:val="17"/>
              </w:rPr>
              <w:br/>
              <w:t>↓</w:t>
            </w:r>
          </w:p>
        </w:tc>
        <w:tc>
          <w:tcPr>
            <w:tcW w:w="1987" w:type="dxa"/>
            <w:shd w:val="clear" w:color="auto" w:fill="E2F0D9"/>
            <w:tcMar>
              <w:top w:w="90" w:type="dxa"/>
              <w:left w:w="100" w:type="dxa"/>
              <w:bottom w:w="90" w:type="dxa"/>
              <w:right w:w="100" w:type="dxa"/>
            </w:tcMar>
            <w:vAlign w:val="center"/>
          </w:tcPr>
          <w:p w14:paraId="27D2B507" w14:textId="77777777" w:rsidR="0084721C" w:rsidRDefault="009B07FB">
            <w:pPr>
              <w:spacing w:line="252" w:lineRule="auto"/>
            </w:pPr>
            <w:r>
              <w:rPr>
                <w:b/>
                <w:sz w:val="17"/>
              </w:rPr>
              <w:t>國家證據包</w:t>
            </w:r>
            <w:r>
              <w:rPr>
                <w:b/>
                <w:sz w:val="17"/>
              </w:rPr>
              <w:br/>
              <w:t>↓</w:t>
            </w:r>
          </w:p>
        </w:tc>
        <w:tc>
          <w:tcPr>
            <w:tcW w:w="1987" w:type="dxa"/>
            <w:shd w:val="clear" w:color="auto" w:fill="FCE4D6"/>
            <w:tcMar>
              <w:top w:w="90" w:type="dxa"/>
              <w:left w:w="100" w:type="dxa"/>
              <w:bottom w:w="90" w:type="dxa"/>
              <w:right w:w="100" w:type="dxa"/>
            </w:tcMar>
            <w:vAlign w:val="center"/>
          </w:tcPr>
          <w:p w14:paraId="59778AAF" w14:textId="77777777" w:rsidR="0084721C" w:rsidRDefault="009B07FB">
            <w:pPr>
              <w:spacing w:line="252" w:lineRule="auto"/>
            </w:pPr>
            <w:r>
              <w:rPr>
                <w:b/>
                <w:sz w:val="17"/>
              </w:rPr>
              <w:t>對外說明與補救</w:t>
            </w:r>
          </w:p>
        </w:tc>
      </w:tr>
    </w:tbl>
    <w:p w14:paraId="3C1FE6B2" w14:textId="77777777" w:rsidR="0084721C" w:rsidRDefault="009B07FB">
      <w:pPr>
        <w:spacing w:after="160" w:line="324" w:lineRule="auto"/>
        <w:jc w:val="center"/>
        <w:rPr>
          <w:lang w:eastAsia="zh-TW"/>
        </w:rPr>
      </w:pPr>
      <w:r>
        <w:rPr>
          <w:sz w:val="19"/>
          <w:lang w:eastAsia="zh-TW"/>
        </w:rPr>
        <w:t>第十八篇處理前兩格；第十九篇從跨境升級門檻開始，檢驗國家是否能提出可被外部檢驗的行政證據。</w:t>
      </w:r>
    </w:p>
    <w:p w14:paraId="2EE212DB" w14:textId="77777777" w:rsidR="0084721C" w:rsidRDefault="009B07FB">
      <w:pPr>
        <w:spacing w:after="120" w:line="324" w:lineRule="auto"/>
        <w:rPr>
          <w:lang w:eastAsia="zh-TW"/>
        </w:rPr>
      </w:pPr>
      <w:r>
        <w:rPr>
          <w:lang w:eastAsia="zh-TW"/>
        </w:rPr>
        <w:t>第十九篇不是另立國際關係理論，而是完整承接「</w:t>
      </w:r>
      <w:r>
        <w:rPr>
          <w:lang w:eastAsia="zh-TW"/>
        </w:rPr>
        <w:t>AI</w:t>
      </w:r>
      <w:r>
        <w:rPr>
          <w:lang w:eastAsia="zh-TW"/>
        </w:rPr>
        <w:t>鑲嵌式公共行政理論壓力測試」。在</w:t>
      </w:r>
      <w:r>
        <w:rPr>
          <w:lang w:eastAsia="zh-TW"/>
        </w:rPr>
        <w:t>25</w:t>
      </w:r>
      <w:r>
        <w:rPr>
          <w:lang w:eastAsia="zh-TW"/>
        </w:rPr>
        <w:t>治理座標的五個分析單位中，「國際」原本就是第五單位；本篇要追蹤案例如何從個體、群體、組織與社會，</w:t>
      </w:r>
      <w:proofErr w:type="gramStart"/>
      <w:r>
        <w:rPr>
          <w:lang w:eastAsia="zh-TW"/>
        </w:rPr>
        <w:t>跨格移動</w:t>
      </w:r>
      <w:proofErr w:type="gramEnd"/>
      <w:r>
        <w:rPr>
          <w:lang w:eastAsia="zh-TW"/>
        </w:rPr>
        <w:t>到國際單位。</w:t>
      </w:r>
    </w:p>
    <w:p w14:paraId="31FA2D62" w14:textId="77777777" w:rsidR="0084721C" w:rsidRDefault="009B07FB">
      <w:pPr>
        <w:spacing w:after="120" w:line="324" w:lineRule="auto"/>
        <w:rPr>
          <w:lang w:eastAsia="zh-TW"/>
        </w:rPr>
      </w:pPr>
      <w:r>
        <w:rPr>
          <w:lang w:eastAsia="zh-TW"/>
        </w:rPr>
        <w:t>本文的研究材料是四類：臺灣、中國大陸、歐盟與美國的規範文本；主管機關或行政機關官方政策文件；可作為問題類型錨點的公開爭議或採購材料；以及為壓力測試而建構的合成情境。本文不進行訪談、事件發生率估計或單一個案的法律責任認定；比較法的功能是辨識責任閘門與證據要求，規範性制度設計則是本文的研究結論，而非現行法描述。</w:t>
      </w:r>
    </w:p>
    <w:tbl>
      <w:tblPr>
        <w:tblStyle w:val="aff2"/>
        <w:tblW w:w="0" w:type="auto"/>
        <w:jc w:val="center"/>
        <w:tblLook w:val="04A0" w:firstRow="1" w:lastRow="0" w:firstColumn="1" w:lastColumn="0" w:noHBand="0" w:noVBand="1"/>
      </w:tblPr>
      <w:tblGrid>
        <w:gridCol w:w="4968"/>
        <w:gridCol w:w="4968"/>
      </w:tblGrid>
      <w:tr w:rsidR="0084721C" w14:paraId="33F470E6" w14:textId="77777777">
        <w:trPr>
          <w:jc w:val="center"/>
        </w:trPr>
        <w:tc>
          <w:tcPr>
            <w:tcW w:w="4968" w:type="dxa"/>
            <w:shd w:val="clear" w:color="auto" w:fill="DCE6F2"/>
            <w:tcMar>
              <w:top w:w="90" w:type="dxa"/>
              <w:left w:w="100" w:type="dxa"/>
              <w:bottom w:w="90" w:type="dxa"/>
              <w:right w:w="100" w:type="dxa"/>
            </w:tcMar>
            <w:vAlign w:val="center"/>
          </w:tcPr>
          <w:p w14:paraId="65ABC990" w14:textId="77777777" w:rsidR="0084721C" w:rsidRDefault="009B07FB">
            <w:pPr>
              <w:spacing w:line="252" w:lineRule="auto"/>
            </w:pPr>
            <w:proofErr w:type="spellStart"/>
            <w:r>
              <w:rPr>
                <w:b/>
                <w:sz w:val="17"/>
              </w:rPr>
              <w:t>壓力測試步驟</w:t>
            </w:r>
            <w:proofErr w:type="spellEnd"/>
          </w:p>
        </w:tc>
        <w:tc>
          <w:tcPr>
            <w:tcW w:w="4968" w:type="dxa"/>
            <w:shd w:val="clear" w:color="auto" w:fill="DCE6F2"/>
            <w:tcMar>
              <w:top w:w="90" w:type="dxa"/>
              <w:left w:w="100" w:type="dxa"/>
              <w:bottom w:w="90" w:type="dxa"/>
              <w:right w:w="100" w:type="dxa"/>
            </w:tcMar>
            <w:vAlign w:val="center"/>
          </w:tcPr>
          <w:p w14:paraId="0A6085AA" w14:textId="77777777" w:rsidR="0084721C" w:rsidRDefault="009B07FB">
            <w:pPr>
              <w:spacing w:line="252" w:lineRule="auto"/>
            </w:pPr>
            <w:r>
              <w:rPr>
                <w:b/>
                <w:sz w:val="17"/>
              </w:rPr>
              <w:t>第十九篇的具體操作</w:t>
            </w:r>
          </w:p>
        </w:tc>
      </w:tr>
      <w:tr w:rsidR="0084721C" w14:paraId="6CF6CEAD" w14:textId="77777777">
        <w:trPr>
          <w:jc w:val="center"/>
        </w:trPr>
        <w:tc>
          <w:tcPr>
            <w:tcW w:w="4968" w:type="dxa"/>
            <w:tcMar>
              <w:top w:w="90" w:type="dxa"/>
              <w:left w:w="100" w:type="dxa"/>
              <w:bottom w:w="90" w:type="dxa"/>
              <w:right w:w="100" w:type="dxa"/>
            </w:tcMar>
            <w:vAlign w:val="center"/>
          </w:tcPr>
          <w:p w14:paraId="439BEC7D" w14:textId="77777777" w:rsidR="0084721C" w:rsidRDefault="009B07FB">
            <w:pPr>
              <w:spacing w:line="252" w:lineRule="auto"/>
              <w:rPr>
                <w:lang w:eastAsia="zh-TW"/>
              </w:rPr>
            </w:pPr>
            <w:r>
              <w:rPr>
                <w:sz w:val="17"/>
                <w:lang w:eastAsia="zh-TW"/>
              </w:rPr>
              <w:t>第一步：</w:t>
            </w:r>
            <w:r>
              <w:rPr>
                <w:sz w:val="17"/>
                <w:lang w:eastAsia="zh-TW"/>
              </w:rPr>
              <w:t>25</w:t>
            </w:r>
            <w:r>
              <w:rPr>
                <w:sz w:val="17"/>
                <w:lang w:eastAsia="zh-TW"/>
              </w:rPr>
              <w:t>治理座標定位</w:t>
            </w:r>
          </w:p>
        </w:tc>
        <w:tc>
          <w:tcPr>
            <w:tcW w:w="4968" w:type="dxa"/>
            <w:tcMar>
              <w:top w:w="90" w:type="dxa"/>
              <w:left w:w="100" w:type="dxa"/>
              <w:bottom w:w="90" w:type="dxa"/>
              <w:right w:w="100" w:type="dxa"/>
            </w:tcMar>
            <w:vAlign w:val="center"/>
          </w:tcPr>
          <w:p w14:paraId="4FCC5572" w14:textId="77777777" w:rsidR="0084721C" w:rsidRDefault="009B07FB">
            <w:pPr>
              <w:spacing w:line="252" w:lineRule="auto"/>
              <w:rPr>
                <w:lang w:eastAsia="zh-TW"/>
              </w:rPr>
            </w:pPr>
            <w:r>
              <w:rPr>
                <w:sz w:val="17"/>
                <w:lang w:eastAsia="zh-TW"/>
              </w:rPr>
              <w:t>同時定位境外權利人、專業群體、臺灣目的機關與供應商、公共服務使用者，以及國際制度／合作／貿易與安全場域。</w:t>
            </w:r>
          </w:p>
        </w:tc>
      </w:tr>
      <w:tr w:rsidR="0084721C" w14:paraId="3605607C" w14:textId="77777777">
        <w:trPr>
          <w:jc w:val="center"/>
        </w:trPr>
        <w:tc>
          <w:tcPr>
            <w:tcW w:w="4968" w:type="dxa"/>
            <w:tcMar>
              <w:top w:w="90" w:type="dxa"/>
              <w:left w:w="100" w:type="dxa"/>
              <w:bottom w:w="90" w:type="dxa"/>
              <w:right w:w="100" w:type="dxa"/>
            </w:tcMar>
            <w:vAlign w:val="center"/>
          </w:tcPr>
          <w:p w14:paraId="5363C200" w14:textId="77777777" w:rsidR="0084721C" w:rsidRDefault="009B07FB">
            <w:pPr>
              <w:spacing w:line="252" w:lineRule="auto"/>
              <w:rPr>
                <w:lang w:eastAsia="zh-TW"/>
              </w:rPr>
            </w:pPr>
            <w:r>
              <w:rPr>
                <w:sz w:val="17"/>
                <w:lang w:eastAsia="zh-TW"/>
              </w:rPr>
              <w:lastRenderedPageBreak/>
              <w:t>第二步：三種權力移轉</w:t>
            </w:r>
          </w:p>
        </w:tc>
        <w:tc>
          <w:tcPr>
            <w:tcW w:w="4968" w:type="dxa"/>
            <w:tcMar>
              <w:top w:w="90" w:type="dxa"/>
              <w:left w:w="100" w:type="dxa"/>
              <w:bottom w:w="90" w:type="dxa"/>
              <w:right w:w="100" w:type="dxa"/>
            </w:tcMar>
            <w:vAlign w:val="center"/>
          </w:tcPr>
          <w:p w14:paraId="35165D48" w14:textId="77777777" w:rsidR="0084721C" w:rsidRDefault="009B07FB">
            <w:pPr>
              <w:spacing w:line="252" w:lineRule="auto"/>
              <w:rPr>
                <w:lang w:eastAsia="zh-TW"/>
              </w:rPr>
            </w:pPr>
            <w:r>
              <w:rPr>
                <w:sz w:val="17"/>
                <w:lang w:eastAsia="zh-TW"/>
              </w:rPr>
              <w:t>P1</w:t>
            </w:r>
            <w:r>
              <w:rPr>
                <w:sz w:val="17"/>
                <w:lang w:eastAsia="zh-TW"/>
              </w:rPr>
              <w:t>：誰把「</w:t>
            </w:r>
            <w:proofErr w:type="gramStart"/>
            <w:r>
              <w:rPr>
                <w:sz w:val="17"/>
                <w:lang w:eastAsia="zh-TW"/>
              </w:rPr>
              <w:t>跨境可得</w:t>
            </w:r>
            <w:proofErr w:type="gramEnd"/>
            <w:r>
              <w:rPr>
                <w:sz w:val="17"/>
                <w:lang w:eastAsia="zh-TW"/>
              </w:rPr>
              <w:t>」定義為可用資料；</w:t>
            </w:r>
            <w:r>
              <w:rPr>
                <w:sz w:val="17"/>
                <w:lang w:eastAsia="zh-TW"/>
              </w:rPr>
              <w:t>P2</w:t>
            </w:r>
            <w:r>
              <w:rPr>
                <w:sz w:val="17"/>
                <w:lang w:eastAsia="zh-TW"/>
              </w:rPr>
              <w:t>：誰決定採購、技轉、分包與資料範圍；</w:t>
            </w:r>
            <w:r>
              <w:rPr>
                <w:sz w:val="17"/>
                <w:lang w:eastAsia="zh-TW"/>
              </w:rPr>
              <w:t>P3</w:t>
            </w:r>
            <w:r>
              <w:rPr>
                <w:sz w:val="17"/>
                <w:lang w:eastAsia="zh-TW"/>
              </w:rPr>
              <w:t>：</w:t>
            </w:r>
            <w:r>
              <w:rPr>
                <w:sz w:val="17"/>
                <w:lang w:eastAsia="zh-TW"/>
              </w:rPr>
              <w:t>AI</w:t>
            </w:r>
            <w:r>
              <w:rPr>
                <w:sz w:val="17"/>
                <w:lang w:eastAsia="zh-TW"/>
              </w:rPr>
              <w:t>輸出、公共採購或供應鏈結果如何影響公共權益與外部信任。</w:t>
            </w:r>
          </w:p>
        </w:tc>
      </w:tr>
      <w:tr w:rsidR="0084721C" w14:paraId="44D442B8" w14:textId="77777777">
        <w:trPr>
          <w:jc w:val="center"/>
        </w:trPr>
        <w:tc>
          <w:tcPr>
            <w:tcW w:w="4968" w:type="dxa"/>
            <w:tcMar>
              <w:top w:w="90" w:type="dxa"/>
              <w:left w:w="100" w:type="dxa"/>
              <w:bottom w:w="90" w:type="dxa"/>
              <w:right w:w="100" w:type="dxa"/>
            </w:tcMar>
            <w:vAlign w:val="center"/>
          </w:tcPr>
          <w:p w14:paraId="075339E9" w14:textId="77777777" w:rsidR="0084721C" w:rsidRDefault="009B07FB">
            <w:pPr>
              <w:spacing w:line="252" w:lineRule="auto"/>
              <w:rPr>
                <w:lang w:eastAsia="zh-TW"/>
              </w:rPr>
            </w:pPr>
            <w:r>
              <w:rPr>
                <w:sz w:val="17"/>
                <w:lang w:eastAsia="zh-TW"/>
              </w:rPr>
              <w:t>第三步：三種結構性效應</w:t>
            </w:r>
          </w:p>
        </w:tc>
        <w:tc>
          <w:tcPr>
            <w:tcW w:w="4968" w:type="dxa"/>
            <w:tcMar>
              <w:top w:w="90" w:type="dxa"/>
              <w:left w:w="100" w:type="dxa"/>
              <w:bottom w:w="90" w:type="dxa"/>
              <w:right w:w="100" w:type="dxa"/>
            </w:tcMar>
            <w:vAlign w:val="center"/>
          </w:tcPr>
          <w:p w14:paraId="1EE1505A" w14:textId="77777777" w:rsidR="0084721C" w:rsidRDefault="009B07FB">
            <w:pPr>
              <w:spacing w:line="252" w:lineRule="auto"/>
              <w:rPr>
                <w:lang w:eastAsia="zh-TW"/>
              </w:rPr>
            </w:pPr>
            <w:proofErr w:type="gramStart"/>
            <w:r>
              <w:rPr>
                <w:sz w:val="17"/>
                <w:lang w:eastAsia="zh-TW"/>
              </w:rPr>
              <w:t>追蹤跨格移動</w:t>
            </w:r>
            <w:proofErr w:type="gramEnd"/>
            <w:r>
              <w:rPr>
                <w:sz w:val="17"/>
                <w:lang w:eastAsia="zh-TW"/>
              </w:rPr>
              <w:t>、邊界消解與權威重構：著作權、契約、採購、資料與外交／安全邊界如何交疊。</w:t>
            </w:r>
          </w:p>
        </w:tc>
      </w:tr>
      <w:tr w:rsidR="0084721C" w14:paraId="64DB835A" w14:textId="77777777">
        <w:trPr>
          <w:jc w:val="center"/>
        </w:trPr>
        <w:tc>
          <w:tcPr>
            <w:tcW w:w="4968" w:type="dxa"/>
            <w:tcMar>
              <w:top w:w="90" w:type="dxa"/>
              <w:left w:w="100" w:type="dxa"/>
              <w:bottom w:w="90" w:type="dxa"/>
              <w:right w:w="100" w:type="dxa"/>
            </w:tcMar>
            <w:vAlign w:val="center"/>
          </w:tcPr>
          <w:p w14:paraId="1E106543" w14:textId="77777777" w:rsidR="0084721C" w:rsidRDefault="009B07FB">
            <w:pPr>
              <w:spacing w:line="252" w:lineRule="auto"/>
            </w:pPr>
            <w:proofErr w:type="spellStart"/>
            <w:r>
              <w:rPr>
                <w:sz w:val="17"/>
              </w:rPr>
              <w:t>第四步：四條治理鏈</w:t>
            </w:r>
            <w:proofErr w:type="spellEnd"/>
          </w:p>
        </w:tc>
        <w:tc>
          <w:tcPr>
            <w:tcW w:w="4968" w:type="dxa"/>
            <w:tcMar>
              <w:top w:w="90" w:type="dxa"/>
              <w:left w:w="100" w:type="dxa"/>
              <w:bottom w:w="90" w:type="dxa"/>
              <w:right w:w="100" w:type="dxa"/>
            </w:tcMar>
            <w:vAlign w:val="center"/>
          </w:tcPr>
          <w:p w14:paraId="76097BB3" w14:textId="77777777" w:rsidR="0084721C" w:rsidRDefault="009B07FB">
            <w:pPr>
              <w:spacing w:line="252" w:lineRule="auto"/>
              <w:rPr>
                <w:lang w:eastAsia="zh-TW"/>
              </w:rPr>
            </w:pPr>
            <w:r>
              <w:rPr>
                <w:sz w:val="17"/>
                <w:lang w:eastAsia="zh-TW"/>
              </w:rPr>
              <w:t>分別追查情境建構、權威、理由與責任鏈能否跨越</w:t>
            </w:r>
            <w:proofErr w:type="gramStart"/>
            <w:r>
              <w:rPr>
                <w:sz w:val="17"/>
                <w:lang w:eastAsia="zh-TW"/>
              </w:rPr>
              <w:t>法域、</w:t>
            </w:r>
            <w:proofErr w:type="gramEnd"/>
            <w:r>
              <w:rPr>
                <w:sz w:val="17"/>
                <w:lang w:eastAsia="zh-TW"/>
              </w:rPr>
              <w:t>供應鏈與組織邊界。</w:t>
            </w:r>
          </w:p>
        </w:tc>
      </w:tr>
      <w:tr w:rsidR="0084721C" w14:paraId="74DB6593" w14:textId="77777777">
        <w:trPr>
          <w:jc w:val="center"/>
        </w:trPr>
        <w:tc>
          <w:tcPr>
            <w:tcW w:w="4968" w:type="dxa"/>
            <w:tcMar>
              <w:top w:w="90" w:type="dxa"/>
              <w:left w:w="100" w:type="dxa"/>
              <w:bottom w:w="90" w:type="dxa"/>
              <w:right w:w="100" w:type="dxa"/>
            </w:tcMar>
            <w:vAlign w:val="center"/>
          </w:tcPr>
          <w:p w14:paraId="544B0151" w14:textId="77777777" w:rsidR="0084721C" w:rsidRDefault="009B07FB">
            <w:pPr>
              <w:spacing w:line="252" w:lineRule="auto"/>
              <w:rPr>
                <w:lang w:eastAsia="zh-TW"/>
              </w:rPr>
            </w:pPr>
            <w:r>
              <w:rPr>
                <w:sz w:val="17"/>
                <w:lang w:eastAsia="zh-TW"/>
              </w:rPr>
              <w:t>第五步：七項治理審計</w:t>
            </w:r>
          </w:p>
        </w:tc>
        <w:tc>
          <w:tcPr>
            <w:tcW w:w="4968" w:type="dxa"/>
            <w:tcMar>
              <w:top w:w="90" w:type="dxa"/>
              <w:left w:w="100" w:type="dxa"/>
              <w:bottom w:w="90" w:type="dxa"/>
              <w:right w:w="100" w:type="dxa"/>
            </w:tcMar>
            <w:vAlign w:val="center"/>
          </w:tcPr>
          <w:p w14:paraId="5C7E504C" w14:textId="77777777" w:rsidR="0084721C" w:rsidRDefault="009B07FB">
            <w:pPr>
              <w:spacing w:line="252" w:lineRule="auto"/>
              <w:rPr>
                <w:lang w:eastAsia="zh-TW"/>
              </w:rPr>
            </w:pPr>
            <w:r>
              <w:rPr>
                <w:sz w:val="17"/>
                <w:lang w:eastAsia="zh-TW"/>
              </w:rPr>
              <w:t>檢查公共價值、程序與組織證據：不只問是否合法，也問是否可說明、可追溯、可停止、可補救。</w:t>
            </w:r>
          </w:p>
        </w:tc>
      </w:tr>
      <w:tr w:rsidR="0084721C" w14:paraId="52BD7823" w14:textId="77777777">
        <w:trPr>
          <w:jc w:val="center"/>
        </w:trPr>
        <w:tc>
          <w:tcPr>
            <w:tcW w:w="4968" w:type="dxa"/>
            <w:tcMar>
              <w:top w:w="90" w:type="dxa"/>
              <w:left w:w="100" w:type="dxa"/>
              <w:bottom w:w="90" w:type="dxa"/>
              <w:right w:w="100" w:type="dxa"/>
            </w:tcMar>
            <w:vAlign w:val="center"/>
          </w:tcPr>
          <w:p w14:paraId="1FD49CCF" w14:textId="77777777" w:rsidR="0084721C" w:rsidRDefault="009B07FB">
            <w:pPr>
              <w:spacing w:line="252" w:lineRule="auto"/>
              <w:rPr>
                <w:lang w:eastAsia="zh-TW"/>
              </w:rPr>
            </w:pPr>
            <w:r>
              <w:rPr>
                <w:sz w:val="17"/>
                <w:lang w:eastAsia="zh-TW"/>
              </w:rPr>
              <w:t>第六步：異質案例壓力測試</w:t>
            </w:r>
          </w:p>
        </w:tc>
        <w:tc>
          <w:tcPr>
            <w:tcW w:w="4968" w:type="dxa"/>
            <w:tcMar>
              <w:top w:w="90" w:type="dxa"/>
              <w:left w:w="100" w:type="dxa"/>
              <w:bottom w:w="90" w:type="dxa"/>
              <w:right w:w="100" w:type="dxa"/>
            </w:tcMar>
            <w:vAlign w:val="center"/>
          </w:tcPr>
          <w:p w14:paraId="3A9073F6" w14:textId="77777777" w:rsidR="0084721C" w:rsidRDefault="009B07FB">
            <w:pPr>
              <w:spacing w:line="252" w:lineRule="auto"/>
              <w:rPr>
                <w:lang w:eastAsia="zh-TW"/>
              </w:rPr>
            </w:pPr>
            <w:r>
              <w:rPr>
                <w:sz w:val="17"/>
                <w:lang w:eastAsia="zh-TW"/>
              </w:rPr>
              <w:t>以境外建築設計</w:t>
            </w:r>
            <w:r>
              <w:rPr>
                <w:sz w:val="17"/>
                <w:lang w:eastAsia="zh-TW"/>
              </w:rPr>
              <w:t>RAG</w:t>
            </w:r>
            <w:r>
              <w:rPr>
                <w:sz w:val="17"/>
                <w:lang w:eastAsia="zh-TW"/>
              </w:rPr>
              <w:t>、跨境模型／</w:t>
            </w:r>
            <w:r>
              <w:rPr>
                <w:sz w:val="17"/>
                <w:lang w:eastAsia="zh-TW"/>
              </w:rPr>
              <w:t>API</w:t>
            </w:r>
            <w:r>
              <w:rPr>
                <w:sz w:val="17"/>
                <w:lang w:eastAsia="zh-TW"/>
              </w:rPr>
              <w:t>供應鏈與高敏感技術合作三案比較。</w:t>
            </w:r>
          </w:p>
        </w:tc>
      </w:tr>
      <w:tr w:rsidR="0084721C" w14:paraId="7503BA35" w14:textId="77777777">
        <w:trPr>
          <w:jc w:val="center"/>
        </w:trPr>
        <w:tc>
          <w:tcPr>
            <w:tcW w:w="4968" w:type="dxa"/>
            <w:tcMar>
              <w:top w:w="90" w:type="dxa"/>
              <w:left w:w="100" w:type="dxa"/>
              <w:bottom w:w="90" w:type="dxa"/>
              <w:right w:w="100" w:type="dxa"/>
            </w:tcMar>
            <w:vAlign w:val="center"/>
          </w:tcPr>
          <w:p w14:paraId="49B6B367" w14:textId="77777777" w:rsidR="0084721C" w:rsidRDefault="009B07FB">
            <w:pPr>
              <w:spacing w:line="252" w:lineRule="auto"/>
              <w:rPr>
                <w:lang w:eastAsia="zh-TW"/>
              </w:rPr>
            </w:pPr>
            <w:r>
              <w:rPr>
                <w:sz w:val="17"/>
                <w:lang w:eastAsia="zh-TW"/>
              </w:rPr>
              <w:t>第七步：辨識重複斷裂模式</w:t>
            </w:r>
          </w:p>
        </w:tc>
        <w:tc>
          <w:tcPr>
            <w:tcW w:w="4968" w:type="dxa"/>
            <w:tcMar>
              <w:top w:w="90" w:type="dxa"/>
              <w:left w:w="100" w:type="dxa"/>
              <w:bottom w:w="90" w:type="dxa"/>
              <w:right w:w="100" w:type="dxa"/>
            </w:tcMar>
            <w:vAlign w:val="center"/>
          </w:tcPr>
          <w:p w14:paraId="010D4459" w14:textId="77777777" w:rsidR="0084721C" w:rsidRDefault="009B07FB">
            <w:pPr>
              <w:spacing w:line="252" w:lineRule="auto"/>
              <w:rPr>
                <w:lang w:eastAsia="zh-TW"/>
              </w:rPr>
            </w:pPr>
            <w:r>
              <w:rPr>
                <w:sz w:val="17"/>
                <w:lang w:eastAsia="zh-TW"/>
              </w:rPr>
              <w:t>找出「取得／接觸」被誤當成「完整利用權」及多手政府責任推移是否反覆出現。</w:t>
            </w:r>
          </w:p>
        </w:tc>
      </w:tr>
      <w:tr w:rsidR="0084721C" w14:paraId="14924AFF" w14:textId="77777777">
        <w:trPr>
          <w:jc w:val="center"/>
        </w:trPr>
        <w:tc>
          <w:tcPr>
            <w:tcW w:w="4968" w:type="dxa"/>
            <w:tcMar>
              <w:top w:w="90" w:type="dxa"/>
              <w:left w:w="100" w:type="dxa"/>
              <w:bottom w:w="90" w:type="dxa"/>
              <w:right w:w="100" w:type="dxa"/>
            </w:tcMar>
            <w:vAlign w:val="center"/>
          </w:tcPr>
          <w:p w14:paraId="2B0B8615" w14:textId="77777777" w:rsidR="0084721C" w:rsidRDefault="009B07FB">
            <w:pPr>
              <w:spacing w:line="252" w:lineRule="auto"/>
              <w:rPr>
                <w:lang w:eastAsia="zh-TW"/>
              </w:rPr>
            </w:pPr>
            <w:r>
              <w:rPr>
                <w:sz w:val="17"/>
                <w:lang w:eastAsia="zh-TW"/>
              </w:rPr>
              <w:t>第八步：</w:t>
            </w:r>
            <w:proofErr w:type="gramStart"/>
            <w:r>
              <w:rPr>
                <w:sz w:val="17"/>
                <w:lang w:eastAsia="zh-TW"/>
              </w:rPr>
              <w:t>後設異例</w:t>
            </w:r>
            <w:proofErr w:type="gramEnd"/>
            <w:r>
              <w:rPr>
                <w:sz w:val="17"/>
                <w:lang w:eastAsia="zh-TW"/>
              </w:rPr>
              <w:t>判斷</w:t>
            </w:r>
          </w:p>
        </w:tc>
        <w:tc>
          <w:tcPr>
            <w:tcW w:w="4968" w:type="dxa"/>
            <w:tcMar>
              <w:top w:w="90" w:type="dxa"/>
              <w:left w:w="100" w:type="dxa"/>
              <w:bottom w:w="90" w:type="dxa"/>
              <w:right w:w="100" w:type="dxa"/>
            </w:tcMar>
            <w:vAlign w:val="center"/>
          </w:tcPr>
          <w:p w14:paraId="7423982F" w14:textId="77777777" w:rsidR="0084721C" w:rsidRDefault="009B07FB">
            <w:pPr>
              <w:spacing w:line="252" w:lineRule="auto"/>
              <w:rPr>
                <w:lang w:eastAsia="zh-TW"/>
              </w:rPr>
            </w:pPr>
            <w:r>
              <w:rPr>
                <w:sz w:val="17"/>
                <w:lang w:eastAsia="zh-TW"/>
              </w:rPr>
              <w:t>以反例檢驗：若有完整資料履歷、用途限制、停止權與升級機制，典型斷裂是否仍必然發生？</w:t>
            </w:r>
          </w:p>
        </w:tc>
      </w:tr>
    </w:tbl>
    <w:p w14:paraId="4B53DF4B" w14:textId="77777777" w:rsidR="0084721C" w:rsidRDefault="0084721C">
      <w:pPr>
        <w:spacing w:after="40"/>
        <w:rPr>
          <w:lang w:eastAsia="zh-TW"/>
        </w:rPr>
      </w:pPr>
    </w:p>
    <w:p w14:paraId="6BAA2519" w14:textId="77777777" w:rsidR="0084721C" w:rsidRDefault="009B07FB">
      <w:pPr>
        <w:spacing w:after="120" w:line="324" w:lineRule="auto"/>
        <w:rPr>
          <w:lang w:eastAsia="zh-TW"/>
        </w:rPr>
      </w:pPr>
      <w:r>
        <w:rPr>
          <w:lang w:eastAsia="zh-TW"/>
        </w:rPr>
        <w:t>四條治理鏈與七項治理審計的對應，在跨境情境中進一步檢驗：資料代表性審計是否把境外</w:t>
      </w:r>
      <w:proofErr w:type="gramStart"/>
      <w:r>
        <w:rPr>
          <w:lang w:eastAsia="zh-TW"/>
        </w:rPr>
        <w:t>作品誤標為</w:t>
      </w:r>
      <w:proofErr w:type="gramEnd"/>
      <w:r>
        <w:rPr>
          <w:lang w:eastAsia="zh-TW"/>
        </w:rPr>
        <w:t>公共或開源知識；裁量邊界審計是否說</w:t>
      </w:r>
      <w:proofErr w:type="gramStart"/>
      <w:r>
        <w:rPr>
          <w:lang w:eastAsia="zh-TW"/>
        </w:rPr>
        <w:t>清楚控制權</w:t>
      </w:r>
      <w:proofErr w:type="gramEnd"/>
      <w:r>
        <w:rPr>
          <w:lang w:eastAsia="zh-TW"/>
        </w:rPr>
        <w:t>；推理說明審計是否能提出讓境外權利人理解的使用理由；責任歸屬與組織能力審計是否確認停止、保全、回覆與升級責任。</w:t>
      </w:r>
    </w:p>
    <w:p w14:paraId="795E1CA6" w14:textId="77777777" w:rsidR="0084721C" w:rsidRDefault="009B07FB">
      <w:pPr>
        <w:spacing w:after="120" w:line="324" w:lineRule="auto"/>
        <w:rPr>
          <w:lang w:eastAsia="zh-TW"/>
        </w:rPr>
      </w:pPr>
      <w:r>
        <w:rPr>
          <w:lang w:eastAsia="zh-TW"/>
        </w:rPr>
        <w:t>此一設計與</w:t>
      </w:r>
      <w:proofErr w:type="gramStart"/>
      <w:r>
        <w:rPr>
          <w:lang w:eastAsia="zh-TW"/>
        </w:rPr>
        <w:t>演算法問責文獻</w:t>
      </w:r>
      <w:proofErr w:type="gramEnd"/>
      <w:r>
        <w:rPr>
          <w:lang w:eastAsia="zh-TW"/>
        </w:rPr>
        <w:t>的基本要求相通：</w:t>
      </w:r>
      <w:proofErr w:type="gramStart"/>
      <w:r>
        <w:rPr>
          <w:lang w:eastAsia="zh-TW"/>
        </w:rPr>
        <w:t>可問責性</w:t>
      </w:r>
      <w:proofErr w:type="gramEnd"/>
      <w:r>
        <w:rPr>
          <w:lang w:eastAsia="zh-TW"/>
        </w:rPr>
        <w:t>不能只依賴抽象透明，而須具備可檢驗的程序、記錄與覆核條件（</w:t>
      </w:r>
      <w:r>
        <w:rPr>
          <w:lang w:eastAsia="zh-TW"/>
        </w:rPr>
        <w:t>Kroll et al., 2017</w:t>
      </w:r>
      <w:proofErr w:type="gramStart"/>
      <w:r>
        <w:rPr>
          <w:lang w:eastAsia="zh-TW"/>
        </w:rPr>
        <w:t>）</w:t>
      </w:r>
      <w:proofErr w:type="gramEnd"/>
      <w:r>
        <w:rPr>
          <w:lang w:eastAsia="zh-TW"/>
        </w:rPr>
        <w:t>。本文的差異在於，將這些條件具體接到政府</w:t>
      </w:r>
      <w:r>
        <w:rPr>
          <w:lang w:eastAsia="zh-TW"/>
        </w:rPr>
        <w:t>AI</w:t>
      </w:r>
      <w:r>
        <w:rPr>
          <w:lang w:eastAsia="zh-TW"/>
        </w:rPr>
        <w:t>的跨境權利來源、採購與停止程序。</w:t>
      </w:r>
    </w:p>
    <w:p w14:paraId="2A7E1427" w14:textId="77777777" w:rsidR="0084721C" w:rsidRDefault="009B07FB">
      <w:pPr>
        <w:spacing w:after="140" w:line="324" w:lineRule="auto"/>
        <w:rPr>
          <w:lang w:eastAsia="zh-TW"/>
        </w:rPr>
      </w:pPr>
      <w:r>
        <w:rPr>
          <w:b/>
          <w:sz w:val="26"/>
          <w:lang w:eastAsia="zh-TW"/>
        </w:rPr>
        <w:t>四、三類合成情境：私權、供應鏈與敏感技術</w:t>
      </w:r>
    </w:p>
    <w:p w14:paraId="41D7DBC8" w14:textId="77777777" w:rsidR="0084721C" w:rsidRDefault="009B07FB">
      <w:pPr>
        <w:spacing w:after="140" w:line="324" w:lineRule="auto"/>
        <w:ind w:left="403"/>
        <w:rPr>
          <w:lang w:eastAsia="zh-TW"/>
        </w:rPr>
      </w:pPr>
      <w:r>
        <w:rPr>
          <w:sz w:val="20"/>
          <w:lang w:eastAsia="zh-TW"/>
        </w:rPr>
        <w:t>*</w:t>
      </w:r>
      <w:r>
        <w:rPr>
          <w:sz w:val="20"/>
          <w:lang w:eastAsia="zh-TW"/>
        </w:rPr>
        <w:t>*</w:t>
      </w:r>
      <w:r>
        <w:rPr>
          <w:sz w:val="20"/>
          <w:lang w:eastAsia="zh-TW"/>
        </w:rPr>
        <w:t>案例說明。</w:t>
      </w:r>
      <w:r>
        <w:rPr>
          <w:sz w:val="20"/>
          <w:lang w:eastAsia="zh-TW"/>
        </w:rPr>
        <w:t xml:space="preserve">** </w:t>
      </w:r>
      <w:r>
        <w:rPr>
          <w:sz w:val="20"/>
          <w:lang w:eastAsia="zh-TW"/>
        </w:rPr>
        <w:t>本節所有</w:t>
      </w:r>
      <w:proofErr w:type="gramStart"/>
      <w:r>
        <w:rPr>
          <w:sz w:val="20"/>
          <w:lang w:eastAsia="zh-TW"/>
        </w:rPr>
        <w:t>情境均為研究者</w:t>
      </w:r>
      <w:proofErr w:type="gramEnd"/>
      <w:r>
        <w:rPr>
          <w:sz w:val="20"/>
          <w:lang w:eastAsia="zh-TW"/>
        </w:rPr>
        <w:t>依公開制度與爭議類型建構之合成案例，不指涉特定機關、企業、權利人或已發生事件。案例中的法律效果僅作為治理壓力測試，不構成個案侵權、違約、出口管制或國安判斷。</w:t>
      </w:r>
    </w:p>
    <w:p w14:paraId="111769AA" w14:textId="77777777" w:rsidR="0084721C" w:rsidRDefault="009B07FB">
      <w:pPr>
        <w:spacing w:after="140" w:line="324" w:lineRule="auto"/>
      </w:pPr>
      <w:r>
        <w:rPr>
          <w:b/>
          <w:sz w:val="26"/>
        </w:rPr>
        <w:t>（</w:t>
      </w:r>
      <w:proofErr w:type="spellStart"/>
      <w:r>
        <w:rPr>
          <w:b/>
          <w:sz w:val="26"/>
        </w:rPr>
        <w:t>一）事件類型總覽</w:t>
      </w:r>
      <w:proofErr w:type="spellEnd"/>
    </w:p>
    <w:tbl>
      <w:tblPr>
        <w:tblStyle w:val="aff2"/>
        <w:tblW w:w="0" w:type="auto"/>
        <w:jc w:val="center"/>
        <w:tblLook w:val="04A0" w:firstRow="1" w:lastRow="0" w:firstColumn="1" w:lastColumn="0" w:noHBand="0" w:noVBand="1"/>
      </w:tblPr>
      <w:tblGrid>
        <w:gridCol w:w="2484"/>
        <w:gridCol w:w="2484"/>
        <w:gridCol w:w="2484"/>
        <w:gridCol w:w="2484"/>
      </w:tblGrid>
      <w:tr w:rsidR="0084721C" w14:paraId="3276F862" w14:textId="77777777">
        <w:trPr>
          <w:jc w:val="center"/>
        </w:trPr>
        <w:tc>
          <w:tcPr>
            <w:tcW w:w="2484" w:type="dxa"/>
            <w:shd w:val="clear" w:color="auto" w:fill="DCE6F2"/>
            <w:tcMar>
              <w:top w:w="90" w:type="dxa"/>
              <w:left w:w="100" w:type="dxa"/>
              <w:bottom w:w="90" w:type="dxa"/>
              <w:right w:w="100" w:type="dxa"/>
            </w:tcMar>
            <w:vAlign w:val="center"/>
          </w:tcPr>
          <w:p w14:paraId="4A3D68B6" w14:textId="77777777" w:rsidR="0084721C" w:rsidRDefault="009B07FB">
            <w:pPr>
              <w:spacing w:line="252" w:lineRule="auto"/>
            </w:pPr>
            <w:r>
              <w:rPr>
                <w:b/>
                <w:sz w:val="17"/>
              </w:rPr>
              <w:t>事件類型</w:t>
            </w:r>
          </w:p>
        </w:tc>
        <w:tc>
          <w:tcPr>
            <w:tcW w:w="2484" w:type="dxa"/>
            <w:shd w:val="clear" w:color="auto" w:fill="DCE6F2"/>
            <w:tcMar>
              <w:top w:w="90" w:type="dxa"/>
              <w:left w:w="100" w:type="dxa"/>
              <w:bottom w:w="90" w:type="dxa"/>
              <w:right w:w="100" w:type="dxa"/>
            </w:tcMar>
            <w:vAlign w:val="center"/>
          </w:tcPr>
          <w:p w14:paraId="30E6F2AC" w14:textId="77777777" w:rsidR="0084721C" w:rsidRDefault="009B07FB">
            <w:pPr>
              <w:spacing w:line="252" w:lineRule="auto"/>
            </w:pPr>
            <w:r>
              <w:rPr>
                <w:b/>
                <w:sz w:val="17"/>
              </w:rPr>
              <w:t>代表情境</w:t>
            </w:r>
          </w:p>
        </w:tc>
        <w:tc>
          <w:tcPr>
            <w:tcW w:w="2484" w:type="dxa"/>
            <w:shd w:val="clear" w:color="auto" w:fill="DCE6F2"/>
            <w:tcMar>
              <w:top w:w="90" w:type="dxa"/>
              <w:left w:w="100" w:type="dxa"/>
              <w:bottom w:w="90" w:type="dxa"/>
              <w:right w:w="100" w:type="dxa"/>
            </w:tcMar>
            <w:vAlign w:val="center"/>
          </w:tcPr>
          <w:p w14:paraId="26F8812F" w14:textId="77777777" w:rsidR="0084721C" w:rsidRDefault="009B07FB">
            <w:pPr>
              <w:spacing w:line="252" w:lineRule="auto"/>
            </w:pPr>
            <w:r>
              <w:rPr>
                <w:b/>
                <w:sz w:val="17"/>
              </w:rPr>
              <w:t>壓力測試重點</w:t>
            </w:r>
          </w:p>
        </w:tc>
        <w:tc>
          <w:tcPr>
            <w:tcW w:w="2484" w:type="dxa"/>
            <w:shd w:val="clear" w:color="auto" w:fill="DCE6F2"/>
            <w:tcMar>
              <w:top w:w="90" w:type="dxa"/>
              <w:left w:w="100" w:type="dxa"/>
              <w:bottom w:w="90" w:type="dxa"/>
              <w:right w:w="100" w:type="dxa"/>
            </w:tcMar>
            <w:vAlign w:val="center"/>
          </w:tcPr>
          <w:p w14:paraId="2680B39B" w14:textId="77777777" w:rsidR="0084721C" w:rsidRDefault="009B07FB">
            <w:pPr>
              <w:spacing w:line="252" w:lineRule="auto"/>
            </w:pPr>
            <w:r>
              <w:rPr>
                <w:b/>
                <w:sz w:val="17"/>
              </w:rPr>
              <w:t>不宜誤解為</w:t>
            </w:r>
          </w:p>
        </w:tc>
      </w:tr>
      <w:tr w:rsidR="0084721C" w14:paraId="6E0ABA98" w14:textId="77777777">
        <w:trPr>
          <w:jc w:val="center"/>
        </w:trPr>
        <w:tc>
          <w:tcPr>
            <w:tcW w:w="2484" w:type="dxa"/>
            <w:tcMar>
              <w:top w:w="90" w:type="dxa"/>
              <w:left w:w="100" w:type="dxa"/>
              <w:bottom w:w="90" w:type="dxa"/>
              <w:right w:w="100" w:type="dxa"/>
            </w:tcMar>
            <w:vAlign w:val="center"/>
          </w:tcPr>
          <w:p w14:paraId="19238E7D" w14:textId="77777777" w:rsidR="0084721C" w:rsidRDefault="009B07FB">
            <w:pPr>
              <w:spacing w:line="252" w:lineRule="auto"/>
            </w:pPr>
            <w:r>
              <w:rPr>
                <w:sz w:val="17"/>
              </w:rPr>
              <w:t>跨境私權事件</w:t>
            </w:r>
          </w:p>
        </w:tc>
        <w:tc>
          <w:tcPr>
            <w:tcW w:w="2484" w:type="dxa"/>
            <w:tcMar>
              <w:top w:w="90" w:type="dxa"/>
              <w:left w:w="100" w:type="dxa"/>
              <w:bottom w:w="90" w:type="dxa"/>
              <w:right w:w="100" w:type="dxa"/>
            </w:tcMar>
            <w:vAlign w:val="center"/>
          </w:tcPr>
          <w:p w14:paraId="041DFE72" w14:textId="77777777" w:rsidR="0084721C" w:rsidRDefault="009B07FB">
            <w:pPr>
              <w:spacing w:line="252" w:lineRule="auto"/>
              <w:rPr>
                <w:lang w:eastAsia="zh-TW"/>
              </w:rPr>
            </w:pPr>
            <w:r>
              <w:rPr>
                <w:sz w:val="17"/>
                <w:lang w:eastAsia="zh-TW"/>
              </w:rPr>
              <w:t>境外建築師的設計資料進入臺</w:t>
            </w:r>
            <w:r>
              <w:rPr>
                <w:sz w:val="17"/>
                <w:lang w:eastAsia="zh-TW"/>
              </w:rPr>
              <w:lastRenderedPageBreak/>
              <w:t>灣公共建築投標</w:t>
            </w:r>
            <w:r>
              <w:rPr>
                <w:sz w:val="17"/>
                <w:lang w:eastAsia="zh-TW"/>
              </w:rPr>
              <w:t>RAG</w:t>
            </w:r>
            <w:r>
              <w:rPr>
                <w:sz w:val="17"/>
                <w:lang w:eastAsia="zh-TW"/>
              </w:rPr>
              <w:t>；產出未完全抄襲但呈現高度近似。</w:t>
            </w:r>
          </w:p>
        </w:tc>
        <w:tc>
          <w:tcPr>
            <w:tcW w:w="2484" w:type="dxa"/>
            <w:tcMar>
              <w:top w:w="90" w:type="dxa"/>
              <w:left w:w="100" w:type="dxa"/>
              <w:bottom w:w="90" w:type="dxa"/>
              <w:right w:w="100" w:type="dxa"/>
            </w:tcMar>
            <w:vAlign w:val="center"/>
          </w:tcPr>
          <w:p w14:paraId="0DB71543" w14:textId="77777777" w:rsidR="0084721C" w:rsidRDefault="009B07FB">
            <w:pPr>
              <w:spacing w:line="252" w:lineRule="auto"/>
              <w:rPr>
                <w:lang w:eastAsia="zh-TW"/>
              </w:rPr>
            </w:pPr>
            <w:r>
              <w:rPr>
                <w:sz w:val="17"/>
                <w:lang w:eastAsia="zh-TW"/>
              </w:rPr>
              <w:lastRenderedPageBreak/>
              <w:t>資料庫條款是否允許</w:t>
            </w:r>
            <w:r>
              <w:rPr>
                <w:sz w:val="17"/>
                <w:lang w:eastAsia="zh-TW"/>
              </w:rPr>
              <w:t>AI</w:t>
            </w:r>
            <w:r>
              <w:rPr>
                <w:sz w:val="17"/>
                <w:lang w:eastAsia="zh-TW"/>
              </w:rPr>
              <w:t>、投</w:t>
            </w:r>
            <w:r>
              <w:rPr>
                <w:sz w:val="17"/>
                <w:lang w:eastAsia="zh-TW"/>
              </w:rPr>
              <w:lastRenderedPageBreak/>
              <w:t>標、商業利用？政府能否保全檢索與評選紀錄並暫停採納？</w:t>
            </w:r>
          </w:p>
        </w:tc>
        <w:tc>
          <w:tcPr>
            <w:tcW w:w="2484" w:type="dxa"/>
            <w:tcMar>
              <w:top w:w="90" w:type="dxa"/>
              <w:left w:w="100" w:type="dxa"/>
              <w:bottom w:w="90" w:type="dxa"/>
              <w:right w:w="100" w:type="dxa"/>
            </w:tcMar>
            <w:vAlign w:val="center"/>
          </w:tcPr>
          <w:p w14:paraId="43B76782" w14:textId="77777777" w:rsidR="0084721C" w:rsidRDefault="009B07FB">
            <w:pPr>
              <w:spacing w:line="252" w:lineRule="auto"/>
              <w:rPr>
                <w:lang w:eastAsia="zh-TW"/>
              </w:rPr>
            </w:pPr>
            <w:r>
              <w:rPr>
                <w:sz w:val="17"/>
                <w:lang w:eastAsia="zh-TW"/>
              </w:rPr>
              <w:lastRenderedPageBreak/>
              <w:t>只要「理念接近」就當然侵</w:t>
            </w:r>
            <w:r>
              <w:rPr>
                <w:sz w:val="17"/>
                <w:lang w:eastAsia="zh-TW"/>
              </w:rPr>
              <w:lastRenderedPageBreak/>
              <w:t>權；侵權仍由法院依個案認定。</w:t>
            </w:r>
          </w:p>
        </w:tc>
      </w:tr>
      <w:tr w:rsidR="0084721C" w14:paraId="5D0D7CC6" w14:textId="77777777">
        <w:trPr>
          <w:jc w:val="center"/>
        </w:trPr>
        <w:tc>
          <w:tcPr>
            <w:tcW w:w="2484" w:type="dxa"/>
            <w:tcMar>
              <w:top w:w="90" w:type="dxa"/>
              <w:left w:w="100" w:type="dxa"/>
              <w:bottom w:w="90" w:type="dxa"/>
              <w:right w:w="100" w:type="dxa"/>
            </w:tcMar>
            <w:vAlign w:val="center"/>
          </w:tcPr>
          <w:p w14:paraId="2CA5474A" w14:textId="77777777" w:rsidR="0084721C" w:rsidRDefault="009B07FB">
            <w:pPr>
              <w:spacing w:line="252" w:lineRule="auto"/>
            </w:pPr>
            <w:proofErr w:type="spellStart"/>
            <w:r>
              <w:rPr>
                <w:sz w:val="17"/>
              </w:rPr>
              <w:lastRenderedPageBreak/>
              <w:t>跨境供應鏈事件</w:t>
            </w:r>
            <w:proofErr w:type="spellEnd"/>
          </w:p>
        </w:tc>
        <w:tc>
          <w:tcPr>
            <w:tcW w:w="2484" w:type="dxa"/>
            <w:tcMar>
              <w:top w:w="90" w:type="dxa"/>
              <w:left w:w="100" w:type="dxa"/>
              <w:bottom w:w="90" w:type="dxa"/>
              <w:right w:w="100" w:type="dxa"/>
            </w:tcMar>
            <w:vAlign w:val="center"/>
          </w:tcPr>
          <w:p w14:paraId="5BACB547" w14:textId="77777777" w:rsidR="0084721C" w:rsidRDefault="009B07FB">
            <w:pPr>
              <w:spacing w:line="252" w:lineRule="auto"/>
              <w:rPr>
                <w:lang w:eastAsia="zh-TW"/>
              </w:rPr>
            </w:pPr>
            <w:r>
              <w:rPr>
                <w:sz w:val="17"/>
                <w:lang w:eastAsia="zh-TW"/>
              </w:rPr>
              <w:t>政府使用境外模型、資料集、</w:t>
            </w:r>
            <w:r>
              <w:rPr>
                <w:sz w:val="17"/>
                <w:lang w:eastAsia="zh-TW"/>
              </w:rPr>
              <w:t>API</w:t>
            </w:r>
            <w:r>
              <w:rPr>
                <w:sz w:val="17"/>
                <w:lang w:eastAsia="zh-TW"/>
              </w:rPr>
              <w:t>或開源微調模型，原始授權條件經多層轉手而失去可辨識性。</w:t>
            </w:r>
          </w:p>
        </w:tc>
        <w:tc>
          <w:tcPr>
            <w:tcW w:w="2484" w:type="dxa"/>
            <w:tcMar>
              <w:top w:w="90" w:type="dxa"/>
              <w:left w:w="100" w:type="dxa"/>
              <w:bottom w:w="90" w:type="dxa"/>
              <w:right w:w="100" w:type="dxa"/>
            </w:tcMar>
            <w:vAlign w:val="center"/>
          </w:tcPr>
          <w:p w14:paraId="0BB34501" w14:textId="77777777" w:rsidR="0084721C" w:rsidRDefault="009B07FB">
            <w:pPr>
              <w:spacing w:line="252" w:lineRule="auto"/>
              <w:rPr>
                <w:lang w:eastAsia="zh-TW"/>
              </w:rPr>
            </w:pPr>
            <w:r>
              <w:rPr>
                <w:sz w:val="17"/>
                <w:lang w:eastAsia="zh-TW"/>
              </w:rPr>
              <w:t>能否追到來源、</w:t>
            </w:r>
            <w:proofErr w:type="gramStart"/>
            <w:r>
              <w:rPr>
                <w:sz w:val="17"/>
                <w:lang w:eastAsia="zh-TW"/>
              </w:rPr>
              <w:t>法域、</w:t>
            </w:r>
            <w:proofErr w:type="gramEnd"/>
            <w:r>
              <w:rPr>
                <w:sz w:val="17"/>
                <w:lang w:eastAsia="zh-TW"/>
              </w:rPr>
              <w:t>再授權與供應商責任？能否移除來源、停止服務並保全紀錄？</w:t>
            </w:r>
          </w:p>
        </w:tc>
        <w:tc>
          <w:tcPr>
            <w:tcW w:w="2484" w:type="dxa"/>
            <w:tcMar>
              <w:top w:w="90" w:type="dxa"/>
              <w:left w:w="100" w:type="dxa"/>
              <w:bottom w:w="90" w:type="dxa"/>
              <w:right w:w="100" w:type="dxa"/>
            </w:tcMar>
            <w:vAlign w:val="center"/>
          </w:tcPr>
          <w:p w14:paraId="776AF387" w14:textId="77777777" w:rsidR="0084721C" w:rsidRDefault="009B07FB">
            <w:pPr>
              <w:spacing w:line="252" w:lineRule="auto"/>
              <w:rPr>
                <w:lang w:eastAsia="zh-TW"/>
              </w:rPr>
            </w:pPr>
            <w:r>
              <w:rPr>
                <w:sz w:val="17"/>
                <w:lang w:eastAsia="zh-TW"/>
              </w:rPr>
              <w:t>開源、公開可得或由供應商提供，即等於政府可自由利用。</w:t>
            </w:r>
          </w:p>
        </w:tc>
      </w:tr>
      <w:tr w:rsidR="0084721C" w14:paraId="5C6E67E5" w14:textId="77777777">
        <w:trPr>
          <w:jc w:val="center"/>
        </w:trPr>
        <w:tc>
          <w:tcPr>
            <w:tcW w:w="2484" w:type="dxa"/>
            <w:tcMar>
              <w:top w:w="90" w:type="dxa"/>
              <w:left w:w="100" w:type="dxa"/>
              <w:bottom w:w="90" w:type="dxa"/>
              <w:right w:w="100" w:type="dxa"/>
            </w:tcMar>
            <w:vAlign w:val="center"/>
          </w:tcPr>
          <w:p w14:paraId="6978A626" w14:textId="77777777" w:rsidR="0084721C" w:rsidRDefault="009B07FB">
            <w:pPr>
              <w:spacing w:line="252" w:lineRule="auto"/>
            </w:pPr>
            <w:proofErr w:type="spellStart"/>
            <w:r>
              <w:rPr>
                <w:sz w:val="17"/>
              </w:rPr>
              <w:t>高敏感技術合作事件</w:t>
            </w:r>
            <w:proofErr w:type="spellEnd"/>
          </w:p>
        </w:tc>
        <w:tc>
          <w:tcPr>
            <w:tcW w:w="2484" w:type="dxa"/>
            <w:tcMar>
              <w:top w:w="90" w:type="dxa"/>
              <w:left w:w="100" w:type="dxa"/>
              <w:bottom w:w="90" w:type="dxa"/>
              <w:right w:w="100" w:type="dxa"/>
            </w:tcMar>
            <w:vAlign w:val="center"/>
          </w:tcPr>
          <w:p w14:paraId="548AE110" w14:textId="77777777" w:rsidR="0084721C" w:rsidRDefault="009B07FB">
            <w:pPr>
              <w:spacing w:line="252" w:lineRule="auto"/>
              <w:rPr>
                <w:lang w:eastAsia="zh-TW"/>
              </w:rPr>
            </w:pPr>
            <w:r>
              <w:rPr>
                <w:sz w:val="17"/>
                <w:lang w:eastAsia="zh-TW"/>
              </w:rPr>
              <w:t>國防或關鍵技術</w:t>
            </w:r>
            <w:proofErr w:type="gramStart"/>
            <w:r>
              <w:rPr>
                <w:sz w:val="17"/>
                <w:lang w:eastAsia="zh-TW"/>
              </w:rPr>
              <w:t>共製中</w:t>
            </w:r>
            <w:proofErr w:type="gramEnd"/>
            <w:r>
              <w:rPr>
                <w:sz w:val="17"/>
                <w:lang w:eastAsia="zh-TW"/>
              </w:rPr>
              <w:t>，受用途限制的技術資料進入本地供應鏈、</w:t>
            </w:r>
            <w:proofErr w:type="gramStart"/>
            <w:r>
              <w:rPr>
                <w:sz w:val="17"/>
                <w:lang w:eastAsia="zh-TW"/>
              </w:rPr>
              <w:t>分包</w:t>
            </w:r>
            <w:proofErr w:type="gramEnd"/>
            <w:r>
              <w:rPr>
                <w:sz w:val="17"/>
                <w:lang w:eastAsia="zh-TW"/>
              </w:rPr>
              <w:t>或</w:t>
            </w:r>
            <w:r>
              <w:rPr>
                <w:sz w:val="17"/>
                <w:lang w:eastAsia="zh-TW"/>
              </w:rPr>
              <w:t>AI</w:t>
            </w:r>
            <w:r>
              <w:rPr>
                <w:sz w:val="17"/>
                <w:lang w:eastAsia="zh-TW"/>
              </w:rPr>
              <w:t>工具。</w:t>
            </w:r>
          </w:p>
        </w:tc>
        <w:tc>
          <w:tcPr>
            <w:tcW w:w="2484" w:type="dxa"/>
            <w:tcMar>
              <w:top w:w="90" w:type="dxa"/>
              <w:left w:w="100" w:type="dxa"/>
              <w:bottom w:w="90" w:type="dxa"/>
              <w:right w:w="100" w:type="dxa"/>
            </w:tcMar>
            <w:vAlign w:val="center"/>
          </w:tcPr>
          <w:p w14:paraId="6EE8F3CF" w14:textId="77777777" w:rsidR="0084721C" w:rsidRDefault="009B07FB">
            <w:pPr>
              <w:spacing w:line="252" w:lineRule="auto"/>
              <w:rPr>
                <w:lang w:eastAsia="zh-TW"/>
              </w:rPr>
            </w:pPr>
            <w:r>
              <w:rPr>
                <w:sz w:val="17"/>
                <w:lang w:eastAsia="zh-TW"/>
              </w:rPr>
              <w:t>能否在不可回復損害前控制用途、再移轉、分包、再出口與受控資料環境？</w:t>
            </w:r>
          </w:p>
        </w:tc>
        <w:tc>
          <w:tcPr>
            <w:tcW w:w="2484" w:type="dxa"/>
            <w:tcMar>
              <w:top w:w="90" w:type="dxa"/>
              <w:left w:w="100" w:type="dxa"/>
              <w:bottom w:w="90" w:type="dxa"/>
              <w:right w:w="100" w:type="dxa"/>
            </w:tcMar>
            <w:vAlign w:val="center"/>
          </w:tcPr>
          <w:p w14:paraId="79DE3399" w14:textId="77777777" w:rsidR="0084721C" w:rsidRDefault="009B07FB">
            <w:pPr>
              <w:spacing w:line="252" w:lineRule="auto"/>
              <w:rPr>
                <w:lang w:eastAsia="zh-TW"/>
              </w:rPr>
            </w:pPr>
            <w:r>
              <w:rPr>
                <w:sz w:val="17"/>
                <w:lang w:eastAsia="zh-TW"/>
              </w:rPr>
              <w:t>僅靠</w:t>
            </w:r>
            <w:r>
              <w:rPr>
                <w:sz w:val="17"/>
                <w:lang w:eastAsia="zh-TW"/>
              </w:rPr>
              <w:t>NDA</w:t>
            </w:r>
            <w:r>
              <w:rPr>
                <w:sz w:val="17"/>
                <w:lang w:eastAsia="zh-TW"/>
              </w:rPr>
              <w:t>、保密切結或事後仲裁即可防止不可回復的技術外流。</w:t>
            </w:r>
          </w:p>
        </w:tc>
      </w:tr>
    </w:tbl>
    <w:p w14:paraId="1294AB03" w14:textId="77777777" w:rsidR="0084721C" w:rsidRDefault="0084721C">
      <w:pPr>
        <w:spacing w:after="40"/>
        <w:rPr>
          <w:lang w:eastAsia="zh-TW"/>
        </w:rPr>
      </w:pPr>
    </w:p>
    <w:p w14:paraId="6C715E5D" w14:textId="77777777" w:rsidR="0084721C" w:rsidRDefault="009B07FB">
      <w:pPr>
        <w:spacing w:after="140" w:line="324" w:lineRule="auto"/>
        <w:rPr>
          <w:lang w:eastAsia="zh-TW"/>
        </w:rPr>
      </w:pPr>
      <w:r>
        <w:rPr>
          <w:b/>
          <w:sz w:val="26"/>
          <w:lang w:eastAsia="zh-TW"/>
        </w:rPr>
        <w:t>（二）情境</w:t>
      </w:r>
      <w:proofErr w:type="gramStart"/>
      <w:r>
        <w:rPr>
          <w:b/>
          <w:sz w:val="26"/>
          <w:lang w:eastAsia="zh-TW"/>
        </w:rPr>
        <w:t>一</w:t>
      </w:r>
      <w:proofErr w:type="gramEnd"/>
      <w:r>
        <w:rPr>
          <w:b/>
          <w:sz w:val="26"/>
          <w:lang w:eastAsia="zh-TW"/>
        </w:rPr>
        <w:t>：境外建築設計資料與公共投標</w:t>
      </w:r>
      <w:r>
        <w:rPr>
          <w:b/>
          <w:sz w:val="26"/>
          <w:lang w:eastAsia="zh-TW"/>
        </w:rPr>
        <w:t>RAG</w:t>
      </w:r>
    </w:p>
    <w:p w14:paraId="543E128A" w14:textId="77777777" w:rsidR="0084721C" w:rsidRDefault="009B07FB">
      <w:pPr>
        <w:spacing w:after="120" w:line="324" w:lineRule="auto"/>
        <w:rPr>
          <w:lang w:eastAsia="zh-TW"/>
        </w:rPr>
      </w:pPr>
      <w:r>
        <w:rPr>
          <w:lang w:eastAsia="zh-TW"/>
        </w:rPr>
        <w:t>某地方政府採購「</w:t>
      </w:r>
      <w:r>
        <w:rPr>
          <w:lang w:eastAsia="zh-TW"/>
        </w:rPr>
        <w:t>公共建築設計輔助</w:t>
      </w:r>
      <w:r>
        <w:rPr>
          <w:lang w:eastAsia="zh-TW"/>
        </w:rPr>
        <w:t>AI</w:t>
      </w:r>
      <w:r>
        <w:rPr>
          <w:lang w:eastAsia="zh-TW"/>
        </w:rPr>
        <w:t>」，資料來源包括境外知名建築師事務所公開於專業資料庫的設計圖說、說明書與案例研究。供應商將資料切塊、向量化，供評選委員會與承辦人檢索。數月後，境外事務所發現系統產出的設計說明與自家作品架構高度近似，且未標示來源，於是透過律師向機關提出異議，並同步知會原資料庫業者與所屬國家專業團體。</w:t>
      </w:r>
    </w:p>
    <w:p w14:paraId="6C5A229B" w14:textId="77777777" w:rsidR="0084721C" w:rsidRDefault="009B07FB">
      <w:pPr>
        <w:spacing w:after="120" w:line="324" w:lineRule="auto"/>
        <w:rPr>
          <w:lang w:eastAsia="zh-TW"/>
        </w:rPr>
      </w:pPr>
      <w:r>
        <w:rPr>
          <w:lang w:eastAsia="zh-TW"/>
        </w:rPr>
        <w:t>壓力測試發現的斷裂：</w:t>
      </w:r>
    </w:p>
    <w:p w14:paraId="58EE726B"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情境</w:t>
      </w:r>
      <w:proofErr w:type="gramStart"/>
      <w:r>
        <w:rPr>
          <w:lang w:eastAsia="zh-TW"/>
        </w:rPr>
        <w:t>建構</w:t>
      </w:r>
      <w:proofErr w:type="gramEnd"/>
      <w:r>
        <w:rPr>
          <w:lang w:eastAsia="zh-TW"/>
        </w:rPr>
        <w:t>鏈</w:t>
      </w:r>
      <w:r>
        <w:rPr>
          <w:lang w:eastAsia="zh-TW"/>
        </w:rPr>
        <w:t>**</w:t>
      </w:r>
      <w:r>
        <w:rPr>
          <w:lang w:eastAsia="zh-TW"/>
        </w:rPr>
        <w:t>：承辦人與供應商把「可瀏覽的專業資料庫」誤定義為「可供</w:t>
      </w:r>
      <w:r>
        <w:rPr>
          <w:lang w:eastAsia="zh-TW"/>
        </w:rPr>
        <w:t>RAG</w:t>
      </w:r>
      <w:r>
        <w:rPr>
          <w:lang w:eastAsia="zh-TW"/>
        </w:rPr>
        <w:t>與投標利用的公共設計靈感」。</w:t>
      </w:r>
    </w:p>
    <w:p w14:paraId="4EA8521B"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權威鏈</w:t>
      </w:r>
      <w:r>
        <w:rPr>
          <w:lang w:eastAsia="zh-TW"/>
        </w:rPr>
        <w:t>**</w:t>
      </w:r>
      <w:r>
        <w:rPr>
          <w:lang w:eastAsia="zh-TW"/>
        </w:rPr>
        <w:t>：資料庫授權條款多半只允許個人閱覽或非商業研究，未涵蓋政</w:t>
      </w:r>
      <w:r>
        <w:rPr>
          <w:lang w:eastAsia="zh-TW"/>
        </w:rPr>
        <w:t>府採購評選與</w:t>
      </w:r>
      <w:r>
        <w:rPr>
          <w:lang w:eastAsia="zh-TW"/>
        </w:rPr>
        <w:t>AI</w:t>
      </w:r>
      <w:r>
        <w:rPr>
          <w:lang w:eastAsia="zh-TW"/>
        </w:rPr>
        <w:t>改寫；機關無法指出誰有權決定此種使用。</w:t>
      </w:r>
    </w:p>
    <w:p w14:paraId="2A62AA7B"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理由鏈</w:t>
      </w:r>
      <w:r>
        <w:rPr>
          <w:lang w:eastAsia="zh-TW"/>
        </w:rPr>
        <w:t>**</w:t>
      </w:r>
      <w:r>
        <w:rPr>
          <w:lang w:eastAsia="zh-TW"/>
        </w:rPr>
        <w:t>：系統無法清楚說明哪些片段被檢索、如何影響最終評選；對外只能回答「資料公開可得」或「廠商保證無侵權」。</w:t>
      </w:r>
    </w:p>
    <w:p w14:paraId="2632EDE7"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責任鏈</w:t>
      </w:r>
      <w:r>
        <w:rPr>
          <w:lang w:eastAsia="zh-TW"/>
        </w:rPr>
        <w:t>**</w:t>
      </w:r>
      <w:r>
        <w:rPr>
          <w:lang w:eastAsia="zh-TW"/>
        </w:rPr>
        <w:t>：地方機關無力命令境外資料庫或次供應商停止；中央單位尚未被啟動，只能互相轉</w:t>
      </w:r>
      <w:proofErr w:type="gramStart"/>
      <w:r>
        <w:rPr>
          <w:lang w:eastAsia="zh-TW"/>
        </w:rPr>
        <w:t>介</w:t>
      </w:r>
      <w:proofErr w:type="gramEnd"/>
      <w:r>
        <w:rPr>
          <w:lang w:eastAsia="zh-TW"/>
        </w:rPr>
        <w:t>。</w:t>
      </w:r>
    </w:p>
    <w:p w14:paraId="0ADD79C2" w14:textId="77777777" w:rsidR="0084721C" w:rsidRDefault="009B07FB">
      <w:pPr>
        <w:spacing w:after="120" w:line="324" w:lineRule="auto"/>
        <w:rPr>
          <w:lang w:eastAsia="zh-TW"/>
        </w:rPr>
      </w:pPr>
      <w:r>
        <w:rPr>
          <w:lang w:eastAsia="zh-TW"/>
        </w:rPr>
        <w:t>此案例顯示：即使最終法院認定不構成侵權，政府已因無法提出事前證據而失去說明能力。預防性暫停（停止</w:t>
      </w:r>
      <w:r>
        <w:rPr>
          <w:lang w:eastAsia="zh-TW"/>
        </w:rPr>
        <w:t>RAG</w:t>
      </w:r>
      <w:r>
        <w:rPr>
          <w:lang w:eastAsia="zh-TW"/>
        </w:rPr>
        <w:t>檢索、暫停採納該來源、保全評選紀錄）若有契約依據，至少能在爭議期間避免損害擴大。</w:t>
      </w:r>
    </w:p>
    <w:p w14:paraId="6D94BBD9" w14:textId="77777777" w:rsidR="0084721C" w:rsidRDefault="009B07FB">
      <w:pPr>
        <w:spacing w:after="140" w:line="324" w:lineRule="auto"/>
        <w:rPr>
          <w:lang w:eastAsia="zh-TW"/>
        </w:rPr>
      </w:pPr>
      <w:r>
        <w:rPr>
          <w:b/>
          <w:sz w:val="26"/>
          <w:lang w:eastAsia="zh-TW"/>
        </w:rPr>
        <w:t>（三）情境二：跨境模型、資料集與</w:t>
      </w:r>
      <w:r>
        <w:rPr>
          <w:b/>
          <w:sz w:val="26"/>
          <w:lang w:eastAsia="zh-TW"/>
        </w:rPr>
        <w:t>API</w:t>
      </w:r>
      <w:r>
        <w:rPr>
          <w:b/>
          <w:sz w:val="26"/>
          <w:lang w:eastAsia="zh-TW"/>
        </w:rPr>
        <w:t>的權利來源洗淡</w:t>
      </w:r>
    </w:p>
    <w:p w14:paraId="7DF772C2" w14:textId="77777777" w:rsidR="0084721C" w:rsidRDefault="009B07FB">
      <w:pPr>
        <w:spacing w:after="120" w:line="324" w:lineRule="auto"/>
        <w:rPr>
          <w:lang w:eastAsia="zh-TW"/>
        </w:rPr>
      </w:pPr>
      <w:r>
        <w:rPr>
          <w:lang w:eastAsia="zh-TW"/>
        </w:rPr>
        <w:lastRenderedPageBreak/>
        <w:t>某中央機關採購「政策研究與公共問答</w:t>
      </w:r>
      <w:r>
        <w:rPr>
          <w:lang w:eastAsia="zh-TW"/>
        </w:rPr>
        <w:t>AI</w:t>
      </w:r>
      <w:r>
        <w:rPr>
          <w:lang w:eastAsia="zh-TW"/>
        </w:rPr>
        <w:t>助理」，後端使用境外開源微調模型與第三方</w:t>
      </w:r>
      <w:r>
        <w:rPr>
          <w:lang w:eastAsia="zh-TW"/>
        </w:rPr>
        <w:t>API</w:t>
      </w:r>
      <w:r>
        <w:rPr>
          <w:lang w:eastAsia="zh-TW"/>
        </w:rPr>
        <w:t>。原始訓練或檢索資料經</w:t>
      </w:r>
      <w:proofErr w:type="gramStart"/>
      <w:r>
        <w:rPr>
          <w:lang w:eastAsia="zh-TW"/>
        </w:rPr>
        <w:t>多次爬取</w:t>
      </w:r>
      <w:proofErr w:type="gramEnd"/>
      <w:r>
        <w:rPr>
          <w:lang w:eastAsia="zh-TW"/>
        </w:rPr>
        <w:t>、彙整、蒸餾與再包裝，原始授權條件已無法追溯。境外權利人（或權利人團體）主張其作品被用於訓練或檢索，要求臺灣政府說明與停止。</w:t>
      </w:r>
    </w:p>
    <w:p w14:paraId="18FA714B" w14:textId="77777777" w:rsidR="0084721C" w:rsidRDefault="009B07FB">
      <w:pPr>
        <w:spacing w:after="120" w:line="324" w:lineRule="auto"/>
        <w:rPr>
          <w:lang w:eastAsia="zh-TW"/>
        </w:rPr>
      </w:pPr>
      <w:r>
        <w:rPr>
          <w:lang w:eastAsia="zh-TW"/>
        </w:rPr>
        <w:t>此處「權利</w:t>
      </w:r>
      <w:proofErr w:type="gramStart"/>
      <w:r>
        <w:rPr>
          <w:lang w:eastAsia="zh-TW"/>
        </w:rPr>
        <w:t>來源洗淡</w:t>
      </w:r>
      <w:proofErr w:type="gramEnd"/>
      <w:r>
        <w:rPr>
          <w:lang w:eastAsia="zh-TW"/>
        </w:rPr>
        <w:t>」風險最為明顯：每多一層技術轉手，原始授權條件就更難被追溯一次。若機關以「開源模型」「供應商提供」為由不再追問，原始作者的權利與政府的說明能力同時</w:t>
      </w:r>
      <w:proofErr w:type="gramStart"/>
      <w:r>
        <w:rPr>
          <w:lang w:eastAsia="zh-TW"/>
        </w:rPr>
        <w:t>被洗淡</w:t>
      </w:r>
      <w:proofErr w:type="gramEnd"/>
      <w:r>
        <w:rPr>
          <w:lang w:eastAsia="zh-TW"/>
        </w:rPr>
        <w:t>。</w:t>
      </w:r>
    </w:p>
    <w:p w14:paraId="5AD9049D" w14:textId="77777777" w:rsidR="0084721C" w:rsidRDefault="009B07FB">
      <w:pPr>
        <w:spacing w:after="120" w:line="324" w:lineRule="auto"/>
        <w:rPr>
          <w:lang w:eastAsia="zh-TW"/>
        </w:rPr>
      </w:pPr>
      <w:r>
        <w:rPr>
          <w:lang w:eastAsia="zh-TW"/>
        </w:rPr>
        <w:t>壓力測試重點在於：政府能否要求供應商交付可查核的權利來源證據包（法域、資料流、再授權、分包、部署</w:t>
      </w:r>
      <w:r>
        <w:rPr>
          <w:lang w:eastAsia="zh-TW"/>
        </w:rPr>
        <w:t>地、可移除能力）？若不能，則即使技術上可停止服務，也無法向境外權利人證明「我們曾努力確認權利」。</w:t>
      </w:r>
    </w:p>
    <w:p w14:paraId="5292E7FB" w14:textId="77777777" w:rsidR="0084721C" w:rsidRDefault="009B07FB">
      <w:pPr>
        <w:spacing w:after="140" w:line="324" w:lineRule="auto"/>
        <w:rPr>
          <w:lang w:eastAsia="zh-TW"/>
        </w:rPr>
      </w:pPr>
      <w:r>
        <w:rPr>
          <w:b/>
          <w:sz w:val="26"/>
          <w:lang w:eastAsia="zh-TW"/>
        </w:rPr>
        <w:t>（四）情境三（邊界驗證）：高敏感技術合作與供應鏈使用範圍失控</w:t>
      </w:r>
    </w:p>
    <w:p w14:paraId="68DA6611" w14:textId="77777777" w:rsidR="0084721C" w:rsidRDefault="009B07FB">
      <w:pPr>
        <w:spacing w:after="120" w:line="324" w:lineRule="auto"/>
        <w:rPr>
          <w:lang w:eastAsia="zh-TW"/>
        </w:rPr>
      </w:pPr>
      <w:r>
        <w:rPr>
          <w:lang w:eastAsia="zh-TW"/>
        </w:rPr>
        <w:t>在國防或關鍵技術</w:t>
      </w:r>
      <w:proofErr w:type="gramStart"/>
      <w:r>
        <w:rPr>
          <w:lang w:eastAsia="zh-TW"/>
        </w:rPr>
        <w:t>共製案</w:t>
      </w:r>
      <w:proofErr w:type="gramEnd"/>
      <w:r>
        <w:rPr>
          <w:lang w:eastAsia="zh-TW"/>
        </w:rPr>
        <w:t>中，外國技術</w:t>
      </w:r>
      <w:proofErr w:type="gramStart"/>
      <w:r>
        <w:rPr>
          <w:lang w:eastAsia="zh-TW"/>
        </w:rPr>
        <w:t>資料依技</w:t>
      </w:r>
      <w:proofErr w:type="gramEnd"/>
      <w:r>
        <w:rPr>
          <w:lang w:eastAsia="zh-TW"/>
        </w:rPr>
        <w:t>轉、保密、用途限制或出口管制條件進入本地供應鏈、分包商或</w:t>
      </w:r>
      <w:r>
        <w:rPr>
          <w:lang w:eastAsia="zh-TW"/>
        </w:rPr>
        <w:t>AI</w:t>
      </w:r>
      <w:r>
        <w:rPr>
          <w:lang w:eastAsia="zh-TW"/>
        </w:rPr>
        <w:t>輔助設計工具。風險核心不再是著作權是否被重製，而是受控資料是否被超出目的使用、交予未獲核准者、再移轉、再出口，或輸入未被允許的訓練、檢索或雲端環境。一旦輸出國政府或原技術供應商提出異議，技術外流與合作關係破裂可能已不可回復。</w:t>
      </w:r>
    </w:p>
    <w:p w14:paraId="1D8A8ADF" w14:textId="77777777" w:rsidR="0084721C" w:rsidRDefault="009B07FB">
      <w:pPr>
        <w:spacing w:after="120" w:line="324" w:lineRule="auto"/>
        <w:rPr>
          <w:lang w:eastAsia="zh-TW"/>
        </w:rPr>
      </w:pPr>
      <w:r>
        <w:rPr>
          <w:lang w:eastAsia="zh-TW"/>
        </w:rPr>
        <w:t>此案例因此不是第一、二案</w:t>
      </w:r>
      <w:r>
        <w:rPr>
          <w:lang w:eastAsia="zh-TW"/>
        </w:rPr>
        <w:t>的「高風險著作權版」。它檢驗的是：目的機關、主承包商與分包商能否在用途限制被突破前，隔離受控資料、停止未授權存取、保全交付及存取紀錄，並依既有保密、</w:t>
      </w:r>
      <w:proofErr w:type="gramStart"/>
      <w:r>
        <w:rPr>
          <w:lang w:eastAsia="zh-TW"/>
        </w:rPr>
        <w:t>資安</w:t>
      </w:r>
      <w:proofErr w:type="gramEnd"/>
      <w:r>
        <w:rPr>
          <w:lang w:eastAsia="zh-TW"/>
        </w:rPr>
        <w:t>、採購與出口管制程序升級。民事救濟即使存在，亦不足以回復全部後果。</w:t>
      </w:r>
    </w:p>
    <w:p w14:paraId="66FE47AE" w14:textId="77777777" w:rsidR="0084721C" w:rsidRDefault="009B07FB">
      <w:pPr>
        <w:spacing w:after="100" w:line="324" w:lineRule="auto"/>
        <w:rPr>
          <w:lang w:eastAsia="zh-TW"/>
        </w:rPr>
      </w:pPr>
      <w:r>
        <w:rPr>
          <w:b/>
          <w:sz w:val="23"/>
          <w:lang w:eastAsia="zh-TW"/>
        </w:rPr>
        <w:t>接觸不等於利用：智財與契約法的共同界線</w:t>
      </w:r>
    </w:p>
    <w:p w14:paraId="4410C0AB" w14:textId="77777777" w:rsidR="0084721C" w:rsidRDefault="009B07FB">
      <w:pPr>
        <w:spacing w:after="120" w:line="324" w:lineRule="auto"/>
        <w:rPr>
          <w:lang w:eastAsia="zh-TW"/>
        </w:rPr>
      </w:pPr>
      <w:r>
        <w:rPr>
          <w:lang w:eastAsia="zh-TW"/>
        </w:rPr>
        <w:t>本篇所稱「接觸權不等於利用權」，不是創造新的智慧財產權概念，而是區分三種不同法律效果。在著作權爭議中，能證明接觸特定作品，可能是個案判斷是否存在接觸事實的材料之</w:t>
      </w:r>
      <w:proofErr w:type="gramStart"/>
      <w:r>
        <w:rPr>
          <w:lang w:eastAsia="zh-TW"/>
        </w:rPr>
        <w:t>一</w:t>
      </w:r>
      <w:proofErr w:type="gramEnd"/>
      <w:r>
        <w:rPr>
          <w:lang w:eastAsia="zh-TW"/>
        </w:rPr>
        <w:t>；它本身不等於取得重製、改作、公開傳輸或其他利用的授權。在營業秘密或敏感技術合作中，受控環</w:t>
      </w:r>
      <w:r>
        <w:rPr>
          <w:lang w:eastAsia="zh-TW"/>
        </w:rPr>
        <w:t>境下的接觸通常更可能附帶保密、用途、受讓人與再移轉限制；它不能被推定為可拆解、改良、分包、再出口或輸入</w:t>
      </w:r>
      <w:r>
        <w:rPr>
          <w:lang w:eastAsia="zh-TW"/>
        </w:rPr>
        <w:t>AI</w:t>
      </w:r>
      <w:r>
        <w:rPr>
          <w:lang w:eastAsia="zh-TW"/>
        </w:rPr>
        <w:t>的權利。至於契約關係，帳號、資料庫、</w:t>
      </w:r>
      <w:r>
        <w:rPr>
          <w:lang w:eastAsia="zh-TW"/>
        </w:rPr>
        <w:t>NDA</w:t>
      </w:r>
      <w:r>
        <w:rPr>
          <w:lang w:eastAsia="zh-TW"/>
        </w:rPr>
        <w:t>、技轉</w:t>
      </w:r>
      <w:proofErr w:type="gramStart"/>
      <w:r>
        <w:rPr>
          <w:lang w:eastAsia="zh-TW"/>
        </w:rPr>
        <w:t>或共製安排</w:t>
      </w:r>
      <w:proofErr w:type="gramEnd"/>
      <w:r>
        <w:rPr>
          <w:lang w:eastAsia="zh-TW"/>
        </w:rPr>
        <w:t>所允許的閱覽、研究、測試或維修範圍，亦不當然涵蓋切塊、向量化、</w:t>
      </w:r>
      <w:r>
        <w:rPr>
          <w:lang w:eastAsia="zh-TW"/>
        </w:rPr>
        <w:t>RAG</w:t>
      </w:r>
      <w:r>
        <w:rPr>
          <w:lang w:eastAsia="zh-TW"/>
        </w:rPr>
        <w:t>檢索、微調、模型訓練或對外公共服務。</w:t>
      </w:r>
    </w:p>
    <w:p w14:paraId="51BC2D85" w14:textId="77777777" w:rsidR="0084721C" w:rsidRDefault="009B07FB">
      <w:pPr>
        <w:spacing w:after="120" w:line="324" w:lineRule="auto"/>
        <w:rPr>
          <w:lang w:eastAsia="zh-TW"/>
        </w:rPr>
      </w:pPr>
      <w:r>
        <w:rPr>
          <w:lang w:eastAsia="zh-TW"/>
        </w:rPr>
        <w:lastRenderedPageBreak/>
        <w:t>因此，政府</w:t>
      </w:r>
      <w:r>
        <w:rPr>
          <w:lang w:eastAsia="zh-TW"/>
        </w:rPr>
        <w:t>AI</w:t>
      </w:r>
      <w:r>
        <w:rPr>
          <w:lang w:eastAsia="zh-TW"/>
        </w:rPr>
        <w:t>採購必須把「是否接觸得到」改寫</w:t>
      </w:r>
      <w:proofErr w:type="gramStart"/>
      <w:r>
        <w:rPr>
          <w:lang w:eastAsia="zh-TW"/>
        </w:rPr>
        <w:t>為可逐項</w:t>
      </w:r>
      <w:proofErr w:type="gramEnd"/>
      <w:r>
        <w:rPr>
          <w:lang w:eastAsia="zh-TW"/>
        </w:rPr>
        <w:t>驗證的問題：誰授予何種利用、可以由誰處理、用於何種目的、交給何種次處理者、保存於何處、何時必須停止。這正是第十八篇四級授權與</w:t>
      </w:r>
      <w:proofErr w:type="gramStart"/>
      <w:r>
        <w:rPr>
          <w:lang w:eastAsia="zh-TW"/>
        </w:rPr>
        <w:t>第十九篇跨境</w:t>
      </w:r>
      <w:proofErr w:type="gramEnd"/>
      <w:r>
        <w:rPr>
          <w:lang w:eastAsia="zh-TW"/>
        </w:rPr>
        <w:t>證據包的銜接點。</w:t>
      </w:r>
    </w:p>
    <w:p w14:paraId="3B2B3982" w14:textId="77777777" w:rsidR="0084721C" w:rsidRDefault="009B07FB">
      <w:pPr>
        <w:spacing w:after="40" w:line="324" w:lineRule="auto"/>
        <w:jc w:val="center"/>
        <w:rPr>
          <w:lang w:eastAsia="zh-TW"/>
        </w:rPr>
      </w:pPr>
      <w:r>
        <w:rPr>
          <w:b/>
          <w:sz w:val="36"/>
          <w:lang w:eastAsia="zh-TW"/>
        </w:rPr>
        <w:t>表：兩種國際事件的異質案例比較（摘要</w:t>
      </w:r>
      <w:r>
        <w:rPr>
          <w:b/>
          <w:sz w:val="36"/>
          <w:lang w:eastAsia="zh-TW"/>
        </w:rPr>
        <w:t>）</w:t>
      </w:r>
    </w:p>
    <w:tbl>
      <w:tblPr>
        <w:tblStyle w:val="aff2"/>
        <w:tblW w:w="0" w:type="auto"/>
        <w:jc w:val="center"/>
        <w:tblLook w:val="04A0" w:firstRow="1" w:lastRow="0" w:firstColumn="1" w:lastColumn="0" w:noHBand="0" w:noVBand="1"/>
      </w:tblPr>
      <w:tblGrid>
        <w:gridCol w:w="3312"/>
        <w:gridCol w:w="3312"/>
        <w:gridCol w:w="3312"/>
      </w:tblGrid>
      <w:tr w:rsidR="0084721C" w14:paraId="2C12E347" w14:textId="77777777">
        <w:trPr>
          <w:jc w:val="center"/>
        </w:trPr>
        <w:tc>
          <w:tcPr>
            <w:tcW w:w="3312" w:type="dxa"/>
            <w:shd w:val="clear" w:color="auto" w:fill="DCE6F2"/>
            <w:tcMar>
              <w:top w:w="90" w:type="dxa"/>
              <w:left w:w="100" w:type="dxa"/>
              <w:bottom w:w="90" w:type="dxa"/>
              <w:right w:w="100" w:type="dxa"/>
            </w:tcMar>
            <w:vAlign w:val="center"/>
          </w:tcPr>
          <w:p w14:paraId="044A032D" w14:textId="77777777" w:rsidR="0084721C" w:rsidRDefault="009B07FB">
            <w:pPr>
              <w:spacing w:line="252" w:lineRule="auto"/>
            </w:pPr>
            <w:proofErr w:type="spellStart"/>
            <w:r>
              <w:rPr>
                <w:b/>
                <w:sz w:val="17"/>
              </w:rPr>
              <w:t>比較項目</w:t>
            </w:r>
            <w:proofErr w:type="spellEnd"/>
          </w:p>
        </w:tc>
        <w:tc>
          <w:tcPr>
            <w:tcW w:w="3312" w:type="dxa"/>
            <w:shd w:val="clear" w:color="auto" w:fill="DCE6F2"/>
            <w:tcMar>
              <w:top w:w="90" w:type="dxa"/>
              <w:left w:w="100" w:type="dxa"/>
              <w:bottom w:w="90" w:type="dxa"/>
              <w:right w:w="100" w:type="dxa"/>
            </w:tcMar>
            <w:vAlign w:val="center"/>
          </w:tcPr>
          <w:p w14:paraId="26688BBF" w14:textId="77777777" w:rsidR="0084721C" w:rsidRDefault="009B07FB">
            <w:pPr>
              <w:spacing w:line="252" w:lineRule="auto"/>
              <w:rPr>
                <w:lang w:eastAsia="zh-TW"/>
              </w:rPr>
            </w:pPr>
            <w:r>
              <w:rPr>
                <w:b/>
                <w:sz w:val="17"/>
                <w:lang w:eastAsia="zh-TW"/>
              </w:rPr>
              <w:t>國際建築師</w:t>
            </w:r>
            <w:r>
              <w:rPr>
                <w:b/>
                <w:sz w:val="17"/>
                <w:lang w:eastAsia="zh-TW"/>
              </w:rPr>
              <w:t>RAG</w:t>
            </w:r>
            <w:r>
              <w:rPr>
                <w:b/>
                <w:sz w:val="17"/>
                <w:lang w:eastAsia="zh-TW"/>
              </w:rPr>
              <w:t>投標案</w:t>
            </w:r>
          </w:p>
        </w:tc>
        <w:tc>
          <w:tcPr>
            <w:tcW w:w="3312" w:type="dxa"/>
            <w:shd w:val="clear" w:color="auto" w:fill="DCE6F2"/>
            <w:tcMar>
              <w:top w:w="90" w:type="dxa"/>
              <w:left w:w="100" w:type="dxa"/>
              <w:bottom w:w="90" w:type="dxa"/>
              <w:right w:w="100" w:type="dxa"/>
            </w:tcMar>
            <w:vAlign w:val="center"/>
          </w:tcPr>
          <w:p w14:paraId="13C5F349" w14:textId="77777777" w:rsidR="0084721C" w:rsidRDefault="009B07FB">
            <w:pPr>
              <w:spacing w:line="252" w:lineRule="auto"/>
              <w:rPr>
                <w:lang w:eastAsia="zh-TW"/>
              </w:rPr>
            </w:pPr>
            <w:proofErr w:type="gramStart"/>
            <w:r>
              <w:rPr>
                <w:b/>
                <w:sz w:val="17"/>
                <w:lang w:eastAsia="zh-TW"/>
              </w:rPr>
              <w:t>國防共製與</w:t>
            </w:r>
            <w:proofErr w:type="gramEnd"/>
            <w:r>
              <w:rPr>
                <w:b/>
                <w:sz w:val="17"/>
                <w:lang w:eastAsia="zh-TW"/>
              </w:rPr>
              <w:t>無人機技術案</w:t>
            </w:r>
          </w:p>
        </w:tc>
      </w:tr>
      <w:tr w:rsidR="0084721C" w14:paraId="5501DA9E" w14:textId="77777777">
        <w:trPr>
          <w:jc w:val="center"/>
        </w:trPr>
        <w:tc>
          <w:tcPr>
            <w:tcW w:w="3312" w:type="dxa"/>
            <w:tcMar>
              <w:top w:w="90" w:type="dxa"/>
              <w:left w:w="100" w:type="dxa"/>
              <w:bottom w:w="90" w:type="dxa"/>
              <w:right w:w="100" w:type="dxa"/>
            </w:tcMar>
            <w:vAlign w:val="center"/>
          </w:tcPr>
          <w:p w14:paraId="6BA5F7A0" w14:textId="77777777" w:rsidR="0084721C" w:rsidRDefault="009B07FB">
            <w:pPr>
              <w:spacing w:line="252" w:lineRule="auto"/>
            </w:pPr>
            <w:proofErr w:type="spellStart"/>
            <w:r>
              <w:rPr>
                <w:sz w:val="17"/>
              </w:rPr>
              <w:t>主要權利</w:t>
            </w:r>
            <w:proofErr w:type="spellEnd"/>
          </w:p>
        </w:tc>
        <w:tc>
          <w:tcPr>
            <w:tcW w:w="3312" w:type="dxa"/>
            <w:tcMar>
              <w:top w:w="90" w:type="dxa"/>
              <w:left w:w="100" w:type="dxa"/>
              <w:bottom w:w="90" w:type="dxa"/>
              <w:right w:w="100" w:type="dxa"/>
            </w:tcMar>
            <w:vAlign w:val="center"/>
          </w:tcPr>
          <w:p w14:paraId="5919B759" w14:textId="77777777" w:rsidR="0084721C" w:rsidRDefault="009B07FB">
            <w:pPr>
              <w:spacing w:line="252" w:lineRule="auto"/>
              <w:rPr>
                <w:lang w:eastAsia="zh-TW"/>
              </w:rPr>
            </w:pPr>
            <w:r>
              <w:rPr>
                <w:sz w:val="17"/>
                <w:lang w:eastAsia="zh-TW"/>
              </w:rPr>
              <w:t>著作權、資料庫契約、可能的人格權</w:t>
            </w:r>
          </w:p>
        </w:tc>
        <w:tc>
          <w:tcPr>
            <w:tcW w:w="3312" w:type="dxa"/>
            <w:tcMar>
              <w:top w:w="90" w:type="dxa"/>
              <w:left w:w="100" w:type="dxa"/>
              <w:bottom w:w="90" w:type="dxa"/>
              <w:right w:w="100" w:type="dxa"/>
            </w:tcMar>
            <w:vAlign w:val="center"/>
          </w:tcPr>
          <w:p w14:paraId="4A9BC5D8" w14:textId="77777777" w:rsidR="0084721C" w:rsidRDefault="009B07FB">
            <w:pPr>
              <w:spacing w:line="252" w:lineRule="auto"/>
              <w:rPr>
                <w:lang w:eastAsia="zh-TW"/>
              </w:rPr>
            </w:pPr>
            <w:r>
              <w:rPr>
                <w:sz w:val="17"/>
                <w:lang w:eastAsia="zh-TW"/>
              </w:rPr>
              <w:t>專利、著作權、營業秘密、技術授權、機密與出口管制</w:t>
            </w:r>
          </w:p>
        </w:tc>
      </w:tr>
      <w:tr w:rsidR="0084721C" w14:paraId="734AC76E" w14:textId="77777777">
        <w:trPr>
          <w:jc w:val="center"/>
        </w:trPr>
        <w:tc>
          <w:tcPr>
            <w:tcW w:w="3312" w:type="dxa"/>
            <w:tcMar>
              <w:top w:w="90" w:type="dxa"/>
              <w:left w:w="100" w:type="dxa"/>
              <w:bottom w:w="90" w:type="dxa"/>
              <w:right w:w="100" w:type="dxa"/>
            </w:tcMar>
            <w:vAlign w:val="center"/>
          </w:tcPr>
          <w:p w14:paraId="432CAF7F" w14:textId="77777777" w:rsidR="0084721C" w:rsidRDefault="009B07FB">
            <w:pPr>
              <w:spacing w:line="252" w:lineRule="auto"/>
            </w:pPr>
            <w:proofErr w:type="spellStart"/>
            <w:r>
              <w:rPr>
                <w:sz w:val="17"/>
              </w:rPr>
              <w:t>最常見錯誤</w:t>
            </w:r>
            <w:proofErr w:type="spellEnd"/>
          </w:p>
        </w:tc>
        <w:tc>
          <w:tcPr>
            <w:tcW w:w="3312" w:type="dxa"/>
            <w:tcMar>
              <w:top w:w="90" w:type="dxa"/>
              <w:left w:w="100" w:type="dxa"/>
              <w:bottom w:w="90" w:type="dxa"/>
              <w:right w:w="100" w:type="dxa"/>
            </w:tcMar>
            <w:vAlign w:val="center"/>
          </w:tcPr>
          <w:p w14:paraId="24557BA5" w14:textId="77777777" w:rsidR="0084721C" w:rsidRDefault="009B07FB">
            <w:pPr>
              <w:spacing w:line="252" w:lineRule="auto"/>
              <w:rPr>
                <w:lang w:eastAsia="zh-TW"/>
              </w:rPr>
            </w:pPr>
            <w:r>
              <w:rPr>
                <w:sz w:val="17"/>
                <w:lang w:eastAsia="zh-TW"/>
              </w:rPr>
              <w:t>把「可瀏覽」當成「可供</w:t>
            </w:r>
            <w:r>
              <w:rPr>
                <w:sz w:val="17"/>
                <w:lang w:eastAsia="zh-TW"/>
              </w:rPr>
              <w:t>RAG</w:t>
            </w:r>
            <w:r>
              <w:rPr>
                <w:sz w:val="17"/>
                <w:lang w:eastAsia="zh-TW"/>
              </w:rPr>
              <w:t>與投標利用」</w:t>
            </w:r>
          </w:p>
        </w:tc>
        <w:tc>
          <w:tcPr>
            <w:tcW w:w="3312" w:type="dxa"/>
            <w:tcMar>
              <w:top w:w="90" w:type="dxa"/>
              <w:left w:w="100" w:type="dxa"/>
              <w:bottom w:w="90" w:type="dxa"/>
              <w:right w:w="100" w:type="dxa"/>
            </w:tcMar>
            <w:vAlign w:val="center"/>
          </w:tcPr>
          <w:p w14:paraId="7E7540FB" w14:textId="77777777" w:rsidR="0084721C" w:rsidRDefault="009B07FB">
            <w:pPr>
              <w:spacing w:line="252" w:lineRule="auto"/>
              <w:rPr>
                <w:lang w:eastAsia="zh-TW"/>
              </w:rPr>
            </w:pPr>
            <w:r>
              <w:rPr>
                <w:sz w:val="17"/>
                <w:lang w:eastAsia="zh-TW"/>
              </w:rPr>
              <w:t>把「可接觸／</w:t>
            </w:r>
            <w:proofErr w:type="gramStart"/>
            <w:r>
              <w:rPr>
                <w:sz w:val="17"/>
                <w:lang w:eastAsia="zh-TW"/>
              </w:rPr>
              <w:t>可共製</w:t>
            </w:r>
            <w:proofErr w:type="gramEnd"/>
            <w:r>
              <w:rPr>
                <w:sz w:val="17"/>
                <w:lang w:eastAsia="zh-TW"/>
              </w:rPr>
              <w:t>」當成「可拆解、改良、</w:t>
            </w:r>
            <w:proofErr w:type="gramStart"/>
            <w:r>
              <w:rPr>
                <w:sz w:val="17"/>
                <w:lang w:eastAsia="zh-TW"/>
              </w:rPr>
              <w:t>轉給次供應</w:t>
            </w:r>
            <w:proofErr w:type="gramEnd"/>
            <w:r>
              <w:rPr>
                <w:sz w:val="17"/>
                <w:lang w:eastAsia="zh-TW"/>
              </w:rPr>
              <w:t>商或輸入</w:t>
            </w:r>
            <w:r>
              <w:rPr>
                <w:sz w:val="17"/>
                <w:lang w:eastAsia="zh-TW"/>
              </w:rPr>
              <w:t>AI</w:t>
            </w:r>
            <w:r>
              <w:rPr>
                <w:sz w:val="17"/>
                <w:lang w:eastAsia="zh-TW"/>
              </w:rPr>
              <w:t>」</w:t>
            </w:r>
          </w:p>
        </w:tc>
      </w:tr>
      <w:tr w:rsidR="0084721C" w14:paraId="642E6CB3" w14:textId="77777777">
        <w:trPr>
          <w:jc w:val="center"/>
        </w:trPr>
        <w:tc>
          <w:tcPr>
            <w:tcW w:w="3312" w:type="dxa"/>
            <w:tcMar>
              <w:top w:w="90" w:type="dxa"/>
              <w:left w:w="100" w:type="dxa"/>
              <w:bottom w:w="90" w:type="dxa"/>
              <w:right w:w="100" w:type="dxa"/>
            </w:tcMar>
            <w:vAlign w:val="center"/>
          </w:tcPr>
          <w:p w14:paraId="16D1B6AF" w14:textId="77777777" w:rsidR="0084721C" w:rsidRDefault="009B07FB">
            <w:pPr>
              <w:spacing w:line="252" w:lineRule="auto"/>
            </w:pPr>
            <w:proofErr w:type="spellStart"/>
            <w:r>
              <w:rPr>
                <w:sz w:val="17"/>
              </w:rPr>
              <w:t>先期停止</w:t>
            </w:r>
            <w:proofErr w:type="spellEnd"/>
          </w:p>
        </w:tc>
        <w:tc>
          <w:tcPr>
            <w:tcW w:w="3312" w:type="dxa"/>
            <w:tcMar>
              <w:top w:w="90" w:type="dxa"/>
              <w:left w:w="100" w:type="dxa"/>
              <w:bottom w:w="90" w:type="dxa"/>
              <w:right w:w="100" w:type="dxa"/>
            </w:tcMar>
            <w:vAlign w:val="center"/>
          </w:tcPr>
          <w:p w14:paraId="065A0476" w14:textId="77777777" w:rsidR="0084721C" w:rsidRDefault="009B07FB">
            <w:pPr>
              <w:spacing w:line="252" w:lineRule="auto"/>
              <w:rPr>
                <w:lang w:eastAsia="zh-TW"/>
              </w:rPr>
            </w:pPr>
            <w:r>
              <w:rPr>
                <w:sz w:val="17"/>
                <w:lang w:eastAsia="zh-TW"/>
              </w:rPr>
              <w:t>停止</w:t>
            </w:r>
            <w:r>
              <w:rPr>
                <w:sz w:val="17"/>
                <w:lang w:eastAsia="zh-TW"/>
              </w:rPr>
              <w:t>RAG</w:t>
            </w:r>
            <w:r>
              <w:rPr>
                <w:sz w:val="17"/>
                <w:lang w:eastAsia="zh-TW"/>
              </w:rPr>
              <w:t>檢索、暫停採納、保全評選紀錄</w:t>
            </w:r>
          </w:p>
        </w:tc>
        <w:tc>
          <w:tcPr>
            <w:tcW w:w="3312" w:type="dxa"/>
            <w:tcMar>
              <w:top w:w="90" w:type="dxa"/>
              <w:left w:w="100" w:type="dxa"/>
              <w:bottom w:w="90" w:type="dxa"/>
              <w:right w:w="100" w:type="dxa"/>
            </w:tcMar>
            <w:vAlign w:val="center"/>
          </w:tcPr>
          <w:p w14:paraId="4669CEC6" w14:textId="77777777" w:rsidR="0084721C" w:rsidRDefault="009B07FB">
            <w:pPr>
              <w:spacing w:line="252" w:lineRule="auto"/>
              <w:rPr>
                <w:lang w:eastAsia="zh-TW"/>
              </w:rPr>
            </w:pPr>
            <w:r>
              <w:rPr>
                <w:sz w:val="17"/>
                <w:lang w:eastAsia="zh-TW"/>
              </w:rPr>
              <w:t>隔離資料、停止分包／製造／系統存取，啟動機密</w:t>
            </w:r>
            <w:proofErr w:type="gramStart"/>
            <w:r>
              <w:rPr>
                <w:sz w:val="17"/>
                <w:lang w:eastAsia="zh-TW"/>
              </w:rPr>
              <w:t>與資安事件</w:t>
            </w:r>
            <w:proofErr w:type="gramEnd"/>
            <w:r>
              <w:rPr>
                <w:sz w:val="17"/>
                <w:lang w:eastAsia="zh-TW"/>
              </w:rPr>
              <w:t>程序</w:t>
            </w:r>
          </w:p>
        </w:tc>
      </w:tr>
      <w:tr w:rsidR="0084721C" w14:paraId="3E379EEC" w14:textId="77777777">
        <w:trPr>
          <w:jc w:val="center"/>
        </w:trPr>
        <w:tc>
          <w:tcPr>
            <w:tcW w:w="3312" w:type="dxa"/>
            <w:tcMar>
              <w:top w:w="90" w:type="dxa"/>
              <w:left w:w="100" w:type="dxa"/>
              <w:bottom w:w="90" w:type="dxa"/>
              <w:right w:w="100" w:type="dxa"/>
            </w:tcMar>
            <w:vAlign w:val="center"/>
          </w:tcPr>
          <w:p w14:paraId="640D0902" w14:textId="77777777" w:rsidR="0084721C" w:rsidRDefault="009B07FB">
            <w:pPr>
              <w:spacing w:line="252" w:lineRule="auto"/>
            </w:pPr>
            <w:proofErr w:type="spellStart"/>
            <w:r>
              <w:rPr>
                <w:sz w:val="17"/>
              </w:rPr>
              <w:t>事後救濟限制</w:t>
            </w:r>
            <w:proofErr w:type="spellEnd"/>
          </w:p>
        </w:tc>
        <w:tc>
          <w:tcPr>
            <w:tcW w:w="3312" w:type="dxa"/>
            <w:tcMar>
              <w:top w:w="90" w:type="dxa"/>
              <w:left w:w="100" w:type="dxa"/>
              <w:bottom w:w="90" w:type="dxa"/>
              <w:right w:w="100" w:type="dxa"/>
            </w:tcMar>
            <w:vAlign w:val="center"/>
          </w:tcPr>
          <w:p w14:paraId="631F86D6" w14:textId="77777777" w:rsidR="0084721C" w:rsidRDefault="009B07FB">
            <w:pPr>
              <w:spacing w:line="252" w:lineRule="auto"/>
            </w:pPr>
            <w:r>
              <w:rPr>
                <w:sz w:val="17"/>
              </w:rPr>
              <w:t>民事訴訟、採購爭議</w:t>
            </w:r>
          </w:p>
        </w:tc>
        <w:tc>
          <w:tcPr>
            <w:tcW w:w="3312" w:type="dxa"/>
            <w:tcMar>
              <w:top w:w="90" w:type="dxa"/>
              <w:left w:w="100" w:type="dxa"/>
              <w:bottom w:w="90" w:type="dxa"/>
              <w:right w:w="100" w:type="dxa"/>
            </w:tcMar>
            <w:vAlign w:val="center"/>
          </w:tcPr>
          <w:p w14:paraId="4B84BC46" w14:textId="77777777" w:rsidR="0084721C" w:rsidRDefault="009B07FB">
            <w:pPr>
              <w:spacing w:line="252" w:lineRule="auto"/>
              <w:rPr>
                <w:lang w:eastAsia="zh-TW"/>
              </w:rPr>
            </w:pPr>
            <w:r>
              <w:rPr>
                <w:sz w:val="17"/>
                <w:lang w:eastAsia="zh-TW"/>
              </w:rPr>
              <w:t>契約、仲裁之外，還可能傷及技轉與合作關係、觸發出口管制</w:t>
            </w:r>
          </w:p>
        </w:tc>
      </w:tr>
    </w:tbl>
    <w:p w14:paraId="76D8A73C" w14:textId="77777777" w:rsidR="0084721C" w:rsidRDefault="0084721C">
      <w:pPr>
        <w:spacing w:after="40"/>
        <w:rPr>
          <w:lang w:eastAsia="zh-TW"/>
        </w:rPr>
      </w:pPr>
    </w:p>
    <w:p w14:paraId="7094B163" w14:textId="77777777" w:rsidR="0084721C" w:rsidRDefault="009B07FB">
      <w:pPr>
        <w:spacing w:after="100" w:line="324" w:lineRule="auto"/>
        <w:rPr>
          <w:lang w:eastAsia="zh-TW"/>
        </w:rPr>
      </w:pPr>
      <w:r>
        <w:rPr>
          <w:b/>
          <w:sz w:val="23"/>
          <w:lang w:eastAsia="zh-TW"/>
        </w:rPr>
        <w:t>案例的性質與公開近似材料</w:t>
      </w:r>
    </w:p>
    <w:p w14:paraId="13662844" w14:textId="77777777" w:rsidR="0084721C" w:rsidRDefault="009B07FB">
      <w:pPr>
        <w:spacing w:after="120" w:line="324" w:lineRule="auto"/>
        <w:rPr>
          <w:lang w:eastAsia="zh-TW"/>
        </w:rPr>
      </w:pPr>
      <w:r>
        <w:rPr>
          <w:lang w:eastAsia="zh-TW"/>
        </w:rPr>
        <w:t>上述三案是為壓力測試而設計的合成異質情境，並非指稱臺灣已發生特定國際侵權或國安事件；其功能在於讓同一套治理鏈承受</w:t>
      </w:r>
      <w:proofErr w:type="gramStart"/>
      <w:r>
        <w:rPr>
          <w:lang w:eastAsia="zh-TW"/>
        </w:rPr>
        <w:t>低敏私</w:t>
      </w:r>
      <w:proofErr w:type="gramEnd"/>
      <w:r>
        <w:rPr>
          <w:lang w:eastAsia="zh-TW"/>
        </w:rPr>
        <w:t>權、中度供應鏈與高敏技術合作的不同負荷。正式版本將以公開近似材料作為法理與制度錨點，而不</w:t>
      </w:r>
      <w:proofErr w:type="gramStart"/>
      <w:r>
        <w:rPr>
          <w:lang w:eastAsia="zh-TW"/>
        </w:rPr>
        <w:t>將其誤寫</w:t>
      </w:r>
      <w:proofErr w:type="gramEnd"/>
      <w:r>
        <w:rPr>
          <w:lang w:eastAsia="zh-TW"/>
        </w:rPr>
        <w:t>成案例事實的證明。</w:t>
      </w:r>
    </w:p>
    <w:tbl>
      <w:tblPr>
        <w:tblStyle w:val="aff2"/>
        <w:tblW w:w="0" w:type="auto"/>
        <w:jc w:val="center"/>
        <w:tblLook w:val="04A0" w:firstRow="1" w:lastRow="0" w:firstColumn="1" w:lastColumn="0" w:noHBand="0" w:noVBand="1"/>
      </w:tblPr>
      <w:tblGrid>
        <w:gridCol w:w="3312"/>
        <w:gridCol w:w="3312"/>
        <w:gridCol w:w="3312"/>
      </w:tblGrid>
      <w:tr w:rsidR="0084721C" w14:paraId="57C2D719" w14:textId="77777777">
        <w:trPr>
          <w:jc w:val="center"/>
        </w:trPr>
        <w:tc>
          <w:tcPr>
            <w:tcW w:w="3312" w:type="dxa"/>
            <w:shd w:val="clear" w:color="auto" w:fill="DCE6F2"/>
            <w:tcMar>
              <w:top w:w="90" w:type="dxa"/>
              <w:left w:w="100" w:type="dxa"/>
              <w:bottom w:w="90" w:type="dxa"/>
              <w:right w:w="100" w:type="dxa"/>
            </w:tcMar>
            <w:vAlign w:val="center"/>
          </w:tcPr>
          <w:p w14:paraId="51237193" w14:textId="77777777" w:rsidR="0084721C" w:rsidRDefault="009B07FB">
            <w:pPr>
              <w:spacing w:line="252" w:lineRule="auto"/>
            </w:pPr>
            <w:proofErr w:type="spellStart"/>
            <w:r>
              <w:rPr>
                <w:b/>
                <w:sz w:val="17"/>
              </w:rPr>
              <w:t>公開近似材料</w:t>
            </w:r>
            <w:proofErr w:type="spellEnd"/>
          </w:p>
        </w:tc>
        <w:tc>
          <w:tcPr>
            <w:tcW w:w="3312" w:type="dxa"/>
            <w:shd w:val="clear" w:color="auto" w:fill="DCE6F2"/>
            <w:tcMar>
              <w:top w:w="90" w:type="dxa"/>
              <w:left w:w="100" w:type="dxa"/>
              <w:bottom w:w="90" w:type="dxa"/>
              <w:right w:w="100" w:type="dxa"/>
            </w:tcMar>
            <w:vAlign w:val="center"/>
          </w:tcPr>
          <w:p w14:paraId="57C8E912" w14:textId="77777777" w:rsidR="0084721C" w:rsidRDefault="009B07FB">
            <w:pPr>
              <w:spacing w:line="252" w:lineRule="auto"/>
            </w:pPr>
            <w:r>
              <w:rPr>
                <w:b/>
                <w:sz w:val="17"/>
              </w:rPr>
              <w:t>可支持的問題</w:t>
            </w:r>
          </w:p>
        </w:tc>
        <w:tc>
          <w:tcPr>
            <w:tcW w:w="3312" w:type="dxa"/>
            <w:shd w:val="clear" w:color="auto" w:fill="DCE6F2"/>
            <w:tcMar>
              <w:top w:w="90" w:type="dxa"/>
              <w:left w:w="100" w:type="dxa"/>
              <w:bottom w:w="90" w:type="dxa"/>
              <w:right w:w="100" w:type="dxa"/>
            </w:tcMar>
            <w:vAlign w:val="center"/>
          </w:tcPr>
          <w:p w14:paraId="51A23B1E" w14:textId="77777777" w:rsidR="0084721C" w:rsidRDefault="009B07FB">
            <w:pPr>
              <w:spacing w:line="252" w:lineRule="auto"/>
            </w:pPr>
            <w:r>
              <w:rPr>
                <w:b/>
                <w:sz w:val="17"/>
              </w:rPr>
              <w:t>不可推論之處</w:t>
            </w:r>
          </w:p>
        </w:tc>
      </w:tr>
      <w:tr w:rsidR="0084721C" w14:paraId="01A2E1A6" w14:textId="77777777">
        <w:trPr>
          <w:jc w:val="center"/>
        </w:trPr>
        <w:tc>
          <w:tcPr>
            <w:tcW w:w="3312" w:type="dxa"/>
            <w:tcMar>
              <w:top w:w="90" w:type="dxa"/>
              <w:left w:w="100" w:type="dxa"/>
              <w:bottom w:w="90" w:type="dxa"/>
              <w:right w:w="100" w:type="dxa"/>
            </w:tcMar>
            <w:vAlign w:val="center"/>
          </w:tcPr>
          <w:p w14:paraId="68C2B4D1" w14:textId="77777777" w:rsidR="0084721C" w:rsidRDefault="009B07FB">
            <w:pPr>
              <w:spacing w:line="252" w:lineRule="auto"/>
              <w:rPr>
                <w:lang w:eastAsia="zh-TW"/>
              </w:rPr>
            </w:pPr>
            <w:r>
              <w:rPr>
                <w:sz w:val="17"/>
                <w:lang w:eastAsia="zh-TW"/>
              </w:rPr>
              <w:t>經濟部智慧財產局政府機關著作權與採購實務資料</w:t>
            </w:r>
          </w:p>
        </w:tc>
        <w:tc>
          <w:tcPr>
            <w:tcW w:w="3312" w:type="dxa"/>
            <w:tcMar>
              <w:top w:w="90" w:type="dxa"/>
              <w:left w:w="100" w:type="dxa"/>
              <w:bottom w:w="90" w:type="dxa"/>
              <w:right w:w="100" w:type="dxa"/>
            </w:tcMar>
            <w:vAlign w:val="center"/>
          </w:tcPr>
          <w:p w14:paraId="109FB4DC" w14:textId="77777777" w:rsidR="0084721C" w:rsidRDefault="009B07FB">
            <w:pPr>
              <w:spacing w:line="252" w:lineRule="auto"/>
              <w:rPr>
                <w:lang w:eastAsia="zh-TW"/>
              </w:rPr>
            </w:pPr>
            <w:r>
              <w:rPr>
                <w:sz w:val="17"/>
                <w:lang w:eastAsia="zh-TW"/>
              </w:rPr>
              <w:t>政府辦公與採購活動本即涉及授權、合理使用與第三人著作權，而非</w:t>
            </w:r>
            <w:r>
              <w:rPr>
                <w:sz w:val="17"/>
                <w:lang w:eastAsia="zh-TW"/>
              </w:rPr>
              <w:t>AI</w:t>
            </w:r>
            <w:r>
              <w:rPr>
                <w:sz w:val="17"/>
                <w:lang w:eastAsia="zh-TW"/>
              </w:rPr>
              <w:t>才產生的問題。</w:t>
            </w:r>
          </w:p>
        </w:tc>
        <w:tc>
          <w:tcPr>
            <w:tcW w:w="3312" w:type="dxa"/>
            <w:tcMar>
              <w:top w:w="90" w:type="dxa"/>
              <w:left w:w="100" w:type="dxa"/>
              <w:bottom w:w="90" w:type="dxa"/>
              <w:right w:w="100" w:type="dxa"/>
            </w:tcMar>
            <w:vAlign w:val="center"/>
          </w:tcPr>
          <w:p w14:paraId="59EA03DB" w14:textId="77777777" w:rsidR="0084721C" w:rsidRDefault="009B07FB">
            <w:pPr>
              <w:spacing w:line="252" w:lineRule="auto"/>
              <w:rPr>
                <w:lang w:eastAsia="zh-TW"/>
              </w:rPr>
            </w:pPr>
            <w:r>
              <w:rPr>
                <w:sz w:val="17"/>
                <w:lang w:eastAsia="zh-TW"/>
              </w:rPr>
              <w:t>不等於已證明任何政府</w:t>
            </w:r>
            <w:r>
              <w:rPr>
                <w:sz w:val="17"/>
                <w:lang w:eastAsia="zh-TW"/>
              </w:rPr>
              <w:t>RAG</w:t>
            </w:r>
            <w:r>
              <w:rPr>
                <w:sz w:val="17"/>
                <w:lang w:eastAsia="zh-TW"/>
              </w:rPr>
              <w:t>使用構成侵權。</w:t>
            </w:r>
          </w:p>
        </w:tc>
      </w:tr>
      <w:tr w:rsidR="0084721C" w14:paraId="4FE2AB34" w14:textId="77777777">
        <w:trPr>
          <w:jc w:val="center"/>
        </w:trPr>
        <w:tc>
          <w:tcPr>
            <w:tcW w:w="3312" w:type="dxa"/>
            <w:tcMar>
              <w:top w:w="90" w:type="dxa"/>
              <w:left w:w="100" w:type="dxa"/>
              <w:bottom w:w="90" w:type="dxa"/>
              <w:right w:w="100" w:type="dxa"/>
            </w:tcMar>
            <w:vAlign w:val="center"/>
          </w:tcPr>
          <w:p w14:paraId="60B73ECC" w14:textId="77777777" w:rsidR="0084721C" w:rsidRDefault="009B07FB">
            <w:pPr>
              <w:spacing w:line="252" w:lineRule="auto"/>
            </w:pPr>
            <w:r>
              <w:rPr>
                <w:sz w:val="17"/>
              </w:rPr>
              <w:t xml:space="preserve">*Thomson Reuters v. Ross </w:t>
            </w:r>
            <w:r>
              <w:rPr>
                <w:sz w:val="17"/>
              </w:rPr>
              <w:t xml:space="preserve">Intelligence* </w:t>
            </w:r>
            <w:r>
              <w:rPr>
                <w:sz w:val="17"/>
              </w:rPr>
              <w:t>的美國地方法院判決與後續程序</w:t>
            </w:r>
          </w:p>
        </w:tc>
        <w:tc>
          <w:tcPr>
            <w:tcW w:w="3312" w:type="dxa"/>
            <w:tcMar>
              <w:top w:w="90" w:type="dxa"/>
              <w:left w:w="100" w:type="dxa"/>
              <w:bottom w:w="90" w:type="dxa"/>
              <w:right w:w="100" w:type="dxa"/>
            </w:tcMar>
            <w:vAlign w:val="center"/>
          </w:tcPr>
          <w:p w14:paraId="70F0F95D" w14:textId="77777777" w:rsidR="0084721C" w:rsidRDefault="009B07FB">
            <w:pPr>
              <w:spacing w:line="252" w:lineRule="auto"/>
              <w:rPr>
                <w:lang w:eastAsia="zh-TW"/>
              </w:rPr>
            </w:pPr>
            <w:r>
              <w:rPr>
                <w:sz w:val="17"/>
                <w:lang w:eastAsia="zh-TW"/>
              </w:rPr>
              <w:t>受保護資料庫／編輯內容被用於</w:t>
            </w:r>
            <w:r>
              <w:rPr>
                <w:sz w:val="17"/>
                <w:lang w:eastAsia="zh-TW"/>
              </w:rPr>
              <w:t>AI</w:t>
            </w:r>
            <w:r>
              <w:rPr>
                <w:sz w:val="17"/>
                <w:lang w:eastAsia="zh-TW"/>
              </w:rPr>
              <w:t>工具時，來源、授權與用途能成為實質法律爭點。</w:t>
            </w:r>
          </w:p>
        </w:tc>
        <w:tc>
          <w:tcPr>
            <w:tcW w:w="3312" w:type="dxa"/>
            <w:tcMar>
              <w:top w:w="90" w:type="dxa"/>
              <w:left w:w="100" w:type="dxa"/>
              <w:bottom w:w="90" w:type="dxa"/>
              <w:right w:w="100" w:type="dxa"/>
            </w:tcMar>
            <w:vAlign w:val="center"/>
          </w:tcPr>
          <w:p w14:paraId="679B679C" w14:textId="77777777" w:rsidR="0084721C" w:rsidRDefault="009B07FB">
            <w:pPr>
              <w:spacing w:line="252" w:lineRule="auto"/>
              <w:rPr>
                <w:lang w:eastAsia="zh-TW"/>
              </w:rPr>
            </w:pPr>
            <w:r>
              <w:rPr>
                <w:sz w:val="17"/>
                <w:lang w:eastAsia="zh-TW"/>
              </w:rPr>
              <w:t>非臺灣政府案件，亦不直接決定臺灣法或</w:t>
            </w:r>
            <w:r>
              <w:rPr>
                <w:sz w:val="17"/>
                <w:lang w:eastAsia="zh-TW"/>
              </w:rPr>
              <w:t>RAG</w:t>
            </w:r>
            <w:r>
              <w:rPr>
                <w:sz w:val="17"/>
                <w:lang w:eastAsia="zh-TW"/>
              </w:rPr>
              <w:t>個案。</w:t>
            </w:r>
          </w:p>
        </w:tc>
      </w:tr>
      <w:tr w:rsidR="0084721C" w14:paraId="3A9513B1" w14:textId="77777777">
        <w:trPr>
          <w:jc w:val="center"/>
        </w:trPr>
        <w:tc>
          <w:tcPr>
            <w:tcW w:w="3312" w:type="dxa"/>
            <w:tcMar>
              <w:top w:w="90" w:type="dxa"/>
              <w:left w:w="100" w:type="dxa"/>
              <w:bottom w:w="90" w:type="dxa"/>
              <w:right w:w="100" w:type="dxa"/>
            </w:tcMar>
            <w:vAlign w:val="center"/>
          </w:tcPr>
          <w:p w14:paraId="45CEDA6F" w14:textId="77777777" w:rsidR="0084721C" w:rsidRDefault="009B07FB">
            <w:pPr>
              <w:spacing w:line="252" w:lineRule="auto"/>
              <w:rPr>
                <w:lang w:eastAsia="zh-TW"/>
              </w:rPr>
            </w:pPr>
            <w:r>
              <w:rPr>
                <w:sz w:val="17"/>
                <w:lang w:eastAsia="zh-TW"/>
              </w:rPr>
              <w:t>美國聯邦</w:t>
            </w:r>
            <w:r>
              <w:rPr>
                <w:sz w:val="17"/>
                <w:lang w:eastAsia="zh-TW"/>
              </w:rPr>
              <w:t>AI</w:t>
            </w:r>
            <w:r>
              <w:rPr>
                <w:sz w:val="17"/>
                <w:lang w:eastAsia="zh-TW"/>
              </w:rPr>
              <w:t>採購備忘錄</w:t>
            </w:r>
            <w:r>
              <w:rPr>
                <w:sz w:val="17"/>
                <w:lang w:eastAsia="zh-TW"/>
              </w:rPr>
              <w:t>M-25-22</w:t>
            </w:r>
          </w:p>
        </w:tc>
        <w:tc>
          <w:tcPr>
            <w:tcW w:w="3312" w:type="dxa"/>
            <w:tcMar>
              <w:top w:w="90" w:type="dxa"/>
              <w:left w:w="100" w:type="dxa"/>
              <w:bottom w:w="90" w:type="dxa"/>
              <w:right w:w="100" w:type="dxa"/>
            </w:tcMar>
            <w:vAlign w:val="center"/>
          </w:tcPr>
          <w:p w14:paraId="2B9EA76C" w14:textId="77777777" w:rsidR="0084721C" w:rsidRDefault="009B07FB">
            <w:pPr>
              <w:spacing w:line="252" w:lineRule="auto"/>
              <w:rPr>
                <w:lang w:eastAsia="zh-TW"/>
              </w:rPr>
            </w:pPr>
            <w:r>
              <w:rPr>
                <w:sz w:val="17"/>
                <w:lang w:eastAsia="zh-TW"/>
              </w:rPr>
              <w:t>政府</w:t>
            </w:r>
            <w:r>
              <w:rPr>
                <w:sz w:val="17"/>
                <w:lang w:eastAsia="zh-TW"/>
              </w:rPr>
              <w:t>AI</w:t>
            </w:r>
            <w:r>
              <w:rPr>
                <w:sz w:val="17"/>
                <w:lang w:eastAsia="zh-TW"/>
              </w:rPr>
              <w:t>取得可以把依預定用途界定授權與智慧財產權範圍寫入採購程序。</w:t>
            </w:r>
          </w:p>
        </w:tc>
        <w:tc>
          <w:tcPr>
            <w:tcW w:w="3312" w:type="dxa"/>
            <w:tcMar>
              <w:top w:w="90" w:type="dxa"/>
              <w:left w:w="100" w:type="dxa"/>
              <w:bottom w:w="90" w:type="dxa"/>
              <w:right w:w="100" w:type="dxa"/>
            </w:tcMar>
            <w:vAlign w:val="center"/>
          </w:tcPr>
          <w:p w14:paraId="00899E93" w14:textId="77777777" w:rsidR="0084721C" w:rsidRDefault="009B07FB">
            <w:pPr>
              <w:spacing w:line="252" w:lineRule="auto"/>
              <w:rPr>
                <w:lang w:eastAsia="zh-TW"/>
              </w:rPr>
            </w:pPr>
            <w:r>
              <w:rPr>
                <w:sz w:val="17"/>
                <w:lang w:eastAsia="zh-TW"/>
              </w:rPr>
              <w:t>不代表美國已有臺灣本文主張的跨境政府證據包制度。</w:t>
            </w:r>
          </w:p>
        </w:tc>
      </w:tr>
    </w:tbl>
    <w:p w14:paraId="0421402D" w14:textId="77777777" w:rsidR="0084721C" w:rsidRDefault="0084721C">
      <w:pPr>
        <w:spacing w:after="40"/>
        <w:rPr>
          <w:lang w:eastAsia="zh-TW"/>
        </w:rPr>
      </w:pPr>
    </w:p>
    <w:p w14:paraId="0AA7B93F" w14:textId="77777777" w:rsidR="0084721C" w:rsidRDefault="009B07FB">
      <w:pPr>
        <w:spacing w:after="140" w:line="324" w:lineRule="auto"/>
        <w:rPr>
          <w:lang w:eastAsia="zh-TW"/>
        </w:rPr>
      </w:pPr>
      <w:r>
        <w:rPr>
          <w:b/>
          <w:sz w:val="26"/>
          <w:lang w:eastAsia="zh-TW"/>
        </w:rPr>
        <w:t>五、共同失效模式：公開可得、接觸權與供應商保證的誤用</w:t>
      </w:r>
    </w:p>
    <w:tbl>
      <w:tblPr>
        <w:tblStyle w:val="aff2"/>
        <w:tblW w:w="0" w:type="auto"/>
        <w:jc w:val="center"/>
        <w:tblLook w:val="04A0" w:firstRow="1" w:lastRow="0" w:firstColumn="1" w:lastColumn="0" w:noHBand="0" w:noVBand="1"/>
      </w:tblPr>
      <w:tblGrid>
        <w:gridCol w:w="3312"/>
        <w:gridCol w:w="3312"/>
        <w:gridCol w:w="3312"/>
      </w:tblGrid>
      <w:tr w:rsidR="0084721C" w14:paraId="47DBAA91" w14:textId="77777777">
        <w:trPr>
          <w:jc w:val="center"/>
        </w:trPr>
        <w:tc>
          <w:tcPr>
            <w:tcW w:w="3312" w:type="dxa"/>
            <w:shd w:val="clear" w:color="auto" w:fill="DCE6F2"/>
            <w:tcMar>
              <w:top w:w="90" w:type="dxa"/>
              <w:left w:w="100" w:type="dxa"/>
              <w:bottom w:w="90" w:type="dxa"/>
              <w:right w:w="100" w:type="dxa"/>
            </w:tcMar>
            <w:vAlign w:val="center"/>
          </w:tcPr>
          <w:p w14:paraId="5F7A5085" w14:textId="77777777" w:rsidR="0084721C" w:rsidRDefault="009B07FB">
            <w:pPr>
              <w:spacing w:line="252" w:lineRule="auto"/>
            </w:pPr>
            <w:proofErr w:type="spellStart"/>
            <w:r>
              <w:rPr>
                <w:b/>
                <w:sz w:val="17"/>
              </w:rPr>
              <w:lastRenderedPageBreak/>
              <w:t>治理鏈</w:t>
            </w:r>
            <w:proofErr w:type="spellEnd"/>
          </w:p>
        </w:tc>
        <w:tc>
          <w:tcPr>
            <w:tcW w:w="3312" w:type="dxa"/>
            <w:shd w:val="clear" w:color="auto" w:fill="DCE6F2"/>
            <w:tcMar>
              <w:top w:w="90" w:type="dxa"/>
              <w:left w:w="100" w:type="dxa"/>
              <w:bottom w:w="90" w:type="dxa"/>
              <w:right w:w="100" w:type="dxa"/>
            </w:tcMar>
            <w:vAlign w:val="center"/>
          </w:tcPr>
          <w:p w14:paraId="726FE5B7" w14:textId="77777777" w:rsidR="0084721C" w:rsidRDefault="009B07FB">
            <w:pPr>
              <w:spacing w:line="252" w:lineRule="auto"/>
            </w:pPr>
            <w:r>
              <w:rPr>
                <w:b/>
                <w:sz w:val="17"/>
              </w:rPr>
              <w:t>第十八篇的基本問題</w:t>
            </w:r>
          </w:p>
        </w:tc>
        <w:tc>
          <w:tcPr>
            <w:tcW w:w="3312" w:type="dxa"/>
            <w:shd w:val="clear" w:color="auto" w:fill="DCE6F2"/>
            <w:tcMar>
              <w:top w:w="90" w:type="dxa"/>
              <w:left w:w="100" w:type="dxa"/>
              <w:bottom w:w="90" w:type="dxa"/>
              <w:right w:w="100" w:type="dxa"/>
            </w:tcMar>
            <w:vAlign w:val="center"/>
          </w:tcPr>
          <w:p w14:paraId="49CC90CB" w14:textId="77777777" w:rsidR="0084721C" w:rsidRDefault="009B07FB">
            <w:pPr>
              <w:spacing w:line="252" w:lineRule="auto"/>
              <w:rPr>
                <w:lang w:eastAsia="zh-TW"/>
              </w:rPr>
            </w:pPr>
            <w:r>
              <w:rPr>
                <w:b/>
                <w:sz w:val="17"/>
                <w:lang w:eastAsia="zh-TW"/>
              </w:rPr>
              <w:t>第十九篇的</w:t>
            </w:r>
            <w:proofErr w:type="gramStart"/>
            <w:r>
              <w:rPr>
                <w:b/>
                <w:sz w:val="17"/>
                <w:lang w:eastAsia="zh-TW"/>
              </w:rPr>
              <w:t>跨境化問題</w:t>
            </w:r>
            <w:proofErr w:type="gramEnd"/>
          </w:p>
        </w:tc>
      </w:tr>
      <w:tr w:rsidR="0084721C" w14:paraId="7174577A" w14:textId="77777777">
        <w:trPr>
          <w:jc w:val="center"/>
        </w:trPr>
        <w:tc>
          <w:tcPr>
            <w:tcW w:w="3312" w:type="dxa"/>
            <w:tcMar>
              <w:top w:w="90" w:type="dxa"/>
              <w:left w:w="100" w:type="dxa"/>
              <w:bottom w:w="90" w:type="dxa"/>
              <w:right w:w="100" w:type="dxa"/>
            </w:tcMar>
            <w:vAlign w:val="center"/>
          </w:tcPr>
          <w:p w14:paraId="512B48F4" w14:textId="77777777" w:rsidR="0084721C" w:rsidRDefault="009B07FB">
            <w:pPr>
              <w:spacing w:line="252" w:lineRule="auto"/>
            </w:pPr>
            <w:proofErr w:type="spellStart"/>
            <w:r>
              <w:rPr>
                <w:sz w:val="17"/>
              </w:rPr>
              <w:t>情境鏈</w:t>
            </w:r>
            <w:proofErr w:type="spellEnd"/>
          </w:p>
        </w:tc>
        <w:tc>
          <w:tcPr>
            <w:tcW w:w="3312" w:type="dxa"/>
            <w:tcMar>
              <w:top w:w="90" w:type="dxa"/>
              <w:left w:w="100" w:type="dxa"/>
              <w:bottom w:w="90" w:type="dxa"/>
              <w:right w:w="100" w:type="dxa"/>
            </w:tcMar>
            <w:vAlign w:val="center"/>
          </w:tcPr>
          <w:p w14:paraId="049A8F09" w14:textId="77777777" w:rsidR="0084721C" w:rsidRDefault="009B07FB">
            <w:pPr>
              <w:spacing w:line="252" w:lineRule="auto"/>
              <w:rPr>
                <w:lang w:eastAsia="zh-TW"/>
              </w:rPr>
            </w:pPr>
            <w:r>
              <w:rPr>
                <w:sz w:val="17"/>
                <w:lang w:eastAsia="zh-TW"/>
              </w:rPr>
              <w:t>公開可得是否被誤認為可用於</w:t>
            </w:r>
            <w:r>
              <w:rPr>
                <w:sz w:val="17"/>
                <w:lang w:eastAsia="zh-TW"/>
              </w:rPr>
              <w:t>AI</w:t>
            </w:r>
            <w:r>
              <w:rPr>
                <w:sz w:val="17"/>
                <w:lang w:eastAsia="zh-TW"/>
              </w:rPr>
              <w:t>？</w:t>
            </w:r>
          </w:p>
        </w:tc>
        <w:tc>
          <w:tcPr>
            <w:tcW w:w="3312" w:type="dxa"/>
            <w:tcMar>
              <w:top w:w="90" w:type="dxa"/>
              <w:left w:w="100" w:type="dxa"/>
              <w:bottom w:w="90" w:type="dxa"/>
              <w:right w:w="100" w:type="dxa"/>
            </w:tcMar>
            <w:vAlign w:val="center"/>
          </w:tcPr>
          <w:p w14:paraId="386E104E" w14:textId="77777777" w:rsidR="0084721C" w:rsidRDefault="009B07FB">
            <w:pPr>
              <w:spacing w:line="252" w:lineRule="auto"/>
              <w:rPr>
                <w:lang w:eastAsia="zh-TW"/>
              </w:rPr>
            </w:pPr>
            <w:proofErr w:type="gramStart"/>
            <w:r>
              <w:rPr>
                <w:sz w:val="17"/>
                <w:lang w:eastAsia="zh-TW"/>
              </w:rPr>
              <w:t>跨境可得</w:t>
            </w:r>
            <w:proofErr w:type="gramEnd"/>
            <w:r>
              <w:rPr>
                <w:sz w:val="17"/>
                <w:lang w:eastAsia="zh-TW"/>
              </w:rPr>
              <w:t>是否被誤認為跨境已授權？來源</w:t>
            </w:r>
            <w:proofErr w:type="gramStart"/>
            <w:r>
              <w:rPr>
                <w:sz w:val="17"/>
                <w:lang w:eastAsia="zh-TW"/>
              </w:rPr>
              <w:t>法域、</w:t>
            </w:r>
            <w:proofErr w:type="gramEnd"/>
            <w:r>
              <w:rPr>
                <w:sz w:val="17"/>
                <w:lang w:eastAsia="zh-TW"/>
              </w:rPr>
              <w:t>資料庫條款與原始權利條件是否仍可辨識？</w:t>
            </w:r>
          </w:p>
        </w:tc>
      </w:tr>
      <w:tr w:rsidR="0084721C" w14:paraId="12A89316" w14:textId="77777777">
        <w:trPr>
          <w:jc w:val="center"/>
        </w:trPr>
        <w:tc>
          <w:tcPr>
            <w:tcW w:w="3312" w:type="dxa"/>
            <w:tcMar>
              <w:top w:w="90" w:type="dxa"/>
              <w:left w:w="100" w:type="dxa"/>
              <w:bottom w:w="90" w:type="dxa"/>
              <w:right w:w="100" w:type="dxa"/>
            </w:tcMar>
            <w:vAlign w:val="center"/>
          </w:tcPr>
          <w:p w14:paraId="174CC6AE" w14:textId="77777777" w:rsidR="0084721C" w:rsidRDefault="009B07FB">
            <w:pPr>
              <w:spacing w:line="252" w:lineRule="auto"/>
            </w:pPr>
            <w:proofErr w:type="spellStart"/>
            <w:r>
              <w:rPr>
                <w:sz w:val="17"/>
              </w:rPr>
              <w:t>權威鏈</w:t>
            </w:r>
            <w:proofErr w:type="spellEnd"/>
          </w:p>
        </w:tc>
        <w:tc>
          <w:tcPr>
            <w:tcW w:w="3312" w:type="dxa"/>
            <w:tcMar>
              <w:top w:w="90" w:type="dxa"/>
              <w:left w:w="100" w:type="dxa"/>
              <w:bottom w:w="90" w:type="dxa"/>
              <w:right w:w="100" w:type="dxa"/>
            </w:tcMar>
            <w:vAlign w:val="center"/>
          </w:tcPr>
          <w:p w14:paraId="776EAF4A" w14:textId="77777777" w:rsidR="0084721C" w:rsidRDefault="009B07FB">
            <w:pPr>
              <w:spacing w:line="252" w:lineRule="auto"/>
              <w:rPr>
                <w:lang w:eastAsia="zh-TW"/>
              </w:rPr>
            </w:pPr>
            <w:r>
              <w:rPr>
                <w:sz w:val="17"/>
                <w:lang w:eastAsia="zh-TW"/>
              </w:rPr>
              <w:t>誰決定資料可進入政府系統？</w:t>
            </w:r>
          </w:p>
        </w:tc>
        <w:tc>
          <w:tcPr>
            <w:tcW w:w="3312" w:type="dxa"/>
            <w:tcMar>
              <w:top w:w="90" w:type="dxa"/>
              <w:left w:w="100" w:type="dxa"/>
              <w:bottom w:w="90" w:type="dxa"/>
              <w:right w:w="100" w:type="dxa"/>
            </w:tcMar>
            <w:vAlign w:val="center"/>
          </w:tcPr>
          <w:p w14:paraId="6C479EEB" w14:textId="77777777" w:rsidR="0084721C" w:rsidRDefault="009B07FB">
            <w:pPr>
              <w:spacing w:line="252" w:lineRule="auto"/>
              <w:rPr>
                <w:lang w:eastAsia="zh-TW"/>
              </w:rPr>
            </w:pPr>
            <w:r>
              <w:rPr>
                <w:sz w:val="17"/>
                <w:lang w:eastAsia="zh-TW"/>
              </w:rPr>
              <w:t>目的機關、供應商、境外平台／資料庫、權利人與可能的輸出國管制者，各自能控制哪一段？</w:t>
            </w:r>
          </w:p>
        </w:tc>
      </w:tr>
      <w:tr w:rsidR="0084721C" w14:paraId="5A99A140" w14:textId="77777777">
        <w:trPr>
          <w:jc w:val="center"/>
        </w:trPr>
        <w:tc>
          <w:tcPr>
            <w:tcW w:w="3312" w:type="dxa"/>
            <w:tcMar>
              <w:top w:w="90" w:type="dxa"/>
              <w:left w:w="100" w:type="dxa"/>
              <w:bottom w:w="90" w:type="dxa"/>
              <w:right w:w="100" w:type="dxa"/>
            </w:tcMar>
            <w:vAlign w:val="center"/>
          </w:tcPr>
          <w:p w14:paraId="681F7441" w14:textId="77777777" w:rsidR="0084721C" w:rsidRDefault="009B07FB">
            <w:pPr>
              <w:spacing w:line="252" w:lineRule="auto"/>
            </w:pPr>
            <w:proofErr w:type="spellStart"/>
            <w:r>
              <w:rPr>
                <w:sz w:val="17"/>
              </w:rPr>
              <w:t>理由鏈</w:t>
            </w:r>
            <w:proofErr w:type="spellEnd"/>
          </w:p>
        </w:tc>
        <w:tc>
          <w:tcPr>
            <w:tcW w:w="3312" w:type="dxa"/>
            <w:tcMar>
              <w:top w:w="90" w:type="dxa"/>
              <w:left w:w="100" w:type="dxa"/>
              <w:bottom w:w="90" w:type="dxa"/>
              <w:right w:w="100" w:type="dxa"/>
            </w:tcMar>
            <w:vAlign w:val="center"/>
          </w:tcPr>
          <w:p w14:paraId="19BBC379" w14:textId="77777777" w:rsidR="0084721C" w:rsidRDefault="009B07FB">
            <w:pPr>
              <w:spacing w:line="252" w:lineRule="auto"/>
              <w:rPr>
                <w:lang w:eastAsia="zh-TW"/>
              </w:rPr>
            </w:pPr>
            <w:r>
              <w:rPr>
                <w:sz w:val="17"/>
                <w:lang w:eastAsia="zh-TW"/>
              </w:rPr>
              <w:t>機關能否說明使用依據？</w:t>
            </w:r>
          </w:p>
        </w:tc>
        <w:tc>
          <w:tcPr>
            <w:tcW w:w="3312" w:type="dxa"/>
            <w:tcMar>
              <w:top w:w="90" w:type="dxa"/>
              <w:left w:w="100" w:type="dxa"/>
              <w:bottom w:w="90" w:type="dxa"/>
              <w:right w:w="100" w:type="dxa"/>
            </w:tcMar>
            <w:vAlign w:val="center"/>
          </w:tcPr>
          <w:p w14:paraId="5346B4F9" w14:textId="77777777" w:rsidR="0084721C" w:rsidRDefault="009B07FB">
            <w:pPr>
              <w:spacing w:line="252" w:lineRule="auto"/>
              <w:rPr>
                <w:lang w:eastAsia="zh-TW"/>
              </w:rPr>
            </w:pPr>
            <w:r>
              <w:rPr>
                <w:sz w:val="17"/>
                <w:lang w:eastAsia="zh-TW"/>
              </w:rPr>
              <w:t>理由能否讓境外權利人、合作方或其律師理解、查證並檢驗？是否只剩「資料公開」「廠商保證」？</w:t>
            </w:r>
          </w:p>
        </w:tc>
      </w:tr>
      <w:tr w:rsidR="0084721C" w14:paraId="7C66E72C" w14:textId="77777777">
        <w:trPr>
          <w:jc w:val="center"/>
        </w:trPr>
        <w:tc>
          <w:tcPr>
            <w:tcW w:w="3312" w:type="dxa"/>
            <w:tcMar>
              <w:top w:w="90" w:type="dxa"/>
              <w:left w:w="100" w:type="dxa"/>
              <w:bottom w:w="90" w:type="dxa"/>
              <w:right w:w="100" w:type="dxa"/>
            </w:tcMar>
            <w:vAlign w:val="center"/>
          </w:tcPr>
          <w:p w14:paraId="52CC0A90" w14:textId="77777777" w:rsidR="0084721C" w:rsidRDefault="009B07FB">
            <w:pPr>
              <w:spacing w:line="252" w:lineRule="auto"/>
            </w:pPr>
            <w:proofErr w:type="spellStart"/>
            <w:r>
              <w:rPr>
                <w:sz w:val="17"/>
              </w:rPr>
              <w:t>責任鏈</w:t>
            </w:r>
            <w:proofErr w:type="spellEnd"/>
          </w:p>
        </w:tc>
        <w:tc>
          <w:tcPr>
            <w:tcW w:w="3312" w:type="dxa"/>
            <w:tcMar>
              <w:top w:w="90" w:type="dxa"/>
              <w:left w:w="100" w:type="dxa"/>
              <w:bottom w:w="90" w:type="dxa"/>
              <w:right w:w="100" w:type="dxa"/>
            </w:tcMar>
            <w:vAlign w:val="center"/>
          </w:tcPr>
          <w:p w14:paraId="78BE08E1" w14:textId="77777777" w:rsidR="0084721C" w:rsidRDefault="009B07FB">
            <w:pPr>
              <w:spacing w:line="252" w:lineRule="auto"/>
              <w:rPr>
                <w:lang w:eastAsia="zh-TW"/>
              </w:rPr>
            </w:pPr>
            <w:r>
              <w:rPr>
                <w:sz w:val="17"/>
                <w:lang w:eastAsia="zh-TW"/>
              </w:rPr>
              <w:t>異議時誰能停止檢索與下架？</w:t>
            </w:r>
          </w:p>
        </w:tc>
        <w:tc>
          <w:tcPr>
            <w:tcW w:w="3312" w:type="dxa"/>
            <w:tcMar>
              <w:top w:w="90" w:type="dxa"/>
              <w:left w:w="100" w:type="dxa"/>
              <w:bottom w:w="90" w:type="dxa"/>
              <w:right w:w="100" w:type="dxa"/>
            </w:tcMar>
            <w:vAlign w:val="center"/>
          </w:tcPr>
          <w:p w14:paraId="2D67A663" w14:textId="77777777" w:rsidR="0084721C" w:rsidRDefault="009B07FB">
            <w:pPr>
              <w:spacing w:line="252" w:lineRule="auto"/>
              <w:rPr>
                <w:lang w:eastAsia="zh-TW"/>
              </w:rPr>
            </w:pPr>
            <w:r>
              <w:rPr>
                <w:sz w:val="17"/>
                <w:lang w:eastAsia="zh-TW"/>
              </w:rPr>
              <w:t>誰先回覆、誰保全證據、誰命令跨境供應商停止、何時升級至中央統籌？</w:t>
            </w:r>
          </w:p>
        </w:tc>
      </w:tr>
    </w:tbl>
    <w:p w14:paraId="12BF8091" w14:textId="77777777" w:rsidR="0084721C" w:rsidRDefault="0084721C">
      <w:pPr>
        <w:spacing w:after="40"/>
        <w:rPr>
          <w:lang w:eastAsia="zh-TW"/>
        </w:rPr>
      </w:pPr>
    </w:p>
    <w:p w14:paraId="57B3FEA2" w14:textId="77777777" w:rsidR="0084721C" w:rsidRDefault="009B07FB">
      <w:pPr>
        <w:spacing w:after="120" w:line="324" w:lineRule="auto"/>
        <w:rPr>
          <w:lang w:eastAsia="zh-TW"/>
        </w:rPr>
      </w:pPr>
      <w:r>
        <w:rPr>
          <w:lang w:eastAsia="zh-TW"/>
        </w:rPr>
        <w:t>第十八篇的多手政府問題在跨境情境中被放大：數發部、國科會、經濟部、外交部、智</w:t>
      </w:r>
      <w:r>
        <w:rPr>
          <w:lang w:eastAsia="zh-TW"/>
        </w:rPr>
        <w:t>慧財產局、目的事業機關與地方機關各自掌握片段，卻缺乏能把這些片段接成可對外說明、可停止與可補救的責任鏈。核心問題是許多單位各握一段職權與資訊，卻沒有任何一手能對完整的</w:t>
      </w:r>
      <w:r>
        <w:rPr>
          <w:lang w:eastAsia="zh-TW"/>
        </w:rPr>
        <w:t>Go</w:t>
      </w:r>
      <w:r>
        <w:rPr>
          <w:lang w:eastAsia="zh-TW"/>
        </w:rPr>
        <w:t>／</w:t>
      </w:r>
      <w:r>
        <w:rPr>
          <w:lang w:eastAsia="zh-TW"/>
        </w:rPr>
        <w:t>No-Go</w:t>
      </w:r>
      <w:r>
        <w:rPr>
          <w:lang w:eastAsia="zh-TW"/>
        </w:rPr>
        <w:t>／</w:t>
      </w:r>
      <w:r>
        <w:rPr>
          <w:lang w:eastAsia="zh-TW"/>
        </w:rPr>
        <w:t>Stop</w:t>
      </w:r>
      <w:r>
        <w:rPr>
          <w:lang w:eastAsia="zh-TW"/>
        </w:rPr>
        <w:t>結果負責。</w:t>
      </w:r>
    </w:p>
    <w:p w14:paraId="2F3C8364" w14:textId="77777777" w:rsidR="0084721C" w:rsidRDefault="009B07FB">
      <w:pPr>
        <w:spacing w:after="120" w:line="324" w:lineRule="auto"/>
        <w:rPr>
          <w:lang w:eastAsia="zh-TW"/>
        </w:rPr>
      </w:pPr>
      <w:r>
        <w:rPr>
          <w:lang w:eastAsia="zh-TW"/>
        </w:rPr>
        <w:t>三</w:t>
      </w:r>
      <w:proofErr w:type="gramStart"/>
      <w:r>
        <w:rPr>
          <w:lang w:eastAsia="zh-TW"/>
        </w:rPr>
        <w:t>案均以相同</w:t>
      </w:r>
      <w:proofErr w:type="gramEnd"/>
      <w:r>
        <w:rPr>
          <w:lang w:eastAsia="zh-TW"/>
        </w:rPr>
        <w:t>八步驟格式檢驗：</w:t>
      </w:r>
      <w:r>
        <w:rPr>
          <w:lang w:eastAsia="zh-TW"/>
        </w:rPr>
        <w:t>25</w:t>
      </w:r>
      <w:r>
        <w:rPr>
          <w:lang w:eastAsia="zh-TW"/>
        </w:rPr>
        <w:t>治理座標定位、</w:t>
      </w:r>
      <w:r>
        <w:rPr>
          <w:lang w:eastAsia="zh-TW"/>
        </w:rPr>
        <w:t>P1</w:t>
      </w:r>
      <w:r>
        <w:rPr>
          <w:lang w:eastAsia="zh-TW"/>
        </w:rPr>
        <w:t>／</w:t>
      </w:r>
      <w:r>
        <w:rPr>
          <w:lang w:eastAsia="zh-TW"/>
        </w:rPr>
        <w:t>P2</w:t>
      </w:r>
      <w:r>
        <w:rPr>
          <w:lang w:eastAsia="zh-TW"/>
        </w:rPr>
        <w:t>／</w:t>
      </w:r>
      <w:r>
        <w:rPr>
          <w:lang w:eastAsia="zh-TW"/>
        </w:rPr>
        <w:t>P3</w:t>
      </w:r>
      <w:r>
        <w:rPr>
          <w:lang w:eastAsia="zh-TW"/>
        </w:rPr>
        <w:t>權力移轉、四條治理鏈與七項審計、失效節點、可停止點、跨境升級條件，以及反例與限制。反例至少包括兩種：</w:t>
      </w:r>
      <w:proofErr w:type="gramStart"/>
      <w:r>
        <w:rPr>
          <w:lang w:eastAsia="zh-TW"/>
        </w:rPr>
        <w:t>其一，</w:t>
      </w:r>
      <w:proofErr w:type="gramEnd"/>
      <w:r>
        <w:rPr>
          <w:lang w:eastAsia="zh-TW"/>
        </w:rPr>
        <w:t>權利來源</w:t>
      </w:r>
      <w:proofErr w:type="gramStart"/>
      <w:r>
        <w:rPr>
          <w:lang w:eastAsia="zh-TW"/>
        </w:rPr>
        <w:t>清楚</w:t>
      </w:r>
      <w:proofErr w:type="gramEnd"/>
      <w:r>
        <w:rPr>
          <w:lang w:eastAsia="zh-TW"/>
        </w:rPr>
        <w:t>、僅限內部</w:t>
      </w:r>
      <w:r>
        <w:rPr>
          <w:lang w:eastAsia="zh-TW"/>
        </w:rPr>
        <w:t>RAG</w:t>
      </w:r>
      <w:r>
        <w:rPr>
          <w:lang w:eastAsia="zh-TW"/>
        </w:rPr>
        <w:t>且無境外傳輸者，未必需要國家層級升級；</w:t>
      </w:r>
      <w:proofErr w:type="gramStart"/>
      <w:r>
        <w:rPr>
          <w:lang w:eastAsia="zh-TW"/>
        </w:rPr>
        <w:t>其二，</w:t>
      </w:r>
      <w:proofErr w:type="gramEnd"/>
      <w:r>
        <w:rPr>
          <w:lang w:eastAsia="zh-TW"/>
        </w:rPr>
        <w:t>供應商無法交付逐筆訓練資料但能提出資料集來源、退出機制、模型版本及獨</w:t>
      </w:r>
      <w:r>
        <w:rPr>
          <w:lang w:eastAsia="zh-TW"/>
        </w:rPr>
        <w:t>立稽核報告者，應先判定</w:t>
      </w:r>
      <w:r>
        <w:rPr>
          <w:lang w:eastAsia="zh-TW"/>
        </w:rPr>
        <w:t>Conditional</w:t>
      </w:r>
      <w:r>
        <w:rPr>
          <w:lang w:eastAsia="zh-TW"/>
        </w:rPr>
        <w:t>並設定補證與監測條件，而非當然</w:t>
      </w:r>
      <w:r>
        <w:rPr>
          <w:lang w:eastAsia="zh-TW"/>
        </w:rPr>
        <w:t>No-Go</w:t>
      </w:r>
      <w:r>
        <w:rPr>
          <w:lang w:eastAsia="zh-TW"/>
        </w:rPr>
        <w:t>。這些</w:t>
      </w:r>
      <w:proofErr w:type="gramStart"/>
      <w:r>
        <w:rPr>
          <w:lang w:eastAsia="zh-TW"/>
        </w:rPr>
        <w:t>反例使本文</w:t>
      </w:r>
      <w:proofErr w:type="gramEnd"/>
      <w:r>
        <w:rPr>
          <w:lang w:eastAsia="zh-TW"/>
        </w:rPr>
        <w:t>的停止設計保持比例性，而非把所有不確定性等同於禁止。</w:t>
      </w:r>
    </w:p>
    <w:p w14:paraId="3F895471" w14:textId="77777777" w:rsidR="0084721C" w:rsidRDefault="009B07FB">
      <w:pPr>
        <w:spacing w:after="120" w:line="324" w:lineRule="auto"/>
        <w:rPr>
          <w:lang w:eastAsia="zh-TW"/>
        </w:rPr>
      </w:pPr>
      <w:r>
        <w:rPr>
          <w:lang w:eastAsia="zh-TW"/>
        </w:rPr>
        <w:t>第二類反例尤其適用於國際商業模型與開源模型的政府採購。機關通常無法要求模型提供者交出逐筆訓練資料，也不應把無法取得逐筆清冊直接等同於不得採購；較可行的</w:t>
      </w:r>
      <w:r>
        <w:rPr>
          <w:lang w:eastAsia="zh-TW"/>
        </w:rPr>
        <w:t>Conditional</w:t>
      </w:r>
      <w:r>
        <w:rPr>
          <w:lang w:eastAsia="zh-TW"/>
        </w:rPr>
        <w:t>門檻是要求供應商提出模型卡或公開訓練摘要、</w:t>
      </w:r>
      <w:proofErr w:type="gramStart"/>
      <w:r>
        <w:rPr>
          <w:lang w:eastAsia="zh-TW"/>
        </w:rPr>
        <w:t>適用法域與</w:t>
      </w:r>
      <w:proofErr w:type="gramEnd"/>
      <w:r>
        <w:rPr>
          <w:lang w:eastAsia="zh-TW"/>
        </w:rPr>
        <w:t>服務條款、第三方獨立稽核或合規認證、資料不作再訓練之承諾、次處理者清單、可退出與可移除的技術證明。此一替代證據仍不足時，才提高至</w:t>
      </w:r>
      <w:r>
        <w:rPr>
          <w:lang w:eastAsia="zh-TW"/>
        </w:rPr>
        <w:t>No-</w:t>
      </w:r>
      <w:r>
        <w:rPr>
          <w:lang w:eastAsia="zh-TW"/>
        </w:rPr>
        <w:t>Go</w:t>
      </w:r>
      <w:r>
        <w:rPr>
          <w:lang w:eastAsia="zh-TW"/>
        </w:rPr>
        <w:t>或改用可控制的部署方式。</w:t>
      </w:r>
    </w:p>
    <w:p w14:paraId="127946F9" w14:textId="77777777" w:rsidR="0084721C" w:rsidRDefault="009B07FB">
      <w:pPr>
        <w:spacing w:after="140" w:line="324" w:lineRule="auto"/>
        <w:rPr>
          <w:lang w:eastAsia="zh-TW"/>
        </w:rPr>
      </w:pPr>
      <w:r>
        <w:rPr>
          <w:b/>
          <w:sz w:val="26"/>
          <w:lang w:eastAsia="zh-TW"/>
        </w:rPr>
        <w:t>六、比較</w:t>
      </w:r>
      <w:r>
        <w:rPr>
          <w:b/>
          <w:sz w:val="26"/>
          <w:lang w:eastAsia="zh-TW"/>
        </w:rPr>
        <w:t>AI</w:t>
      </w:r>
      <w:r>
        <w:rPr>
          <w:b/>
          <w:sz w:val="26"/>
          <w:lang w:eastAsia="zh-TW"/>
        </w:rPr>
        <w:t>治理：中國大陸、歐盟、美國與臺灣</w:t>
      </w:r>
    </w:p>
    <w:p w14:paraId="51A482B7" w14:textId="77777777" w:rsidR="0084721C" w:rsidRDefault="009B07FB">
      <w:pPr>
        <w:spacing w:after="120" w:line="324" w:lineRule="auto"/>
        <w:rPr>
          <w:lang w:eastAsia="zh-TW"/>
        </w:rPr>
      </w:pPr>
      <w:r>
        <w:rPr>
          <w:lang w:eastAsia="zh-TW"/>
        </w:rPr>
        <w:t>第十八篇已初步指出「權利</w:t>
      </w:r>
      <w:proofErr w:type="gramStart"/>
      <w:r>
        <w:rPr>
          <w:lang w:eastAsia="zh-TW"/>
        </w:rPr>
        <w:t>來源洗淡</w:t>
      </w:r>
      <w:proofErr w:type="gramEnd"/>
      <w:r>
        <w:rPr>
          <w:lang w:eastAsia="zh-TW"/>
        </w:rPr>
        <w:t>」的跨境風險。第十九篇進一步把同一壓力測試放進比較視野：不是評比哪一方「更重視智慧財產權」，而是比較責任閘門如何設計、權利人能否找到必須回應的人，以及政府作為使用者／採購者時，是否保有可對外說明的證據能力。</w:t>
      </w:r>
    </w:p>
    <w:p w14:paraId="2F379287" w14:textId="77777777" w:rsidR="0084721C" w:rsidRDefault="009B07FB">
      <w:pPr>
        <w:spacing w:after="140" w:line="324" w:lineRule="auto"/>
        <w:rPr>
          <w:lang w:eastAsia="zh-TW"/>
        </w:rPr>
      </w:pPr>
      <w:r>
        <w:rPr>
          <w:b/>
          <w:sz w:val="26"/>
          <w:lang w:eastAsia="zh-TW"/>
        </w:rPr>
        <w:lastRenderedPageBreak/>
        <w:t>（一）中國大陸：以「服務提供者」為中心的閘門</w:t>
      </w:r>
    </w:p>
    <w:p w14:paraId="01FD1C0A" w14:textId="77777777" w:rsidR="0084721C" w:rsidRDefault="009B07FB">
      <w:pPr>
        <w:spacing w:after="120" w:line="324" w:lineRule="auto"/>
        <w:rPr>
          <w:lang w:eastAsia="zh-TW"/>
        </w:rPr>
      </w:pPr>
      <w:r>
        <w:rPr>
          <w:lang w:eastAsia="zh-TW"/>
        </w:rPr>
        <w:t>《生成式人工智能服務管理暫行辦法》（</w:t>
      </w:r>
      <w:r>
        <w:rPr>
          <w:lang w:eastAsia="zh-TW"/>
        </w:rPr>
        <w:t>2023</w:t>
      </w:r>
      <w:r>
        <w:rPr>
          <w:lang w:eastAsia="zh-TW"/>
        </w:rPr>
        <w:t>年</w:t>
      </w:r>
      <w:r>
        <w:rPr>
          <w:lang w:eastAsia="zh-TW"/>
        </w:rPr>
        <w:t>8</w:t>
      </w:r>
      <w:r>
        <w:rPr>
          <w:lang w:eastAsia="zh-TW"/>
        </w:rPr>
        <w:t>月施行）是本文</w:t>
      </w:r>
      <w:proofErr w:type="gramStart"/>
      <w:r>
        <w:rPr>
          <w:lang w:eastAsia="zh-TW"/>
        </w:rPr>
        <w:t>跨法域</w:t>
      </w:r>
      <w:proofErr w:type="gramEnd"/>
      <w:r>
        <w:rPr>
          <w:lang w:eastAsia="zh-TW"/>
        </w:rPr>
        <w:t>比較的重要對照點。其核心設計是：</w:t>
      </w:r>
    </w:p>
    <w:p w14:paraId="66295AB0"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w:t>
      </w:r>
      <w:r>
        <w:rPr>
          <w:lang w:eastAsia="zh-TW"/>
        </w:rPr>
        <w:t>適用範圍</w:t>
      </w:r>
      <w:proofErr w:type="gramStart"/>
      <w:r>
        <w:rPr>
          <w:lang w:eastAsia="zh-TW"/>
        </w:rPr>
        <w:t>嚴格</w:t>
      </w:r>
      <w:proofErr w:type="gramEnd"/>
      <w:r>
        <w:rPr>
          <w:lang w:eastAsia="zh-TW"/>
        </w:rPr>
        <w:t>限縮於「向境內公眾提供」的生成式</w:t>
      </w:r>
      <w:r>
        <w:rPr>
          <w:lang w:eastAsia="zh-TW"/>
        </w:rPr>
        <w:t>AI</w:t>
      </w:r>
      <w:r>
        <w:rPr>
          <w:lang w:eastAsia="zh-TW"/>
        </w:rPr>
        <w:t>服務</w:t>
      </w:r>
      <w:r>
        <w:rPr>
          <w:lang w:eastAsia="zh-TW"/>
        </w:rPr>
        <w:t>**</w:t>
      </w:r>
      <w:r>
        <w:rPr>
          <w:lang w:eastAsia="zh-TW"/>
        </w:rPr>
        <w:t>（第</w:t>
      </w:r>
      <w:r>
        <w:rPr>
          <w:lang w:eastAsia="zh-TW"/>
        </w:rPr>
        <w:t>2</w:t>
      </w:r>
      <w:r>
        <w:rPr>
          <w:lang w:eastAsia="zh-TW"/>
        </w:rPr>
        <w:t>條）。行業組織、企業、教育科</w:t>
      </w:r>
      <w:proofErr w:type="gramStart"/>
      <w:r>
        <w:rPr>
          <w:lang w:eastAsia="zh-TW"/>
        </w:rPr>
        <w:t>研</w:t>
      </w:r>
      <w:proofErr w:type="gramEnd"/>
      <w:r>
        <w:rPr>
          <w:lang w:eastAsia="zh-TW"/>
        </w:rPr>
        <w:t>機構等未向公眾提供服務的內部研發或應用，原則上不適用。</w:t>
      </w:r>
    </w:p>
    <w:p w14:paraId="5B88EE7A"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提供者義務明確</w:t>
      </w:r>
      <w:r>
        <w:rPr>
          <w:lang w:eastAsia="zh-TW"/>
        </w:rPr>
        <w:t>**</w:t>
      </w:r>
      <w:r>
        <w:rPr>
          <w:lang w:eastAsia="zh-TW"/>
        </w:rPr>
        <w:t>：訓練數據須具合法來源、不得侵害他人智慧財產權（第</w:t>
      </w:r>
      <w:r>
        <w:rPr>
          <w:lang w:eastAsia="zh-TW"/>
        </w:rPr>
        <w:t>7</w:t>
      </w:r>
      <w:r>
        <w:rPr>
          <w:lang w:eastAsia="zh-TW"/>
        </w:rPr>
        <w:t>條）；須建立健全投訴、舉報機制，設置便捷入口並反饋處理結果（第</w:t>
      </w:r>
      <w:r>
        <w:rPr>
          <w:lang w:eastAsia="zh-TW"/>
        </w:rPr>
        <w:t>15</w:t>
      </w:r>
      <w:r>
        <w:rPr>
          <w:lang w:eastAsia="zh-TW"/>
        </w:rPr>
        <w:t>條）；主管機關可要求說明訓練數據來源、規模、類型等（第</w:t>
      </w:r>
      <w:r>
        <w:rPr>
          <w:lang w:eastAsia="zh-TW"/>
        </w:rPr>
        <w:t>19</w:t>
      </w:r>
      <w:r>
        <w:rPr>
          <w:lang w:eastAsia="zh-TW"/>
        </w:rPr>
        <w:t>條）。</w:t>
      </w:r>
    </w:p>
    <w:p w14:paraId="2F319550"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責任閘門集中</w:t>
      </w:r>
      <w:r>
        <w:rPr>
          <w:lang w:eastAsia="zh-TW"/>
        </w:rPr>
        <w:t>**</w:t>
      </w:r>
      <w:r>
        <w:rPr>
          <w:lang w:eastAsia="zh-TW"/>
        </w:rPr>
        <w:t>：權利人或公眾主要透過「提供者」提出異議，提供者再對主管機關負責。這在一定程度上減少「誰都不是第一責任人」的情況。</w:t>
      </w:r>
    </w:p>
    <w:p w14:paraId="1C39F37C" w14:textId="77777777" w:rsidR="0084721C" w:rsidRDefault="009B07FB">
      <w:pPr>
        <w:spacing w:after="120" w:line="324" w:lineRule="auto"/>
        <w:rPr>
          <w:lang w:eastAsia="zh-TW"/>
        </w:rPr>
      </w:pPr>
      <w:r>
        <w:rPr>
          <w:lang w:eastAsia="zh-TW"/>
        </w:rPr>
        <w:t>比較意涵：</w:t>
      </w:r>
      <w:r>
        <w:rPr>
          <w:lang w:eastAsia="zh-TW"/>
        </w:rPr>
        <w:t>此模式對「面向公眾的商業服務」形成較清晰的閘門，但對政府內部</w:t>
      </w:r>
      <w:r>
        <w:rPr>
          <w:lang w:eastAsia="zh-TW"/>
        </w:rPr>
        <w:t>RAG</w:t>
      </w:r>
      <w:r>
        <w:rPr>
          <w:lang w:eastAsia="zh-TW"/>
        </w:rPr>
        <w:t>、研究使用、非公眾服務，或跨境供應鏈中的開源微調模型，並不當然涵蓋。權利人若主張其作品已被政府系統使用，仍可能需穿越提供者、平台、資料集與最終使用機關的多層關係。換言之，閘門存在，但原作者未必位於閘門「之內」</w:t>
      </w:r>
      <w:proofErr w:type="gramStart"/>
      <w:r>
        <w:rPr>
          <w:lang w:eastAsia="zh-TW"/>
        </w:rPr>
        <w:t>—</w:t>
      </w:r>
      <w:proofErr w:type="gramEnd"/>
      <w:r>
        <w:rPr>
          <w:lang w:eastAsia="zh-TW"/>
        </w:rPr>
        <w:t>—</w:t>
      </w:r>
      <w:r>
        <w:rPr>
          <w:lang w:eastAsia="zh-TW"/>
        </w:rPr>
        <w:t>資料進入系統以前，權利人往往未被看見或被告知。</w:t>
      </w:r>
    </w:p>
    <w:p w14:paraId="763E9238" w14:textId="77777777" w:rsidR="0084721C" w:rsidRDefault="009B07FB">
      <w:pPr>
        <w:spacing w:after="120" w:line="324" w:lineRule="auto"/>
        <w:rPr>
          <w:lang w:eastAsia="zh-TW"/>
        </w:rPr>
      </w:pPr>
      <w:r>
        <w:rPr>
          <w:lang w:eastAsia="zh-TW"/>
        </w:rPr>
        <w:t>後續中國大陸關於人工智慧生成合成內容標識的規範，處理的是生成內容的標識與傳播辨識問題；其制度目的與本文所問的原始授權鏈、政府</w:t>
      </w:r>
      <w:r>
        <w:rPr>
          <w:lang w:eastAsia="zh-TW"/>
        </w:rPr>
        <w:t>RAG</w:t>
      </w:r>
      <w:r>
        <w:rPr>
          <w:lang w:eastAsia="zh-TW"/>
        </w:rPr>
        <w:t>部署及停止責任並不相同。本文因此不以內容標識規範推論政府</w:t>
      </w:r>
      <w:r>
        <w:rPr>
          <w:lang w:eastAsia="zh-TW"/>
        </w:rPr>
        <w:t>內部使用已有完整的權利來源治理。</w:t>
      </w:r>
    </w:p>
    <w:p w14:paraId="597C54B2" w14:textId="77777777" w:rsidR="0084721C" w:rsidRDefault="009B07FB">
      <w:pPr>
        <w:spacing w:after="140" w:line="324" w:lineRule="auto"/>
        <w:rPr>
          <w:lang w:eastAsia="zh-TW"/>
        </w:rPr>
      </w:pPr>
      <w:r>
        <w:rPr>
          <w:b/>
          <w:sz w:val="26"/>
          <w:lang w:eastAsia="zh-TW"/>
        </w:rPr>
        <w:t>（二）歐盟：透明度導向的「權利行使促進」機制</w:t>
      </w:r>
    </w:p>
    <w:p w14:paraId="11CA0F4D" w14:textId="77777777" w:rsidR="0084721C" w:rsidRDefault="009B07FB">
      <w:pPr>
        <w:spacing w:after="120" w:line="324" w:lineRule="auto"/>
        <w:rPr>
          <w:lang w:eastAsia="zh-TW"/>
        </w:rPr>
      </w:pPr>
      <w:r>
        <w:rPr>
          <w:lang w:eastAsia="zh-TW"/>
        </w:rPr>
        <w:t>歐盟《</w:t>
      </w:r>
      <w:r>
        <w:rPr>
          <w:lang w:eastAsia="zh-TW"/>
        </w:rPr>
        <w:t>AI Act</w:t>
      </w:r>
      <w:r>
        <w:rPr>
          <w:lang w:eastAsia="zh-TW"/>
        </w:rPr>
        <w:t>》第</w:t>
      </w:r>
      <w:r>
        <w:rPr>
          <w:lang w:eastAsia="zh-TW"/>
        </w:rPr>
        <w:t>53</w:t>
      </w:r>
      <w:r>
        <w:rPr>
          <w:lang w:eastAsia="zh-TW"/>
        </w:rPr>
        <w:t>條對通用目的</w:t>
      </w:r>
      <w:r>
        <w:rPr>
          <w:lang w:eastAsia="zh-TW"/>
        </w:rPr>
        <w:t>AI</w:t>
      </w:r>
      <w:r>
        <w:rPr>
          <w:lang w:eastAsia="zh-TW"/>
        </w:rPr>
        <w:t>（</w:t>
      </w:r>
      <w:r>
        <w:rPr>
          <w:lang w:eastAsia="zh-TW"/>
        </w:rPr>
        <w:t>GPAI</w:t>
      </w:r>
      <w:r>
        <w:rPr>
          <w:lang w:eastAsia="zh-TW"/>
        </w:rPr>
        <w:t>）模型提供者課予下列義務：</w:t>
      </w:r>
    </w:p>
    <w:p w14:paraId="0FB9C043" w14:textId="77777777" w:rsidR="0084721C" w:rsidRDefault="009B07FB">
      <w:pPr>
        <w:spacing w:after="120" w:line="324" w:lineRule="auto"/>
        <w:rPr>
          <w:lang w:eastAsia="zh-TW"/>
        </w:rPr>
      </w:pPr>
      <w:r>
        <w:rPr>
          <w:lang w:eastAsia="zh-TW"/>
        </w:rPr>
        <w:t xml:space="preserve">1. </w:t>
      </w:r>
      <w:r>
        <w:rPr>
          <w:lang w:eastAsia="zh-TW"/>
        </w:rPr>
        <w:t>建置遵守歐盟著作權及鄰接權法的政策，尤其辨識並遵守權利保留；</w:t>
      </w:r>
    </w:p>
    <w:p w14:paraId="64118229" w14:textId="77777777" w:rsidR="0084721C" w:rsidRDefault="009B07FB">
      <w:pPr>
        <w:spacing w:after="120" w:line="324" w:lineRule="auto"/>
      </w:pPr>
      <w:r>
        <w:t xml:space="preserve">2. </w:t>
      </w:r>
      <w:proofErr w:type="spellStart"/>
      <w:r>
        <w:t>依</w:t>
      </w:r>
      <w:r>
        <w:t>AI</w:t>
      </w:r>
      <w:proofErr w:type="spellEnd"/>
      <w:r>
        <w:t xml:space="preserve"> </w:t>
      </w:r>
      <w:proofErr w:type="spellStart"/>
      <w:r>
        <w:t>Office</w:t>
      </w:r>
      <w:r>
        <w:t>範本公開「訓練內容的充分詳細摘要</w:t>
      </w:r>
      <w:proofErr w:type="spellEnd"/>
      <w:r>
        <w:t>」（</w:t>
      </w:r>
      <w:r>
        <w:t>public summary of training content</w:t>
      </w:r>
      <w:r>
        <w:t>）。</w:t>
      </w:r>
    </w:p>
    <w:p w14:paraId="0EBB451A" w14:textId="77777777" w:rsidR="0084721C" w:rsidRDefault="009B07FB">
      <w:pPr>
        <w:spacing w:after="120" w:line="324" w:lineRule="auto"/>
        <w:rPr>
          <w:lang w:eastAsia="zh-TW"/>
        </w:rPr>
      </w:pPr>
      <w:r>
        <w:t>此等</w:t>
      </w:r>
      <w:r>
        <w:t>GPAI</w:t>
      </w:r>
      <w:r>
        <w:t>提供者義務自</w:t>
      </w:r>
      <w:r>
        <w:t>2025</w:t>
      </w:r>
      <w:r>
        <w:t>年</w:t>
      </w:r>
      <w:r>
        <w:t>8</w:t>
      </w:r>
      <w:r>
        <w:t>月</w:t>
      </w:r>
      <w:r>
        <w:t>2</w:t>
      </w:r>
      <w:proofErr w:type="spellStart"/>
      <w:r>
        <w:t>日起適用；歐盟委員會已發布公開摘要範本</w:t>
      </w:r>
      <w:proofErr w:type="spellEnd"/>
      <w:r>
        <w:t>。</w:t>
      </w:r>
      <w:r>
        <w:rPr>
          <w:lang w:eastAsia="zh-TW"/>
        </w:rPr>
        <w:t>高風險</w:t>
      </w:r>
      <w:r>
        <w:rPr>
          <w:lang w:eastAsia="zh-TW"/>
        </w:rPr>
        <w:t>AI</w:t>
      </w:r>
      <w:r>
        <w:rPr>
          <w:lang w:eastAsia="zh-TW"/>
        </w:rPr>
        <w:t>系統另有第</w:t>
      </w:r>
      <w:r>
        <w:rPr>
          <w:lang w:eastAsia="zh-TW"/>
        </w:rPr>
        <w:t>10</w:t>
      </w:r>
      <w:r>
        <w:rPr>
          <w:lang w:eastAsia="zh-TW"/>
        </w:rPr>
        <w:t>條的資料治理要求。這些規範可促進權利人理解訓</w:t>
      </w:r>
      <w:r>
        <w:rPr>
          <w:lang w:eastAsia="zh-TW"/>
        </w:rPr>
        <w:t>練內容類型，卻不是逐筆作品清冊。</w:t>
      </w:r>
    </w:p>
    <w:p w14:paraId="4156A0A1" w14:textId="77777777" w:rsidR="0084721C" w:rsidRDefault="009B07FB">
      <w:pPr>
        <w:spacing w:after="120" w:line="324" w:lineRule="auto"/>
        <w:rPr>
          <w:lang w:eastAsia="zh-TW"/>
        </w:rPr>
      </w:pPr>
      <w:r>
        <w:rPr>
          <w:lang w:eastAsia="zh-TW"/>
        </w:rPr>
        <w:t>比較意涵：第</w:t>
      </w:r>
      <w:r>
        <w:rPr>
          <w:lang w:eastAsia="zh-TW"/>
        </w:rPr>
        <w:t>53</w:t>
      </w:r>
      <w:r>
        <w:rPr>
          <w:lang w:eastAsia="zh-TW"/>
        </w:rPr>
        <w:t>條的義務主體是</w:t>
      </w:r>
      <w:r>
        <w:rPr>
          <w:lang w:eastAsia="zh-TW"/>
        </w:rPr>
        <w:t>GPAI</w:t>
      </w:r>
      <w:r>
        <w:rPr>
          <w:lang w:eastAsia="zh-TW"/>
        </w:rPr>
        <w:t>模型提供者，不是每一個以該模型建立</w:t>
      </w:r>
      <w:r>
        <w:rPr>
          <w:lang w:eastAsia="zh-TW"/>
        </w:rPr>
        <w:t>RAG</w:t>
      </w:r>
      <w:r>
        <w:rPr>
          <w:lang w:eastAsia="zh-TW"/>
        </w:rPr>
        <w:t>的部</w:t>
      </w:r>
      <w:proofErr w:type="gramStart"/>
      <w:r>
        <w:rPr>
          <w:lang w:eastAsia="zh-TW"/>
        </w:rPr>
        <w:t>署者</w:t>
      </w:r>
      <w:proofErr w:type="gramEnd"/>
      <w:r>
        <w:rPr>
          <w:lang w:eastAsia="zh-TW"/>
        </w:rPr>
        <w:t>。歐盟路徑強調「模型層級透明度作為權利行使的前提」，而非直接指定政府機關的停止責任人。對臺灣政府</w:t>
      </w:r>
      <w:r>
        <w:rPr>
          <w:lang w:eastAsia="zh-TW"/>
        </w:rPr>
        <w:t>AI</w:t>
      </w:r>
      <w:r>
        <w:rPr>
          <w:lang w:eastAsia="zh-TW"/>
        </w:rPr>
        <w:t>而言，</w:t>
      </w:r>
      <w:r>
        <w:rPr>
          <w:lang w:eastAsia="zh-TW"/>
        </w:rPr>
        <w:lastRenderedPageBreak/>
        <w:t>若採購或使用的</w:t>
      </w:r>
      <w:r>
        <w:rPr>
          <w:lang w:eastAsia="zh-TW"/>
        </w:rPr>
        <w:t>GPAI</w:t>
      </w:r>
      <w:r>
        <w:rPr>
          <w:lang w:eastAsia="zh-TW"/>
        </w:rPr>
        <w:t>模型已依</w:t>
      </w:r>
      <w:r>
        <w:rPr>
          <w:lang w:eastAsia="zh-TW"/>
        </w:rPr>
        <w:t>AI Act</w:t>
      </w:r>
      <w:r>
        <w:rPr>
          <w:lang w:eastAsia="zh-TW"/>
        </w:rPr>
        <w:t>公開摘要，可作為「權利來源證據包」的補充材料；但摘要本身並不自動解決機關自行匯入資料、切塊、向量化與檢索後的來源失落，也不替代部署者層級的停止權、日誌保全與異議入口。歐盟模式提醒我們：透明度是必要條件，卻不足以構成完整的事前治理與跨境回應能力。</w:t>
      </w:r>
    </w:p>
    <w:p w14:paraId="335D2472" w14:textId="77777777" w:rsidR="0084721C" w:rsidRDefault="009B07FB">
      <w:pPr>
        <w:spacing w:after="140" w:line="324" w:lineRule="auto"/>
        <w:rPr>
          <w:lang w:eastAsia="zh-TW"/>
        </w:rPr>
      </w:pPr>
      <w:r>
        <w:rPr>
          <w:b/>
          <w:sz w:val="26"/>
          <w:lang w:eastAsia="zh-TW"/>
        </w:rPr>
        <w:t>（三）美國：分散、訴訟驅動與國家安全導向</w:t>
      </w:r>
    </w:p>
    <w:p w14:paraId="174BE8BB" w14:textId="77777777" w:rsidR="0084721C" w:rsidRDefault="009B07FB">
      <w:pPr>
        <w:spacing w:after="120" w:line="324" w:lineRule="auto"/>
        <w:rPr>
          <w:lang w:eastAsia="zh-TW"/>
        </w:rPr>
      </w:pPr>
      <w:r>
        <w:rPr>
          <w:lang w:eastAsia="zh-TW"/>
        </w:rPr>
        <w:t>美國並非以單一生成式</w:t>
      </w:r>
      <w:r>
        <w:rPr>
          <w:lang w:eastAsia="zh-TW"/>
        </w:rPr>
        <w:t>AI</w:t>
      </w:r>
      <w:r>
        <w:rPr>
          <w:lang w:eastAsia="zh-TW"/>
        </w:rPr>
        <w:t>專法處理本題，而是由多種工具並行：</w:t>
      </w:r>
    </w:p>
    <w:p w14:paraId="562C1411"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著作權法下的合理使用（</w:t>
      </w:r>
      <w:r>
        <w:rPr>
          <w:lang w:eastAsia="zh-TW"/>
        </w:rPr>
        <w:t>fair use</w:t>
      </w:r>
      <w:r>
        <w:rPr>
          <w:lang w:eastAsia="zh-TW"/>
        </w:rPr>
        <w:t>）訴訟（例如對訓練資料的集體訴訟仍在進行中）；</w:t>
      </w:r>
    </w:p>
    <w:p w14:paraId="740AAA9D" w14:textId="77777777" w:rsidR="0084721C" w:rsidRDefault="009B07FB">
      <w:pPr>
        <w:spacing w:after="60" w:line="324" w:lineRule="auto"/>
        <w:ind w:left="259" w:hanging="259"/>
      </w:pPr>
      <w:r>
        <w:t>• NIST AI Risk Management Framework</w:t>
      </w:r>
      <w:r>
        <w:t>等自願性框架；</w:t>
      </w:r>
    </w:p>
    <w:p w14:paraId="58402C17" w14:textId="77777777" w:rsidR="0084721C" w:rsidRDefault="009B07FB">
      <w:pPr>
        <w:spacing w:after="60" w:line="324" w:lineRule="auto"/>
        <w:ind w:left="259" w:hanging="259"/>
      </w:pPr>
      <w:r>
        <w:t>• OMB</w:t>
      </w:r>
      <w:r>
        <w:t>對聯邦</w:t>
      </w:r>
      <w:r>
        <w:t>AI</w:t>
      </w:r>
      <w:r>
        <w:t>採購與使用的備忘錄；</w:t>
      </w:r>
    </w:p>
    <w:p w14:paraId="30E84D4A" w14:textId="77777777" w:rsidR="0084721C" w:rsidRDefault="009B07FB">
      <w:pPr>
        <w:spacing w:after="60" w:line="324" w:lineRule="auto"/>
        <w:ind w:left="259" w:hanging="259"/>
      </w:pPr>
      <w:r>
        <w:t xml:space="preserve">• </w:t>
      </w:r>
      <w:r>
        <w:t>出口管制與供應鏈安全考量。</w:t>
      </w:r>
    </w:p>
    <w:p w14:paraId="5AE9EF0A" w14:textId="77777777" w:rsidR="0084721C" w:rsidRDefault="009B07FB">
      <w:pPr>
        <w:spacing w:after="120" w:line="324" w:lineRule="auto"/>
        <w:rPr>
          <w:lang w:eastAsia="zh-TW"/>
        </w:rPr>
      </w:pPr>
      <w:r>
        <w:t>政府作為使用者時，聯邦採購、資安、隱私、機密與各部門規範同時作用。</w:t>
      </w:r>
      <w:r>
        <w:rPr>
          <w:lang w:eastAsia="zh-TW"/>
        </w:rPr>
        <w:t>M-25-22</w:t>
      </w:r>
      <w:r>
        <w:rPr>
          <w:lang w:eastAsia="zh-TW"/>
        </w:rPr>
        <w:t>直接適用於符合其範圍的聯邦</w:t>
      </w:r>
      <w:r>
        <w:rPr>
          <w:lang w:eastAsia="zh-TW"/>
        </w:rPr>
        <w:t>AI</w:t>
      </w:r>
      <w:r>
        <w:rPr>
          <w:lang w:eastAsia="zh-TW"/>
        </w:rPr>
        <w:t>取得；它要求機關更新採購程序、使用適當的智慧財產</w:t>
      </w:r>
      <w:r>
        <w:rPr>
          <w:lang w:eastAsia="zh-TW"/>
        </w:rPr>
        <w:t>權契約條款，依</w:t>
      </w:r>
      <w:r>
        <w:rPr>
          <w:lang w:eastAsia="zh-TW"/>
        </w:rPr>
        <w:t>AI</w:t>
      </w:r>
      <w:r>
        <w:rPr>
          <w:lang w:eastAsia="zh-TW"/>
        </w:rPr>
        <w:t>預定用途界定政府與承包商的權利，並處理資料保留、透明度與持續監測。備忘錄亦明示其取代的是</w:t>
      </w:r>
      <w:r>
        <w:rPr>
          <w:lang w:eastAsia="zh-TW"/>
        </w:rPr>
        <w:t>M-24-18</w:t>
      </w:r>
      <w:r>
        <w:rPr>
          <w:lang w:eastAsia="zh-TW"/>
        </w:rPr>
        <w:t>；它不是臺灣跨境證據包制度的直接證據，更不是可移植的停止命令依據。其可供借鏡處，在於將</w:t>
      </w:r>
      <w:r>
        <w:rPr>
          <w:lang w:eastAsia="zh-TW"/>
        </w:rPr>
        <w:t>IP</w:t>
      </w:r>
      <w:r>
        <w:rPr>
          <w:lang w:eastAsia="zh-TW"/>
        </w:rPr>
        <w:t>、資料處理、文件與監測要求寫進採購生命週期。</w:t>
      </w:r>
    </w:p>
    <w:p w14:paraId="5B8446B2" w14:textId="77777777" w:rsidR="0084721C" w:rsidRDefault="009B07FB">
      <w:pPr>
        <w:spacing w:after="120" w:line="324" w:lineRule="auto"/>
        <w:rPr>
          <w:lang w:eastAsia="zh-TW"/>
        </w:rPr>
      </w:pPr>
      <w:r>
        <w:rPr>
          <w:lang w:eastAsia="zh-TW"/>
        </w:rPr>
        <w:t>比較意涵：美國路徑對「政府事前保存可被外部檢驗的行政證據」要求相對較弱，但對跨境技術移轉與國家安全敏感度極高。這與</w:t>
      </w:r>
      <w:proofErr w:type="gramStart"/>
      <w:r>
        <w:rPr>
          <w:lang w:eastAsia="zh-TW"/>
        </w:rPr>
        <w:t>第十九篇高敏感</w:t>
      </w:r>
      <w:proofErr w:type="gramEnd"/>
      <w:r>
        <w:rPr>
          <w:lang w:eastAsia="zh-TW"/>
        </w:rPr>
        <w:t>技術合作案例形成對照：若臺灣</w:t>
      </w:r>
      <w:proofErr w:type="gramStart"/>
      <w:r>
        <w:rPr>
          <w:lang w:eastAsia="zh-TW"/>
        </w:rPr>
        <w:t>在共製或</w:t>
      </w:r>
      <w:proofErr w:type="gramEnd"/>
      <w:r>
        <w:rPr>
          <w:lang w:eastAsia="zh-TW"/>
        </w:rPr>
        <w:t>關鍵技術案中缺乏明確的接觸權／利用權界線與停止機制，一旦觸發出口國關切，損害可能難以用一般民</w:t>
      </w:r>
      <w:r>
        <w:rPr>
          <w:lang w:eastAsia="zh-TW"/>
        </w:rPr>
        <w:t>事救濟回復。</w:t>
      </w:r>
    </w:p>
    <w:p w14:paraId="7C99025D" w14:textId="77777777" w:rsidR="0084721C" w:rsidRDefault="009B07FB">
      <w:pPr>
        <w:spacing w:after="140" w:line="324" w:lineRule="auto"/>
        <w:rPr>
          <w:lang w:eastAsia="zh-TW"/>
        </w:rPr>
      </w:pPr>
      <w:r>
        <w:rPr>
          <w:b/>
          <w:sz w:val="26"/>
          <w:lang w:eastAsia="zh-TW"/>
        </w:rPr>
        <w:t>（四）綜合比較表：責任閘門、權利人</w:t>
      </w:r>
      <w:proofErr w:type="gramStart"/>
      <w:r>
        <w:rPr>
          <w:b/>
          <w:sz w:val="26"/>
          <w:lang w:eastAsia="zh-TW"/>
        </w:rPr>
        <w:t>可達性與</w:t>
      </w:r>
      <w:proofErr w:type="gramEnd"/>
      <w:r>
        <w:rPr>
          <w:b/>
          <w:sz w:val="26"/>
          <w:lang w:eastAsia="zh-TW"/>
        </w:rPr>
        <w:t>政府證據能力</w:t>
      </w:r>
    </w:p>
    <w:tbl>
      <w:tblPr>
        <w:tblStyle w:val="aff2"/>
        <w:tblW w:w="0" w:type="auto"/>
        <w:jc w:val="center"/>
        <w:tblLook w:val="04A0" w:firstRow="1" w:lastRow="0" w:firstColumn="1" w:lastColumn="0" w:noHBand="0" w:noVBand="1"/>
      </w:tblPr>
      <w:tblGrid>
        <w:gridCol w:w="1987"/>
        <w:gridCol w:w="1987"/>
        <w:gridCol w:w="1987"/>
        <w:gridCol w:w="1987"/>
        <w:gridCol w:w="1987"/>
      </w:tblGrid>
      <w:tr w:rsidR="0084721C" w14:paraId="69106CC9" w14:textId="77777777">
        <w:trPr>
          <w:jc w:val="center"/>
        </w:trPr>
        <w:tc>
          <w:tcPr>
            <w:tcW w:w="1987" w:type="dxa"/>
            <w:shd w:val="clear" w:color="auto" w:fill="DCE6F2"/>
            <w:tcMar>
              <w:top w:w="90" w:type="dxa"/>
              <w:left w:w="100" w:type="dxa"/>
              <w:bottom w:w="90" w:type="dxa"/>
              <w:right w:w="100" w:type="dxa"/>
            </w:tcMar>
            <w:vAlign w:val="center"/>
          </w:tcPr>
          <w:p w14:paraId="14FC929D" w14:textId="77777777" w:rsidR="0084721C" w:rsidRDefault="009B07FB">
            <w:pPr>
              <w:spacing w:line="252" w:lineRule="auto"/>
            </w:pPr>
            <w:proofErr w:type="spellStart"/>
            <w:r>
              <w:rPr>
                <w:b/>
                <w:sz w:val="17"/>
              </w:rPr>
              <w:t>比較項目</w:t>
            </w:r>
            <w:proofErr w:type="spellEnd"/>
          </w:p>
        </w:tc>
        <w:tc>
          <w:tcPr>
            <w:tcW w:w="1987" w:type="dxa"/>
            <w:shd w:val="clear" w:color="auto" w:fill="DCE6F2"/>
            <w:tcMar>
              <w:top w:w="90" w:type="dxa"/>
              <w:left w:w="100" w:type="dxa"/>
              <w:bottom w:w="90" w:type="dxa"/>
              <w:right w:w="100" w:type="dxa"/>
            </w:tcMar>
            <w:vAlign w:val="center"/>
          </w:tcPr>
          <w:p w14:paraId="38914902" w14:textId="77777777" w:rsidR="0084721C" w:rsidRDefault="009B07FB">
            <w:pPr>
              <w:spacing w:line="252" w:lineRule="auto"/>
              <w:rPr>
                <w:lang w:eastAsia="zh-TW"/>
              </w:rPr>
            </w:pPr>
            <w:r>
              <w:rPr>
                <w:b/>
                <w:sz w:val="17"/>
                <w:lang w:eastAsia="zh-TW"/>
              </w:rPr>
              <w:t>臺灣（現行＋本文建議）</w:t>
            </w:r>
          </w:p>
        </w:tc>
        <w:tc>
          <w:tcPr>
            <w:tcW w:w="1987" w:type="dxa"/>
            <w:shd w:val="clear" w:color="auto" w:fill="DCE6F2"/>
            <w:tcMar>
              <w:top w:w="90" w:type="dxa"/>
              <w:left w:w="100" w:type="dxa"/>
              <w:bottom w:w="90" w:type="dxa"/>
              <w:right w:w="100" w:type="dxa"/>
            </w:tcMar>
            <w:vAlign w:val="center"/>
          </w:tcPr>
          <w:p w14:paraId="38AA9F81" w14:textId="77777777" w:rsidR="0084721C" w:rsidRDefault="009B07FB">
            <w:pPr>
              <w:spacing w:line="252" w:lineRule="auto"/>
            </w:pPr>
            <w:proofErr w:type="spellStart"/>
            <w:r>
              <w:rPr>
                <w:b/>
                <w:sz w:val="17"/>
              </w:rPr>
              <w:t>中國大陸</w:t>
            </w:r>
            <w:proofErr w:type="spellEnd"/>
          </w:p>
        </w:tc>
        <w:tc>
          <w:tcPr>
            <w:tcW w:w="1987" w:type="dxa"/>
            <w:shd w:val="clear" w:color="auto" w:fill="DCE6F2"/>
            <w:tcMar>
              <w:top w:w="90" w:type="dxa"/>
              <w:left w:w="100" w:type="dxa"/>
              <w:bottom w:w="90" w:type="dxa"/>
              <w:right w:w="100" w:type="dxa"/>
            </w:tcMar>
            <w:vAlign w:val="center"/>
          </w:tcPr>
          <w:p w14:paraId="04B5E02C" w14:textId="77777777" w:rsidR="0084721C" w:rsidRDefault="009B07FB">
            <w:pPr>
              <w:spacing w:line="252" w:lineRule="auto"/>
            </w:pPr>
            <w:r>
              <w:rPr>
                <w:b/>
                <w:sz w:val="17"/>
              </w:rPr>
              <w:t>歐盟（</w:t>
            </w:r>
            <w:r>
              <w:rPr>
                <w:b/>
                <w:sz w:val="17"/>
              </w:rPr>
              <w:t>AI Act GPAI</w:t>
            </w:r>
            <w:r>
              <w:rPr>
                <w:b/>
                <w:sz w:val="17"/>
              </w:rPr>
              <w:t>）</w:t>
            </w:r>
          </w:p>
        </w:tc>
        <w:tc>
          <w:tcPr>
            <w:tcW w:w="1987" w:type="dxa"/>
            <w:shd w:val="clear" w:color="auto" w:fill="DCE6F2"/>
            <w:tcMar>
              <w:top w:w="90" w:type="dxa"/>
              <w:left w:w="100" w:type="dxa"/>
              <w:bottom w:w="90" w:type="dxa"/>
              <w:right w:w="100" w:type="dxa"/>
            </w:tcMar>
            <w:vAlign w:val="center"/>
          </w:tcPr>
          <w:p w14:paraId="5065B653" w14:textId="77777777" w:rsidR="0084721C" w:rsidRDefault="009B07FB">
            <w:pPr>
              <w:spacing w:line="252" w:lineRule="auto"/>
            </w:pPr>
            <w:r>
              <w:rPr>
                <w:b/>
                <w:sz w:val="17"/>
              </w:rPr>
              <w:t>美國</w:t>
            </w:r>
          </w:p>
        </w:tc>
      </w:tr>
      <w:tr w:rsidR="0084721C" w14:paraId="77119A15" w14:textId="77777777">
        <w:trPr>
          <w:jc w:val="center"/>
        </w:trPr>
        <w:tc>
          <w:tcPr>
            <w:tcW w:w="1987" w:type="dxa"/>
            <w:tcMar>
              <w:top w:w="90" w:type="dxa"/>
              <w:left w:w="100" w:type="dxa"/>
              <w:bottom w:w="90" w:type="dxa"/>
              <w:right w:w="100" w:type="dxa"/>
            </w:tcMar>
            <w:vAlign w:val="center"/>
          </w:tcPr>
          <w:p w14:paraId="362A44AB" w14:textId="77777777" w:rsidR="0084721C" w:rsidRDefault="009B07FB">
            <w:pPr>
              <w:spacing w:line="252" w:lineRule="auto"/>
            </w:pPr>
            <w:r>
              <w:rPr>
                <w:sz w:val="17"/>
              </w:rPr>
              <w:t>主要責任閘門</w:t>
            </w:r>
          </w:p>
        </w:tc>
        <w:tc>
          <w:tcPr>
            <w:tcW w:w="1987" w:type="dxa"/>
            <w:tcMar>
              <w:top w:w="90" w:type="dxa"/>
              <w:left w:w="100" w:type="dxa"/>
              <w:bottom w:w="90" w:type="dxa"/>
              <w:right w:w="100" w:type="dxa"/>
            </w:tcMar>
            <w:vAlign w:val="center"/>
          </w:tcPr>
          <w:p w14:paraId="0E99324F" w14:textId="77777777" w:rsidR="0084721C" w:rsidRDefault="009B07FB">
            <w:pPr>
              <w:spacing w:line="252" w:lineRule="auto"/>
              <w:rPr>
                <w:lang w:eastAsia="zh-TW"/>
              </w:rPr>
            </w:pPr>
            <w:r>
              <w:rPr>
                <w:sz w:val="17"/>
                <w:lang w:eastAsia="zh-TW"/>
              </w:rPr>
              <w:t>分散於目的機關、採購、資訊、法制、供應商；建議強化案件責任官＋國家統籌</w:t>
            </w:r>
          </w:p>
        </w:tc>
        <w:tc>
          <w:tcPr>
            <w:tcW w:w="1987" w:type="dxa"/>
            <w:tcMar>
              <w:top w:w="90" w:type="dxa"/>
              <w:left w:w="100" w:type="dxa"/>
              <w:bottom w:w="90" w:type="dxa"/>
              <w:right w:w="100" w:type="dxa"/>
            </w:tcMar>
            <w:vAlign w:val="center"/>
          </w:tcPr>
          <w:p w14:paraId="262BC08A" w14:textId="77777777" w:rsidR="0084721C" w:rsidRDefault="009B07FB">
            <w:pPr>
              <w:spacing w:line="252" w:lineRule="auto"/>
              <w:rPr>
                <w:lang w:eastAsia="zh-TW"/>
              </w:rPr>
            </w:pPr>
            <w:r>
              <w:rPr>
                <w:sz w:val="17"/>
                <w:lang w:eastAsia="zh-TW"/>
              </w:rPr>
              <w:t>面向公眾服務的「提供者」為核心閘門</w:t>
            </w:r>
          </w:p>
        </w:tc>
        <w:tc>
          <w:tcPr>
            <w:tcW w:w="1987" w:type="dxa"/>
            <w:tcMar>
              <w:top w:w="90" w:type="dxa"/>
              <w:left w:w="100" w:type="dxa"/>
              <w:bottom w:w="90" w:type="dxa"/>
              <w:right w:w="100" w:type="dxa"/>
            </w:tcMar>
            <w:vAlign w:val="center"/>
          </w:tcPr>
          <w:p w14:paraId="77863EAD" w14:textId="77777777" w:rsidR="0084721C" w:rsidRDefault="009B07FB">
            <w:pPr>
              <w:spacing w:line="252" w:lineRule="auto"/>
              <w:rPr>
                <w:lang w:eastAsia="zh-TW"/>
              </w:rPr>
            </w:pPr>
            <w:r>
              <w:rPr>
                <w:sz w:val="17"/>
                <w:lang w:eastAsia="zh-TW"/>
              </w:rPr>
              <w:t>模型提供者（透明度義務）＋部署者</w:t>
            </w:r>
          </w:p>
        </w:tc>
        <w:tc>
          <w:tcPr>
            <w:tcW w:w="1987" w:type="dxa"/>
            <w:tcMar>
              <w:top w:w="90" w:type="dxa"/>
              <w:left w:w="100" w:type="dxa"/>
              <w:bottom w:w="90" w:type="dxa"/>
              <w:right w:w="100" w:type="dxa"/>
            </w:tcMar>
            <w:vAlign w:val="center"/>
          </w:tcPr>
          <w:p w14:paraId="741F7D2A" w14:textId="77777777" w:rsidR="0084721C" w:rsidRDefault="009B07FB">
            <w:pPr>
              <w:spacing w:line="252" w:lineRule="auto"/>
              <w:rPr>
                <w:lang w:eastAsia="zh-TW"/>
              </w:rPr>
            </w:pPr>
            <w:r>
              <w:rPr>
                <w:sz w:val="17"/>
                <w:lang w:eastAsia="zh-TW"/>
              </w:rPr>
              <w:t>分散；訴訟與行政指導並行</w:t>
            </w:r>
          </w:p>
        </w:tc>
      </w:tr>
      <w:tr w:rsidR="0084721C" w14:paraId="0E46BBE2" w14:textId="77777777">
        <w:trPr>
          <w:jc w:val="center"/>
        </w:trPr>
        <w:tc>
          <w:tcPr>
            <w:tcW w:w="1987" w:type="dxa"/>
            <w:tcMar>
              <w:top w:w="90" w:type="dxa"/>
              <w:left w:w="100" w:type="dxa"/>
              <w:bottom w:w="90" w:type="dxa"/>
              <w:right w:w="100" w:type="dxa"/>
            </w:tcMar>
            <w:vAlign w:val="center"/>
          </w:tcPr>
          <w:p w14:paraId="79511222" w14:textId="77777777" w:rsidR="0084721C" w:rsidRDefault="009B07FB">
            <w:pPr>
              <w:spacing w:line="252" w:lineRule="auto"/>
              <w:rPr>
                <w:lang w:eastAsia="zh-TW"/>
              </w:rPr>
            </w:pPr>
            <w:proofErr w:type="gramStart"/>
            <w:r>
              <w:rPr>
                <w:sz w:val="17"/>
                <w:lang w:eastAsia="zh-TW"/>
              </w:rPr>
              <w:t>內部／</w:t>
            </w:r>
            <w:proofErr w:type="gramEnd"/>
            <w:r>
              <w:rPr>
                <w:sz w:val="17"/>
                <w:lang w:eastAsia="zh-TW"/>
              </w:rPr>
              <w:t>非公眾</w:t>
            </w:r>
            <w:r>
              <w:rPr>
                <w:sz w:val="17"/>
                <w:lang w:eastAsia="zh-TW"/>
              </w:rPr>
              <w:t>RAG</w:t>
            </w:r>
            <w:r>
              <w:rPr>
                <w:sz w:val="17"/>
                <w:lang w:eastAsia="zh-TW"/>
              </w:rPr>
              <w:t>涵蓋</w:t>
            </w:r>
          </w:p>
        </w:tc>
        <w:tc>
          <w:tcPr>
            <w:tcW w:w="1987" w:type="dxa"/>
            <w:tcMar>
              <w:top w:w="90" w:type="dxa"/>
              <w:left w:w="100" w:type="dxa"/>
              <w:bottom w:w="90" w:type="dxa"/>
              <w:right w:w="100" w:type="dxa"/>
            </w:tcMar>
            <w:vAlign w:val="center"/>
          </w:tcPr>
          <w:p w14:paraId="3631A1F5" w14:textId="77777777" w:rsidR="0084721C" w:rsidRDefault="009B07FB">
            <w:pPr>
              <w:spacing w:line="252" w:lineRule="auto"/>
              <w:rPr>
                <w:lang w:eastAsia="zh-TW"/>
              </w:rPr>
            </w:pPr>
            <w:r>
              <w:rPr>
                <w:sz w:val="17"/>
                <w:lang w:eastAsia="zh-TW"/>
              </w:rPr>
              <w:t>原則上未被既有原則具體涵蓋；本文主張納入</w:t>
            </w:r>
            <w:r>
              <w:rPr>
                <w:sz w:val="17"/>
                <w:lang w:eastAsia="zh-TW"/>
              </w:rPr>
              <w:t>OAC</w:t>
            </w:r>
          </w:p>
        </w:tc>
        <w:tc>
          <w:tcPr>
            <w:tcW w:w="1987" w:type="dxa"/>
            <w:tcMar>
              <w:top w:w="90" w:type="dxa"/>
              <w:left w:w="100" w:type="dxa"/>
              <w:bottom w:w="90" w:type="dxa"/>
              <w:right w:w="100" w:type="dxa"/>
            </w:tcMar>
            <w:vAlign w:val="center"/>
          </w:tcPr>
          <w:p w14:paraId="291EF45E" w14:textId="77777777" w:rsidR="0084721C" w:rsidRDefault="009B07FB">
            <w:pPr>
              <w:spacing w:line="252" w:lineRule="auto"/>
              <w:rPr>
                <w:lang w:eastAsia="zh-TW"/>
              </w:rPr>
            </w:pPr>
            <w:r>
              <w:rPr>
                <w:sz w:val="17"/>
                <w:lang w:eastAsia="zh-TW"/>
              </w:rPr>
              <w:t>明確排除未向公眾提供的內部使用</w:t>
            </w:r>
          </w:p>
        </w:tc>
        <w:tc>
          <w:tcPr>
            <w:tcW w:w="1987" w:type="dxa"/>
            <w:tcMar>
              <w:top w:w="90" w:type="dxa"/>
              <w:left w:w="100" w:type="dxa"/>
              <w:bottom w:w="90" w:type="dxa"/>
              <w:right w:w="100" w:type="dxa"/>
            </w:tcMar>
            <w:vAlign w:val="center"/>
          </w:tcPr>
          <w:p w14:paraId="2391951D" w14:textId="77777777" w:rsidR="0084721C" w:rsidRDefault="009B07FB">
            <w:pPr>
              <w:spacing w:line="252" w:lineRule="auto"/>
              <w:rPr>
                <w:lang w:eastAsia="zh-TW"/>
              </w:rPr>
            </w:pPr>
            <w:r>
              <w:rPr>
                <w:sz w:val="17"/>
                <w:lang w:eastAsia="zh-TW"/>
              </w:rPr>
              <w:t>高風險系統有數據治理要求；</w:t>
            </w:r>
            <w:r>
              <w:rPr>
                <w:sz w:val="17"/>
                <w:lang w:eastAsia="zh-TW"/>
              </w:rPr>
              <w:t>RAG</w:t>
            </w:r>
            <w:r>
              <w:rPr>
                <w:sz w:val="17"/>
                <w:lang w:eastAsia="zh-TW"/>
              </w:rPr>
              <w:t>本身非核心焦點</w:t>
            </w:r>
          </w:p>
        </w:tc>
        <w:tc>
          <w:tcPr>
            <w:tcW w:w="1987" w:type="dxa"/>
            <w:tcMar>
              <w:top w:w="90" w:type="dxa"/>
              <w:left w:w="100" w:type="dxa"/>
              <w:bottom w:w="90" w:type="dxa"/>
              <w:right w:w="100" w:type="dxa"/>
            </w:tcMar>
            <w:vAlign w:val="center"/>
          </w:tcPr>
          <w:p w14:paraId="231240A5" w14:textId="77777777" w:rsidR="0084721C" w:rsidRDefault="009B07FB">
            <w:pPr>
              <w:spacing w:line="252" w:lineRule="auto"/>
              <w:rPr>
                <w:lang w:eastAsia="zh-TW"/>
              </w:rPr>
            </w:pPr>
            <w:r>
              <w:rPr>
                <w:sz w:val="17"/>
                <w:lang w:eastAsia="zh-TW"/>
              </w:rPr>
              <w:t>依機關內部政策與採購契約</w:t>
            </w:r>
          </w:p>
        </w:tc>
      </w:tr>
      <w:tr w:rsidR="0084721C" w14:paraId="24DCC582" w14:textId="77777777">
        <w:trPr>
          <w:jc w:val="center"/>
        </w:trPr>
        <w:tc>
          <w:tcPr>
            <w:tcW w:w="1987" w:type="dxa"/>
            <w:tcMar>
              <w:top w:w="90" w:type="dxa"/>
              <w:left w:w="100" w:type="dxa"/>
              <w:bottom w:w="90" w:type="dxa"/>
              <w:right w:w="100" w:type="dxa"/>
            </w:tcMar>
            <w:vAlign w:val="center"/>
          </w:tcPr>
          <w:p w14:paraId="4AA27A95" w14:textId="77777777" w:rsidR="0084721C" w:rsidRDefault="009B07FB">
            <w:pPr>
              <w:spacing w:line="252" w:lineRule="auto"/>
            </w:pPr>
            <w:proofErr w:type="spellStart"/>
            <w:r>
              <w:rPr>
                <w:sz w:val="17"/>
              </w:rPr>
              <w:lastRenderedPageBreak/>
              <w:t>權利人救濟入口</w:t>
            </w:r>
            <w:proofErr w:type="spellEnd"/>
          </w:p>
        </w:tc>
        <w:tc>
          <w:tcPr>
            <w:tcW w:w="1987" w:type="dxa"/>
            <w:tcMar>
              <w:top w:w="90" w:type="dxa"/>
              <w:left w:w="100" w:type="dxa"/>
              <w:bottom w:w="90" w:type="dxa"/>
              <w:right w:w="100" w:type="dxa"/>
            </w:tcMar>
            <w:vAlign w:val="center"/>
          </w:tcPr>
          <w:p w14:paraId="564589C8" w14:textId="77777777" w:rsidR="0084721C" w:rsidRDefault="009B07FB">
            <w:pPr>
              <w:spacing w:line="252" w:lineRule="auto"/>
              <w:rPr>
                <w:lang w:eastAsia="zh-TW"/>
              </w:rPr>
            </w:pPr>
            <w:r>
              <w:rPr>
                <w:sz w:val="17"/>
                <w:lang w:eastAsia="zh-TW"/>
              </w:rPr>
              <w:t>建議建立可見的異議與下架入口（含境外）</w:t>
            </w:r>
          </w:p>
        </w:tc>
        <w:tc>
          <w:tcPr>
            <w:tcW w:w="1987" w:type="dxa"/>
            <w:tcMar>
              <w:top w:w="90" w:type="dxa"/>
              <w:left w:w="100" w:type="dxa"/>
              <w:bottom w:w="90" w:type="dxa"/>
              <w:right w:w="100" w:type="dxa"/>
            </w:tcMar>
            <w:vAlign w:val="center"/>
          </w:tcPr>
          <w:p w14:paraId="44C3ADD3" w14:textId="77777777" w:rsidR="0084721C" w:rsidRDefault="009B07FB">
            <w:pPr>
              <w:spacing w:line="252" w:lineRule="auto"/>
              <w:rPr>
                <w:lang w:eastAsia="zh-TW"/>
              </w:rPr>
            </w:pPr>
            <w:r>
              <w:rPr>
                <w:sz w:val="17"/>
                <w:lang w:eastAsia="zh-TW"/>
              </w:rPr>
              <w:t>透過提供者投訴機制；可向主管機關舉報</w:t>
            </w:r>
          </w:p>
        </w:tc>
        <w:tc>
          <w:tcPr>
            <w:tcW w:w="1987" w:type="dxa"/>
            <w:tcMar>
              <w:top w:w="90" w:type="dxa"/>
              <w:left w:w="100" w:type="dxa"/>
              <w:bottom w:w="90" w:type="dxa"/>
              <w:right w:w="100" w:type="dxa"/>
            </w:tcMar>
            <w:vAlign w:val="center"/>
          </w:tcPr>
          <w:p w14:paraId="21F04E46" w14:textId="77777777" w:rsidR="0084721C" w:rsidRDefault="009B07FB">
            <w:pPr>
              <w:spacing w:line="252" w:lineRule="auto"/>
              <w:rPr>
                <w:lang w:eastAsia="zh-TW"/>
              </w:rPr>
            </w:pPr>
            <w:r>
              <w:rPr>
                <w:sz w:val="17"/>
                <w:lang w:eastAsia="zh-TW"/>
              </w:rPr>
              <w:t>公開訓練摘要便利權利行使；仍多依著作權法</w:t>
            </w:r>
          </w:p>
        </w:tc>
        <w:tc>
          <w:tcPr>
            <w:tcW w:w="1987" w:type="dxa"/>
            <w:tcMar>
              <w:top w:w="90" w:type="dxa"/>
              <w:left w:w="100" w:type="dxa"/>
              <w:bottom w:w="90" w:type="dxa"/>
              <w:right w:w="100" w:type="dxa"/>
            </w:tcMar>
            <w:vAlign w:val="center"/>
          </w:tcPr>
          <w:p w14:paraId="1AF78602" w14:textId="77777777" w:rsidR="0084721C" w:rsidRDefault="009B07FB">
            <w:pPr>
              <w:spacing w:line="252" w:lineRule="auto"/>
            </w:pPr>
            <w:proofErr w:type="spellStart"/>
            <w:r>
              <w:rPr>
                <w:sz w:val="17"/>
              </w:rPr>
              <w:t>主要透過民事訴訟</w:t>
            </w:r>
            <w:proofErr w:type="spellEnd"/>
          </w:p>
        </w:tc>
      </w:tr>
      <w:tr w:rsidR="0084721C" w14:paraId="0A297B1B" w14:textId="77777777">
        <w:trPr>
          <w:jc w:val="center"/>
        </w:trPr>
        <w:tc>
          <w:tcPr>
            <w:tcW w:w="1987" w:type="dxa"/>
            <w:tcMar>
              <w:top w:w="90" w:type="dxa"/>
              <w:left w:w="100" w:type="dxa"/>
              <w:bottom w:w="90" w:type="dxa"/>
              <w:right w:w="100" w:type="dxa"/>
            </w:tcMar>
            <w:vAlign w:val="center"/>
          </w:tcPr>
          <w:p w14:paraId="4491CA58" w14:textId="77777777" w:rsidR="0084721C" w:rsidRDefault="009B07FB">
            <w:pPr>
              <w:spacing w:line="252" w:lineRule="auto"/>
              <w:rPr>
                <w:lang w:eastAsia="zh-TW"/>
              </w:rPr>
            </w:pPr>
            <w:r>
              <w:rPr>
                <w:sz w:val="17"/>
                <w:lang w:eastAsia="zh-TW"/>
              </w:rPr>
              <w:t>訓練／檢索資料透明度</w:t>
            </w:r>
          </w:p>
        </w:tc>
        <w:tc>
          <w:tcPr>
            <w:tcW w:w="1987" w:type="dxa"/>
            <w:tcMar>
              <w:top w:w="90" w:type="dxa"/>
              <w:left w:w="100" w:type="dxa"/>
              <w:bottom w:w="90" w:type="dxa"/>
              <w:right w:w="100" w:type="dxa"/>
            </w:tcMar>
            <w:vAlign w:val="center"/>
          </w:tcPr>
          <w:p w14:paraId="280C5BB3" w14:textId="77777777" w:rsidR="0084721C" w:rsidRDefault="009B07FB">
            <w:pPr>
              <w:spacing w:line="252" w:lineRule="auto"/>
              <w:rPr>
                <w:lang w:eastAsia="zh-TW"/>
              </w:rPr>
            </w:pPr>
            <w:r>
              <w:rPr>
                <w:sz w:val="17"/>
                <w:lang w:eastAsia="zh-TW"/>
              </w:rPr>
              <w:t>目前薄弱；建議權利來源證據包</w:t>
            </w:r>
          </w:p>
        </w:tc>
        <w:tc>
          <w:tcPr>
            <w:tcW w:w="1987" w:type="dxa"/>
            <w:tcMar>
              <w:top w:w="90" w:type="dxa"/>
              <w:left w:w="100" w:type="dxa"/>
              <w:bottom w:w="90" w:type="dxa"/>
              <w:right w:w="100" w:type="dxa"/>
            </w:tcMar>
            <w:vAlign w:val="center"/>
          </w:tcPr>
          <w:p w14:paraId="7D26B1AC" w14:textId="77777777" w:rsidR="0084721C" w:rsidRDefault="009B07FB">
            <w:pPr>
              <w:spacing w:line="252" w:lineRule="auto"/>
              <w:rPr>
                <w:lang w:eastAsia="zh-TW"/>
              </w:rPr>
            </w:pPr>
            <w:r>
              <w:rPr>
                <w:sz w:val="17"/>
                <w:lang w:eastAsia="zh-TW"/>
              </w:rPr>
              <w:t>提供者須確保合法來源，主管機關可要求說明</w:t>
            </w:r>
          </w:p>
        </w:tc>
        <w:tc>
          <w:tcPr>
            <w:tcW w:w="1987" w:type="dxa"/>
            <w:tcMar>
              <w:top w:w="90" w:type="dxa"/>
              <w:left w:w="100" w:type="dxa"/>
              <w:bottom w:w="90" w:type="dxa"/>
              <w:right w:w="100" w:type="dxa"/>
            </w:tcMar>
            <w:vAlign w:val="center"/>
          </w:tcPr>
          <w:p w14:paraId="507B16E8" w14:textId="77777777" w:rsidR="0084721C" w:rsidRDefault="009B07FB">
            <w:pPr>
              <w:spacing w:line="252" w:lineRule="auto"/>
              <w:rPr>
                <w:lang w:eastAsia="zh-TW"/>
              </w:rPr>
            </w:pPr>
            <w:r>
              <w:rPr>
                <w:sz w:val="17"/>
                <w:lang w:eastAsia="zh-TW"/>
              </w:rPr>
              <w:t>強制公開訓練內容摘要</w:t>
            </w:r>
          </w:p>
        </w:tc>
        <w:tc>
          <w:tcPr>
            <w:tcW w:w="1987" w:type="dxa"/>
            <w:tcMar>
              <w:top w:w="90" w:type="dxa"/>
              <w:left w:w="100" w:type="dxa"/>
              <w:bottom w:w="90" w:type="dxa"/>
              <w:right w:w="100" w:type="dxa"/>
            </w:tcMar>
            <w:vAlign w:val="center"/>
          </w:tcPr>
          <w:p w14:paraId="1D2AB333" w14:textId="77777777" w:rsidR="0084721C" w:rsidRDefault="009B07FB">
            <w:pPr>
              <w:spacing w:line="252" w:lineRule="auto"/>
            </w:pPr>
            <w:proofErr w:type="spellStart"/>
            <w:r>
              <w:rPr>
                <w:sz w:val="17"/>
              </w:rPr>
              <w:t>無統一強制公開要求</w:t>
            </w:r>
            <w:proofErr w:type="spellEnd"/>
          </w:p>
        </w:tc>
      </w:tr>
      <w:tr w:rsidR="0084721C" w14:paraId="39F89944" w14:textId="77777777">
        <w:trPr>
          <w:jc w:val="center"/>
        </w:trPr>
        <w:tc>
          <w:tcPr>
            <w:tcW w:w="1987" w:type="dxa"/>
            <w:tcMar>
              <w:top w:w="90" w:type="dxa"/>
              <w:left w:w="100" w:type="dxa"/>
              <w:bottom w:w="90" w:type="dxa"/>
              <w:right w:w="100" w:type="dxa"/>
            </w:tcMar>
            <w:vAlign w:val="center"/>
          </w:tcPr>
          <w:p w14:paraId="74646A89" w14:textId="77777777" w:rsidR="0084721C" w:rsidRDefault="009B07FB">
            <w:pPr>
              <w:spacing w:line="252" w:lineRule="auto"/>
              <w:rPr>
                <w:lang w:eastAsia="zh-TW"/>
              </w:rPr>
            </w:pPr>
            <w:r>
              <w:rPr>
                <w:sz w:val="17"/>
                <w:lang w:eastAsia="zh-TW"/>
              </w:rPr>
              <w:t>政府作為使用者的停止權</w:t>
            </w:r>
          </w:p>
        </w:tc>
        <w:tc>
          <w:tcPr>
            <w:tcW w:w="1987" w:type="dxa"/>
            <w:tcMar>
              <w:top w:w="90" w:type="dxa"/>
              <w:left w:w="100" w:type="dxa"/>
              <w:bottom w:w="90" w:type="dxa"/>
              <w:right w:w="100" w:type="dxa"/>
            </w:tcMar>
            <w:vAlign w:val="center"/>
          </w:tcPr>
          <w:p w14:paraId="4B57FEA8" w14:textId="77777777" w:rsidR="0084721C" w:rsidRDefault="009B07FB">
            <w:pPr>
              <w:spacing w:line="252" w:lineRule="auto"/>
              <w:rPr>
                <w:lang w:eastAsia="zh-TW"/>
              </w:rPr>
            </w:pPr>
            <w:r>
              <w:rPr>
                <w:sz w:val="17"/>
                <w:lang w:eastAsia="zh-TW"/>
              </w:rPr>
              <w:t>第十八篇主張契約化預防性暫停；第十九篇主張升級至國家層級</w:t>
            </w:r>
          </w:p>
        </w:tc>
        <w:tc>
          <w:tcPr>
            <w:tcW w:w="1987" w:type="dxa"/>
            <w:tcMar>
              <w:top w:w="90" w:type="dxa"/>
              <w:left w:w="100" w:type="dxa"/>
              <w:bottom w:w="90" w:type="dxa"/>
              <w:right w:w="100" w:type="dxa"/>
            </w:tcMar>
            <w:vAlign w:val="center"/>
          </w:tcPr>
          <w:p w14:paraId="09D15AA9" w14:textId="77777777" w:rsidR="0084721C" w:rsidRDefault="009B07FB">
            <w:pPr>
              <w:spacing w:line="252" w:lineRule="auto"/>
              <w:rPr>
                <w:lang w:eastAsia="zh-TW"/>
              </w:rPr>
            </w:pPr>
            <w:r>
              <w:rPr>
                <w:sz w:val="17"/>
                <w:lang w:eastAsia="zh-TW"/>
              </w:rPr>
              <w:t>提供者可被要求暫停服務</w:t>
            </w:r>
          </w:p>
        </w:tc>
        <w:tc>
          <w:tcPr>
            <w:tcW w:w="1987" w:type="dxa"/>
            <w:tcMar>
              <w:top w:w="90" w:type="dxa"/>
              <w:left w:w="100" w:type="dxa"/>
              <w:bottom w:w="90" w:type="dxa"/>
              <w:right w:w="100" w:type="dxa"/>
            </w:tcMar>
            <w:vAlign w:val="center"/>
          </w:tcPr>
          <w:p w14:paraId="3F8FC0E3" w14:textId="77777777" w:rsidR="0084721C" w:rsidRDefault="009B07FB">
            <w:pPr>
              <w:spacing w:line="252" w:lineRule="auto"/>
              <w:rPr>
                <w:lang w:eastAsia="zh-TW"/>
              </w:rPr>
            </w:pPr>
            <w:r>
              <w:rPr>
                <w:sz w:val="17"/>
                <w:lang w:eastAsia="zh-TW"/>
              </w:rPr>
              <w:t>部署者依風險管理義務</w:t>
            </w:r>
          </w:p>
        </w:tc>
        <w:tc>
          <w:tcPr>
            <w:tcW w:w="1987" w:type="dxa"/>
            <w:tcMar>
              <w:top w:w="90" w:type="dxa"/>
              <w:left w:w="100" w:type="dxa"/>
              <w:bottom w:w="90" w:type="dxa"/>
              <w:right w:w="100" w:type="dxa"/>
            </w:tcMar>
            <w:vAlign w:val="center"/>
          </w:tcPr>
          <w:p w14:paraId="08E7A6D9" w14:textId="77777777" w:rsidR="0084721C" w:rsidRDefault="009B07FB">
            <w:pPr>
              <w:spacing w:line="252" w:lineRule="auto"/>
              <w:rPr>
                <w:lang w:eastAsia="zh-TW"/>
              </w:rPr>
            </w:pPr>
            <w:r>
              <w:rPr>
                <w:sz w:val="17"/>
                <w:lang w:eastAsia="zh-TW"/>
              </w:rPr>
              <w:t>依契約、</w:t>
            </w:r>
            <w:proofErr w:type="gramStart"/>
            <w:r>
              <w:rPr>
                <w:sz w:val="17"/>
                <w:lang w:eastAsia="zh-TW"/>
              </w:rPr>
              <w:t>資安事件</w:t>
            </w:r>
            <w:proofErr w:type="gramEnd"/>
            <w:r>
              <w:rPr>
                <w:sz w:val="17"/>
                <w:lang w:eastAsia="zh-TW"/>
              </w:rPr>
              <w:t>或行政命令</w:t>
            </w:r>
          </w:p>
        </w:tc>
      </w:tr>
      <w:tr w:rsidR="0084721C" w14:paraId="20C53D0A" w14:textId="77777777">
        <w:trPr>
          <w:jc w:val="center"/>
        </w:trPr>
        <w:tc>
          <w:tcPr>
            <w:tcW w:w="1987" w:type="dxa"/>
            <w:tcMar>
              <w:top w:w="90" w:type="dxa"/>
              <w:left w:w="100" w:type="dxa"/>
              <w:bottom w:w="90" w:type="dxa"/>
              <w:right w:w="100" w:type="dxa"/>
            </w:tcMar>
            <w:vAlign w:val="center"/>
          </w:tcPr>
          <w:p w14:paraId="111C95A8" w14:textId="77777777" w:rsidR="0084721C" w:rsidRDefault="009B07FB">
            <w:pPr>
              <w:spacing w:line="252" w:lineRule="auto"/>
              <w:rPr>
                <w:lang w:eastAsia="zh-TW"/>
              </w:rPr>
            </w:pPr>
            <w:r>
              <w:rPr>
                <w:sz w:val="17"/>
                <w:lang w:eastAsia="zh-TW"/>
              </w:rPr>
              <w:t>跨境權利</w:t>
            </w:r>
            <w:proofErr w:type="gramStart"/>
            <w:r>
              <w:rPr>
                <w:sz w:val="17"/>
                <w:lang w:eastAsia="zh-TW"/>
              </w:rPr>
              <w:t>來源洗淡風險</w:t>
            </w:r>
            <w:proofErr w:type="gramEnd"/>
            <w:r>
              <w:rPr>
                <w:sz w:val="17"/>
                <w:lang w:eastAsia="zh-TW"/>
              </w:rPr>
              <w:t>因應</w:t>
            </w:r>
          </w:p>
        </w:tc>
        <w:tc>
          <w:tcPr>
            <w:tcW w:w="1987" w:type="dxa"/>
            <w:tcMar>
              <w:top w:w="90" w:type="dxa"/>
              <w:left w:w="100" w:type="dxa"/>
              <w:bottom w:w="90" w:type="dxa"/>
              <w:right w:w="100" w:type="dxa"/>
            </w:tcMar>
            <w:vAlign w:val="center"/>
          </w:tcPr>
          <w:p w14:paraId="10A5FA3E" w14:textId="77777777" w:rsidR="0084721C" w:rsidRDefault="009B07FB">
            <w:pPr>
              <w:spacing w:line="252" w:lineRule="auto"/>
              <w:rPr>
                <w:lang w:eastAsia="zh-TW"/>
              </w:rPr>
            </w:pPr>
            <w:r>
              <w:rPr>
                <w:sz w:val="17"/>
                <w:lang w:eastAsia="zh-TW"/>
              </w:rPr>
              <w:t>本文核心關切：多層轉手後原始授權失落</w:t>
            </w:r>
          </w:p>
        </w:tc>
        <w:tc>
          <w:tcPr>
            <w:tcW w:w="1987" w:type="dxa"/>
            <w:tcMar>
              <w:top w:w="90" w:type="dxa"/>
              <w:left w:w="100" w:type="dxa"/>
              <w:bottom w:w="90" w:type="dxa"/>
              <w:right w:w="100" w:type="dxa"/>
            </w:tcMar>
            <w:vAlign w:val="center"/>
          </w:tcPr>
          <w:p w14:paraId="4A7DD671" w14:textId="77777777" w:rsidR="0084721C" w:rsidRDefault="009B07FB">
            <w:pPr>
              <w:spacing w:line="252" w:lineRule="auto"/>
              <w:rPr>
                <w:lang w:eastAsia="zh-TW"/>
              </w:rPr>
            </w:pPr>
            <w:r>
              <w:rPr>
                <w:sz w:val="17"/>
                <w:lang w:eastAsia="zh-TW"/>
              </w:rPr>
              <w:t>提供者責任可部分吸收，但不保證原作者被看見</w:t>
            </w:r>
          </w:p>
        </w:tc>
        <w:tc>
          <w:tcPr>
            <w:tcW w:w="1987" w:type="dxa"/>
            <w:tcMar>
              <w:top w:w="90" w:type="dxa"/>
              <w:left w:w="100" w:type="dxa"/>
              <w:bottom w:w="90" w:type="dxa"/>
              <w:right w:w="100" w:type="dxa"/>
            </w:tcMar>
            <w:vAlign w:val="center"/>
          </w:tcPr>
          <w:p w14:paraId="5898968C" w14:textId="77777777" w:rsidR="0084721C" w:rsidRDefault="009B07FB">
            <w:pPr>
              <w:spacing w:line="252" w:lineRule="auto"/>
              <w:rPr>
                <w:lang w:eastAsia="zh-TW"/>
              </w:rPr>
            </w:pPr>
            <w:r>
              <w:rPr>
                <w:sz w:val="17"/>
                <w:lang w:eastAsia="zh-TW"/>
              </w:rPr>
              <w:t>透明度有助追溯，但摘要非逐筆清單</w:t>
            </w:r>
          </w:p>
        </w:tc>
        <w:tc>
          <w:tcPr>
            <w:tcW w:w="1987" w:type="dxa"/>
            <w:tcMar>
              <w:top w:w="90" w:type="dxa"/>
              <w:left w:w="100" w:type="dxa"/>
              <w:bottom w:w="90" w:type="dxa"/>
              <w:right w:w="100" w:type="dxa"/>
            </w:tcMar>
            <w:vAlign w:val="center"/>
          </w:tcPr>
          <w:p w14:paraId="70D46F78" w14:textId="77777777" w:rsidR="0084721C" w:rsidRDefault="009B07FB">
            <w:pPr>
              <w:spacing w:line="252" w:lineRule="auto"/>
            </w:pPr>
            <w:proofErr w:type="spellStart"/>
            <w:r>
              <w:rPr>
                <w:sz w:val="17"/>
              </w:rPr>
              <w:t>訴訟與出口管制雙軌</w:t>
            </w:r>
            <w:proofErr w:type="spellEnd"/>
          </w:p>
        </w:tc>
      </w:tr>
      <w:tr w:rsidR="0084721C" w14:paraId="3BF96523" w14:textId="77777777">
        <w:trPr>
          <w:jc w:val="center"/>
        </w:trPr>
        <w:tc>
          <w:tcPr>
            <w:tcW w:w="1987" w:type="dxa"/>
            <w:tcMar>
              <w:top w:w="90" w:type="dxa"/>
              <w:left w:w="100" w:type="dxa"/>
              <w:bottom w:w="90" w:type="dxa"/>
              <w:right w:w="100" w:type="dxa"/>
            </w:tcMar>
            <w:vAlign w:val="center"/>
          </w:tcPr>
          <w:p w14:paraId="49C37895" w14:textId="77777777" w:rsidR="0084721C" w:rsidRDefault="009B07FB">
            <w:pPr>
              <w:spacing w:line="252" w:lineRule="auto"/>
            </w:pPr>
            <w:r>
              <w:rPr>
                <w:sz w:val="17"/>
              </w:rPr>
              <w:t>失效時的典型後果</w:t>
            </w:r>
          </w:p>
        </w:tc>
        <w:tc>
          <w:tcPr>
            <w:tcW w:w="1987" w:type="dxa"/>
            <w:tcMar>
              <w:top w:w="90" w:type="dxa"/>
              <w:left w:w="100" w:type="dxa"/>
              <w:bottom w:w="90" w:type="dxa"/>
              <w:right w:w="100" w:type="dxa"/>
            </w:tcMar>
            <w:vAlign w:val="center"/>
          </w:tcPr>
          <w:p w14:paraId="6AF5BEB3" w14:textId="77777777" w:rsidR="0084721C" w:rsidRDefault="009B07FB">
            <w:pPr>
              <w:spacing w:line="252" w:lineRule="auto"/>
              <w:rPr>
                <w:lang w:eastAsia="zh-TW"/>
              </w:rPr>
            </w:pPr>
            <w:r>
              <w:rPr>
                <w:sz w:val="17"/>
                <w:lang w:eastAsia="zh-TW"/>
              </w:rPr>
              <w:t>多手政府責任推移</w:t>
            </w:r>
            <w:r>
              <w:rPr>
                <w:sz w:val="17"/>
                <w:lang w:eastAsia="zh-TW"/>
              </w:rPr>
              <w:t xml:space="preserve"> → </w:t>
            </w:r>
            <w:r>
              <w:rPr>
                <w:sz w:val="17"/>
                <w:lang w:eastAsia="zh-TW"/>
              </w:rPr>
              <w:t>國家回應能力不足</w:t>
            </w:r>
          </w:p>
        </w:tc>
        <w:tc>
          <w:tcPr>
            <w:tcW w:w="1987" w:type="dxa"/>
            <w:tcMar>
              <w:top w:w="90" w:type="dxa"/>
              <w:left w:w="100" w:type="dxa"/>
              <w:bottom w:w="90" w:type="dxa"/>
              <w:right w:w="100" w:type="dxa"/>
            </w:tcMar>
            <w:vAlign w:val="center"/>
          </w:tcPr>
          <w:p w14:paraId="70A1B94F" w14:textId="77777777" w:rsidR="0084721C" w:rsidRDefault="009B07FB">
            <w:pPr>
              <w:spacing w:line="252" w:lineRule="auto"/>
              <w:rPr>
                <w:lang w:eastAsia="zh-TW"/>
              </w:rPr>
            </w:pPr>
            <w:r>
              <w:rPr>
                <w:sz w:val="17"/>
                <w:lang w:eastAsia="zh-TW"/>
              </w:rPr>
              <w:t>閘門內處理較快，閘門外（內部系統）仍可能失落</w:t>
            </w:r>
          </w:p>
        </w:tc>
        <w:tc>
          <w:tcPr>
            <w:tcW w:w="1987" w:type="dxa"/>
            <w:tcMar>
              <w:top w:w="90" w:type="dxa"/>
              <w:left w:w="100" w:type="dxa"/>
              <w:bottom w:w="90" w:type="dxa"/>
              <w:right w:w="100" w:type="dxa"/>
            </w:tcMar>
            <w:vAlign w:val="center"/>
          </w:tcPr>
          <w:p w14:paraId="074EF547" w14:textId="77777777" w:rsidR="0084721C" w:rsidRDefault="009B07FB">
            <w:pPr>
              <w:spacing w:line="252" w:lineRule="auto"/>
              <w:rPr>
                <w:lang w:eastAsia="zh-TW"/>
              </w:rPr>
            </w:pPr>
            <w:r>
              <w:rPr>
                <w:sz w:val="17"/>
                <w:lang w:eastAsia="zh-TW"/>
              </w:rPr>
              <w:t>透明度不足時權利人難以主張</w:t>
            </w:r>
          </w:p>
        </w:tc>
        <w:tc>
          <w:tcPr>
            <w:tcW w:w="1987" w:type="dxa"/>
            <w:tcMar>
              <w:top w:w="90" w:type="dxa"/>
              <w:left w:w="100" w:type="dxa"/>
              <w:bottom w:w="90" w:type="dxa"/>
              <w:right w:w="100" w:type="dxa"/>
            </w:tcMar>
            <w:vAlign w:val="center"/>
          </w:tcPr>
          <w:p w14:paraId="7B2455B8" w14:textId="77777777" w:rsidR="0084721C" w:rsidRDefault="009B07FB">
            <w:pPr>
              <w:spacing w:line="252" w:lineRule="auto"/>
              <w:rPr>
                <w:lang w:eastAsia="zh-TW"/>
              </w:rPr>
            </w:pPr>
            <w:r>
              <w:rPr>
                <w:sz w:val="17"/>
                <w:lang w:eastAsia="zh-TW"/>
              </w:rPr>
              <w:t>訴訟冗長；國家安全案則可能快速升級</w:t>
            </w:r>
          </w:p>
        </w:tc>
      </w:tr>
    </w:tbl>
    <w:p w14:paraId="69A9BBC4" w14:textId="77777777" w:rsidR="0084721C" w:rsidRDefault="0084721C">
      <w:pPr>
        <w:spacing w:after="40"/>
        <w:rPr>
          <w:lang w:eastAsia="zh-TW"/>
        </w:rPr>
      </w:pPr>
    </w:p>
    <w:p w14:paraId="2F95360E" w14:textId="77777777" w:rsidR="0084721C" w:rsidRDefault="009B07FB">
      <w:pPr>
        <w:spacing w:after="120" w:line="324" w:lineRule="auto"/>
        <w:rPr>
          <w:lang w:eastAsia="zh-TW"/>
        </w:rPr>
      </w:pPr>
      <w:r>
        <w:rPr>
          <w:lang w:eastAsia="zh-TW"/>
        </w:rPr>
        <w:t>共同問題始終相同：作品進入</w:t>
      </w:r>
      <w:r>
        <w:rPr>
          <w:lang w:eastAsia="zh-TW"/>
        </w:rPr>
        <w:t>AI</w:t>
      </w:r>
      <w:r>
        <w:rPr>
          <w:lang w:eastAsia="zh-TW"/>
        </w:rPr>
        <w:t>後，權利人能不能找到一個必須回答、能夠停止、並有能力補救的人？臺灣的風險是分散體制下責任鏈尚未啟動；中國大陸的風險是閘門雖在，但原作者未必位於閘門之內；歐盟強調透明度作為權</w:t>
      </w:r>
      <w:r>
        <w:rPr>
          <w:lang w:eastAsia="zh-TW"/>
        </w:rPr>
        <w:t>利行使前提；美國則較依賴事後訴訟與國家安全工具。第十九篇的建議</w:t>
      </w:r>
      <w:proofErr w:type="gramStart"/>
      <w:r>
        <w:rPr>
          <w:lang w:eastAsia="zh-TW"/>
        </w:rPr>
        <w:t>—</w:t>
      </w:r>
      <w:proofErr w:type="gramEnd"/>
      <w:r>
        <w:rPr>
          <w:lang w:eastAsia="zh-TW"/>
        </w:rPr>
        <w:t>—</w:t>
      </w:r>
      <w:r>
        <w:rPr>
          <w:lang w:eastAsia="zh-TW"/>
        </w:rPr>
        <w:t>兩層證據包、升級門檻、可停止鏈</w:t>
      </w:r>
      <w:r>
        <w:rPr>
          <w:lang w:eastAsia="zh-TW"/>
        </w:rPr>
        <w:t>——</w:t>
      </w:r>
      <w:r>
        <w:rPr>
          <w:lang w:eastAsia="zh-TW"/>
        </w:rPr>
        <w:t>正是試圖在臺灣制度條件下，補上「事前證據＋跨</w:t>
      </w:r>
      <w:proofErr w:type="gramStart"/>
      <w:r>
        <w:rPr>
          <w:lang w:eastAsia="zh-TW"/>
        </w:rPr>
        <w:t>境可達</w:t>
      </w:r>
      <w:proofErr w:type="gramEnd"/>
      <w:r>
        <w:rPr>
          <w:lang w:eastAsia="zh-TW"/>
        </w:rPr>
        <w:t>性」的缺口。</w:t>
      </w:r>
    </w:p>
    <w:p w14:paraId="0A47877D" w14:textId="77777777" w:rsidR="0084721C" w:rsidRDefault="009B07FB">
      <w:pPr>
        <w:spacing w:after="140" w:line="324" w:lineRule="auto"/>
        <w:rPr>
          <w:lang w:eastAsia="zh-TW"/>
        </w:rPr>
      </w:pPr>
      <w:r>
        <w:rPr>
          <w:b/>
          <w:sz w:val="26"/>
          <w:lang w:eastAsia="zh-TW"/>
        </w:rPr>
        <w:t>（五）對臺灣的啟示</w:t>
      </w:r>
    </w:p>
    <w:p w14:paraId="75257610" w14:textId="77777777" w:rsidR="0084721C" w:rsidRDefault="009B07FB">
      <w:pPr>
        <w:spacing w:after="120" w:line="324" w:lineRule="auto"/>
        <w:rPr>
          <w:lang w:eastAsia="zh-TW"/>
        </w:rPr>
      </w:pPr>
      <w:r>
        <w:rPr>
          <w:lang w:eastAsia="zh-TW"/>
        </w:rPr>
        <w:t xml:space="preserve">1. </w:t>
      </w:r>
      <w:r>
        <w:rPr>
          <w:lang w:eastAsia="zh-TW"/>
        </w:rPr>
        <w:t>不要複製「僅提供者負責」模式：政府以公共預算採購並可能直接用於公共服務，不能把最終說明與停止責任完全外包給供應商或模型提供者。</w:t>
      </w:r>
    </w:p>
    <w:p w14:paraId="392F31BC" w14:textId="77777777" w:rsidR="0084721C" w:rsidRDefault="009B07FB">
      <w:pPr>
        <w:spacing w:after="120" w:line="324" w:lineRule="auto"/>
        <w:rPr>
          <w:lang w:eastAsia="zh-TW"/>
        </w:rPr>
      </w:pPr>
      <w:r>
        <w:rPr>
          <w:lang w:eastAsia="zh-TW"/>
        </w:rPr>
        <w:t xml:space="preserve">2. </w:t>
      </w:r>
      <w:r>
        <w:rPr>
          <w:lang w:eastAsia="zh-TW"/>
        </w:rPr>
        <w:t>透明度是起點，不是終點：歐盟式訓練摘要可作為證據包的參考格式，但政府</w:t>
      </w:r>
      <w:r>
        <w:rPr>
          <w:lang w:eastAsia="zh-TW"/>
        </w:rPr>
        <w:t>RAG</w:t>
      </w:r>
      <w:r>
        <w:rPr>
          <w:lang w:eastAsia="zh-TW"/>
        </w:rPr>
        <w:t>還需保留切塊來源、檢索日誌與停止能力證明。</w:t>
      </w:r>
    </w:p>
    <w:p w14:paraId="6293BEC1" w14:textId="77777777" w:rsidR="0084721C" w:rsidRDefault="009B07FB">
      <w:pPr>
        <w:spacing w:after="120" w:line="324" w:lineRule="auto"/>
        <w:rPr>
          <w:lang w:eastAsia="zh-TW"/>
        </w:rPr>
      </w:pPr>
      <w:r>
        <w:rPr>
          <w:lang w:eastAsia="zh-TW"/>
        </w:rPr>
        <w:t xml:space="preserve">3. </w:t>
      </w:r>
      <w:r>
        <w:rPr>
          <w:lang w:eastAsia="zh-TW"/>
        </w:rPr>
        <w:t>跨境事件必須有「第一回應＋第一停止」的明確指定：避免境外權利人落</w:t>
      </w:r>
      <w:r>
        <w:rPr>
          <w:lang w:eastAsia="zh-TW"/>
        </w:rPr>
        <w:t>入「地方機關轉中央、中央再轉部會」的循環。</w:t>
      </w:r>
    </w:p>
    <w:p w14:paraId="5909DA90" w14:textId="77777777" w:rsidR="0084721C" w:rsidRDefault="009B07FB">
      <w:pPr>
        <w:spacing w:after="120" w:line="324" w:lineRule="auto"/>
        <w:rPr>
          <w:lang w:eastAsia="zh-TW"/>
        </w:rPr>
      </w:pPr>
      <w:r>
        <w:rPr>
          <w:lang w:eastAsia="zh-TW"/>
        </w:rPr>
        <w:t xml:space="preserve">4. </w:t>
      </w:r>
      <w:r>
        <w:rPr>
          <w:lang w:eastAsia="zh-TW"/>
        </w:rPr>
        <w:t>高敏感技術案要預先界定「接觸權</w:t>
      </w:r>
      <w:r>
        <w:rPr>
          <w:lang w:eastAsia="zh-TW"/>
        </w:rPr>
        <w:t xml:space="preserve"> ≠ </w:t>
      </w:r>
      <w:r>
        <w:rPr>
          <w:lang w:eastAsia="zh-TW"/>
        </w:rPr>
        <w:t>利用權」：這是美國出口管制與共製契約最常見的爭議點，也是第十九篇情境三的核心教訓。</w:t>
      </w:r>
    </w:p>
    <w:p w14:paraId="6A12A817" w14:textId="77777777" w:rsidR="0084721C" w:rsidRDefault="009B07FB">
      <w:pPr>
        <w:spacing w:after="140" w:line="324" w:lineRule="auto"/>
        <w:rPr>
          <w:lang w:eastAsia="zh-TW"/>
        </w:rPr>
      </w:pPr>
      <w:r>
        <w:rPr>
          <w:b/>
          <w:sz w:val="26"/>
          <w:lang w:eastAsia="zh-TW"/>
        </w:rPr>
        <w:t>七、制度設計：兩層證據包、分層停止與跨境升級</w:t>
      </w:r>
    </w:p>
    <w:p w14:paraId="68C77C21" w14:textId="77777777" w:rsidR="0084721C" w:rsidRDefault="009B07FB">
      <w:pPr>
        <w:spacing w:after="140" w:line="324" w:lineRule="auto"/>
      </w:pPr>
      <w:r>
        <w:rPr>
          <w:b/>
          <w:sz w:val="26"/>
        </w:rPr>
        <w:lastRenderedPageBreak/>
        <w:t>（</w:t>
      </w:r>
      <w:proofErr w:type="spellStart"/>
      <w:r>
        <w:rPr>
          <w:b/>
          <w:sz w:val="26"/>
        </w:rPr>
        <w:t>一）兩層證據包</w:t>
      </w:r>
      <w:proofErr w:type="spellEnd"/>
    </w:p>
    <w:tbl>
      <w:tblPr>
        <w:tblStyle w:val="aff2"/>
        <w:tblW w:w="0" w:type="auto"/>
        <w:jc w:val="center"/>
        <w:tblLook w:val="04A0" w:firstRow="1" w:lastRow="0" w:firstColumn="1" w:lastColumn="0" w:noHBand="0" w:noVBand="1"/>
      </w:tblPr>
      <w:tblGrid>
        <w:gridCol w:w="2484"/>
        <w:gridCol w:w="2484"/>
        <w:gridCol w:w="2484"/>
        <w:gridCol w:w="2484"/>
      </w:tblGrid>
      <w:tr w:rsidR="0084721C" w14:paraId="689EEC6D" w14:textId="77777777">
        <w:trPr>
          <w:jc w:val="center"/>
        </w:trPr>
        <w:tc>
          <w:tcPr>
            <w:tcW w:w="2484" w:type="dxa"/>
            <w:shd w:val="clear" w:color="auto" w:fill="DCE6F2"/>
            <w:tcMar>
              <w:top w:w="90" w:type="dxa"/>
              <w:left w:w="100" w:type="dxa"/>
              <w:bottom w:w="90" w:type="dxa"/>
              <w:right w:w="100" w:type="dxa"/>
            </w:tcMar>
            <w:vAlign w:val="center"/>
          </w:tcPr>
          <w:p w14:paraId="47F1EEE8" w14:textId="77777777" w:rsidR="0084721C" w:rsidRDefault="009B07FB">
            <w:pPr>
              <w:spacing w:line="252" w:lineRule="auto"/>
            </w:pPr>
            <w:r>
              <w:rPr>
                <w:b/>
                <w:sz w:val="17"/>
              </w:rPr>
              <w:t>層級</w:t>
            </w:r>
          </w:p>
        </w:tc>
        <w:tc>
          <w:tcPr>
            <w:tcW w:w="2484" w:type="dxa"/>
            <w:shd w:val="clear" w:color="auto" w:fill="DCE6F2"/>
            <w:tcMar>
              <w:top w:w="90" w:type="dxa"/>
              <w:left w:w="100" w:type="dxa"/>
              <w:bottom w:w="90" w:type="dxa"/>
              <w:right w:w="100" w:type="dxa"/>
            </w:tcMar>
            <w:vAlign w:val="center"/>
          </w:tcPr>
          <w:p w14:paraId="276709DB" w14:textId="77777777" w:rsidR="0084721C" w:rsidRDefault="009B07FB">
            <w:pPr>
              <w:spacing w:line="252" w:lineRule="auto"/>
            </w:pPr>
            <w:r>
              <w:rPr>
                <w:b/>
                <w:sz w:val="17"/>
              </w:rPr>
              <w:t>最低交付物</w:t>
            </w:r>
          </w:p>
        </w:tc>
        <w:tc>
          <w:tcPr>
            <w:tcW w:w="2484" w:type="dxa"/>
            <w:shd w:val="clear" w:color="auto" w:fill="DCE6F2"/>
            <w:tcMar>
              <w:top w:w="90" w:type="dxa"/>
              <w:left w:w="100" w:type="dxa"/>
              <w:bottom w:w="90" w:type="dxa"/>
              <w:right w:w="100" w:type="dxa"/>
            </w:tcMar>
            <w:vAlign w:val="center"/>
          </w:tcPr>
          <w:p w14:paraId="36F1ECA7" w14:textId="77777777" w:rsidR="0084721C" w:rsidRDefault="009B07FB">
            <w:pPr>
              <w:spacing w:line="252" w:lineRule="auto"/>
            </w:pPr>
            <w:r>
              <w:rPr>
                <w:b/>
                <w:sz w:val="17"/>
              </w:rPr>
              <w:t>主要責任</w:t>
            </w:r>
          </w:p>
        </w:tc>
        <w:tc>
          <w:tcPr>
            <w:tcW w:w="2484" w:type="dxa"/>
            <w:shd w:val="clear" w:color="auto" w:fill="DCE6F2"/>
            <w:tcMar>
              <w:top w:w="90" w:type="dxa"/>
              <w:left w:w="100" w:type="dxa"/>
              <w:bottom w:w="90" w:type="dxa"/>
              <w:right w:w="100" w:type="dxa"/>
            </w:tcMar>
            <w:vAlign w:val="center"/>
          </w:tcPr>
          <w:p w14:paraId="7A109131" w14:textId="77777777" w:rsidR="0084721C" w:rsidRDefault="009B07FB">
            <w:pPr>
              <w:spacing w:line="252" w:lineRule="auto"/>
            </w:pPr>
            <w:r>
              <w:rPr>
                <w:b/>
                <w:sz w:val="17"/>
              </w:rPr>
              <w:t>證據不足時</w:t>
            </w:r>
          </w:p>
        </w:tc>
      </w:tr>
      <w:tr w:rsidR="0084721C" w14:paraId="6B8970FC" w14:textId="77777777">
        <w:trPr>
          <w:jc w:val="center"/>
        </w:trPr>
        <w:tc>
          <w:tcPr>
            <w:tcW w:w="2484" w:type="dxa"/>
            <w:tcMar>
              <w:top w:w="90" w:type="dxa"/>
              <w:left w:w="100" w:type="dxa"/>
              <w:bottom w:w="90" w:type="dxa"/>
              <w:right w:w="100" w:type="dxa"/>
            </w:tcMar>
            <w:vAlign w:val="center"/>
          </w:tcPr>
          <w:p w14:paraId="33E0F388" w14:textId="77777777" w:rsidR="0084721C" w:rsidRDefault="009B07FB">
            <w:pPr>
              <w:spacing w:line="252" w:lineRule="auto"/>
              <w:rPr>
                <w:lang w:eastAsia="zh-TW"/>
              </w:rPr>
            </w:pPr>
            <w:r>
              <w:rPr>
                <w:sz w:val="17"/>
                <w:lang w:eastAsia="zh-TW"/>
              </w:rPr>
              <w:t>系統／機關層（第十八篇）</w:t>
            </w:r>
          </w:p>
        </w:tc>
        <w:tc>
          <w:tcPr>
            <w:tcW w:w="2484" w:type="dxa"/>
            <w:tcMar>
              <w:top w:w="90" w:type="dxa"/>
              <w:left w:w="100" w:type="dxa"/>
              <w:bottom w:w="90" w:type="dxa"/>
              <w:right w:w="100" w:type="dxa"/>
            </w:tcMar>
            <w:vAlign w:val="center"/>
          </w:tcPr>
          <w:p w14:paraId="57EB6B64" w14:textId="77777777" w:rsidR="0084721C" w:rsidRDefault="009B07FB">
            <w:pPr>
              <w:spacing w:line="252" w:lineRule="auto"/>
              <w:rPr>
                <w:lang w:eastAsia="zh-TW"/>
              </w:rPr>
            </w:pPr>
            <w:r>
              <w:rPr>
                <w:sz w:val="17"/>
                <w:lang w:eastAsia="zh-TW"/>
              </w:rPr>
              <w:t>資料履歷與授權清冊、用途範圍、供應商保存與再利用限制、可停止責任人、異議入口與紀錄保全方式。</w:t>
            </w:r>
          </w:p>
        </w:tc>
        <w:tc>
          <w:tcPr>
            <w:tcW w:w="2484" w:type="dxa"/>
            <w:tcMar>
              <w:top w:w="90" w:type="dxa"/>
              <w:left w:w="100" w:type="dxa"/>
              <w:bottom w:w="90" w:type="dxa"/>
              <w:right w:w="100" w:type="dxa"/>
            </w:tcMar>
            <w:vAlign w:val="center"/>
          </w:tcPr>
          <w:p w14:paraId="7D83C400" w14:textId="77777777" w:rsidR="0084721C" w:rsidRDefault="009B07FB">
            <w:pPr>
              <w:spacing w:line="252" w:lineRule="auto"/>
              <w:rPr>
                <w:lang w:eastAsia="zh-TW"/>
              </w:rPr>
            </w:pPr>
            <w:r>
              <w:rPr>
                <w:sz w:val="17"/>
                <w:lang w:eastAsia="zh-TW"/>
              </w:rPr>
              <w:t>目的機關主責；資訊、法制與採購依既有職權共同確認。</w:t>
            </w:r>
          </w:p>
        </w:tc>
        <w:tc>
          <w:tcPr>
            <w:tcW w:w="2484" w:type="dxa"/>
            <w:tcMar>
              <w:top w:w="90" w:type="dxa"/>
              <w:left w:w="100" w:type="dxa"/>
              <w:bottom w:w="90" w:type="dxa"/>
              <w:right w:w="100" w:type="dxa"/>
            </w:tcMar>
            <w:vAlign w:val="center"/>
          </w:tcPr>
          <w:p w14:paraId="43032AB0" w14:textId="77777777" w:rsidR="0084721C" w:rsidRDefault="009B07FB">
            <w:pPr>
              <w:spacing w:line="252" w:lineRule="auto"/>
            </w:pPr>
            <w:proofErr w:type="spellStart"/>
            <w:r>
              <w:rPr>
                <w:sz w:val="17"/>
              </w:rPr>
              <w:t>Conditional</w:t>
            </w:r>
            <w:r>
              <w:rPr>
                <w:sz w:val="17"/>
              </w:rPr>
              <w:t>或</w:t>
            </w:r>
            <w:r>
              <w:rPr>
                <w:sz w:val="17"/>
              </w:rPr>
              <w:t>No-Go</w:t>
            </w:r>
            <w:r>
              <w:rPr>
                <w:sz w:val="17"/>
              </w:rPr>
              <w:t>；不得以功能可用取代權利可用</w:t>
            </w:r>
            <w:proofErr w:type="spellEnd"/>
            <w:r>
              <w:rPr>
                <w:sz w:val="17"/>
              </w:rPr>
              <w:t>。</w:t>
            </w:r>
          </w:p>
        </w:tc>
      </w:tr>
      <w:tr w:rsidR="0084721C" w14:paraId="57E46DDA" w14:textId="77777777">
        <w:trPr>
          <w:jc w:val="center"/>
        </w:trPr>
        <w:tc>
          <w:tcPr>
            <w:tcW w:w="2484" w:type="dxa"/>
            <w:tcMar>
              <w:top w:w="90" w:type="dxa"/>
              <w:left w:w="100" w:type="dxa"/>
              <w:bottom w:w="90" w:type="dxa"/>
              <w:right w:w="100" w:type="dxa"/>
            </w:tcMar>
            <w:vAlign w:val="center"/>
          </w:tcPr>
          <w:p w14:paraId="12C06597" w14:textId="77777777" w:rsidR="0084721C" w:rsidRDefault="009B07FB">
            <w:pPr>
              <w:spacing w:line="252" w:lineRule="auto"/>
              <w:rPr>
                <w:lang w:eastAsia="zh-TW"/>
              </w:rPr>
            </w:pPr>
            <w:r>
              <w:rPr>
                <w:sz w:val="17"/>
                <w:lang w:eastAsia="zh-TW"/>
              </w:rPr>
              <w:t>國家／</w:t>
            </w:r>
            <w:proofErr w:type="gramStart"/>
            <w:r>
              <w:rPr>
                <w:sz w:val="17"/>
                <w:lang w:eastAsia="zh-TW"/>
              </w:rPr>
              <w:t>跨境層</w:t>
            </w:r>
            <w:proofErr w:type="gramEnd"/>
            <w:r>
              <w:rPr>
                <w:sz w:val="17"/>
                <w:lang w:eastAsia="zh-TW"/>
              </w:rPr>
              <w:t>（第十九篇）</w:t>
            </w:r>
          </w:p>
        </w:tc>
        <w:tc>
          <w:tcPr>
            <w:tcW w:w="2484" w:type="dxa"/>
            <w:tcMar>
              <w:top w:w="90" w:type="dxa"/>
              <w:left w:w="100" w:type="dxa"/>
              <w:bottom w:w="90" w:type="dxa"/>
              <w:right w:w="100" w:type="dxa"/>
            </w:tcMar>
            <w:vAlign w:val="center"/>
          </w:tcPr>
          <w:p w14:paraId="7A061703" w14:textId="77777777" w:rsidR="0084721C" w:rsidRDefault="009B07FB">
            <w:pPr>
              <w:spacing w:line="252" w:lineRule="auto"/>
              <w:rPr>
                <w:lang w:eastAsia="zh-TW"/>
              </w:rPr>
            </w:pPr>
            <w:r>
              <w:rPr>
                <w:sz w:val="17"/>
                <w:lang w:eastAsia="zh-TW"/>
              </w:rPr>
              <w:t>境外權利／供應鏈關係圖、適用條款與</w:t>
            </w:r>
            <w:proofErr w:type="gramStart"/>
            <w:r>
              <w:rPr>
                <w:sz w:val="17"/>
                <w:lang w:eastAsia="zh-TW"/>
              </w:rPr>
              <w:t>法域、</w:t>
            </w:r>
            <w:proofErr w:type="gramEnd"/>
            <w:r>
              <w:rPr>
                <w:sz w:val="17"/>
                <w:lang w:eastAsia="zh-TW"/>
              </w:rPr>
              <w:t>分包與跨境資料流、對外說明文本、升級門檻、補救與聯絡紀錄。</w:t>
            </w:r>
          </w:p>
        </w:tc>
        <w:tc>
          <w:tcPr>
            <w:tcW w:w="2484" w:type="dxa"/>
            <w:tcMar>
              <w:top w:w="90" w:type="dxa"/>
              <w:left w:w="100" w:type="dxa"/>
              <w:bottom w:w="90" w:type="dxa"/>
              <w:right w:w="100" w:type="dxa"/>
            </w:tcMar>
            <w:vAlign w:val="center"/>
          </w:tcPr>
          <w:p w14:paraId="56ADC107" w14:textId="77777777" w:rsidR="0084721C" w:rsidRDefault="009B07FB">
            <w:pPr>
              <w:spacing w:line="252" w:lineRule="auto"/>
              <w:rPr>
                <w:lang w:eastAsia="zh-TW"/>
              </w:rPr>
            </w:pPr>
            <w:r>
              <w:rPr>
                <w:sz w:val="17"/>
                <w:lang w:eastAsia="zh-TW"/>
              </w:rPr>
              <w:t>目的機關先處理事實與停止；涉及制度性、跨機關或重大外部影響時，啟動中央統籌與對外窗口。</w:t>
            </w:r>
          </w:p>
        </w:tc>
        <w:tc>
          <w:tcPr>
            <w:tcW w:w="2484" w:type="dxa"/>
            <w:tcMar>
              <w:top w:w="90" w:type="dxa"/>
              <w:left w:w="100" w:type="dxa"/>
              <w:bottom w:w="90" w:type="dxa"/>
              <w:right w:w="100" w:type="dxa"/>
            </w:tcMar>
            <w:vAlign w:val="center"/>
          </w:tcPr>
          <w:p w14:paraId="62D31BF5" w14:textId="77777777" w:rsidR="0084721C" w:rsidRDefault="009B07FB">
            <w:pPr>
              <w:spacing w:line="252" w:lineRule="auto"/>
              <w:rPr>
                <w:lang w:eastAsia="zh-TW"/>
              </w:rPr>
            </w:pPr>
            <w:r>
              <w:rPr>
                <w:sz w:val="17"/>
                <w:lang w:eastAsia="zh-TW"/>
              </w:rPr>
              <w:t>不得把問題降格為單一廠商或地方機關</w:t>
            </w:r>
            <w:proofErr w:type="gramStart"/>
            <w:r>
              <w:rPr>
                <w:sz w:val="17"/>
                <w:lang w:eastAsia="zh-TW"/>
              </w:rPr>
              <w:t>的私案</w:t>
            </w:r>
            <w:proofErr w:type="gramEnd"/>
            <w:r>
              <w:rPr>
                <w:sz w:val="17"/>
                <w:lang w:eastAsia="zh-TW"/>
              </w:rPr>
              <w:t>。</w:t>
            </w:r>
          </w:p>
        </w:tc>
      </w:tr>
    </w:tbl>
    <w:p w14:paraId="71573AF4" w14:textId="77777777" w:rsidR="0084721C" w:rsidRDefault="0084721C">
      <w:pPr>
        <w:spacing w:after="40"/>
        <w:rPr>
          <w:lang w:eastAsia="zh-TW"/>
        </w:rPr>
      </w:pPr>
    </w:p>
    <w:p w14:paraId="3A7D9F06" w14:textId="77777777" w:rsidR="0084721C" w:rsidRDefault="009B07FB">
      <w:pPr>
        <w:spacing w:after="140" w:line="324" w:lineRule="auto"/>
        <w:rPr>
          <w:lang w:eastAsia="zh-TW"/>
        </w:rPr>
      </w:pPr>
      <w:r>
        <w:rPr>
          <w:b/>
          <w:sz w:val="26"/>
          <w:lang w:eastAsia="zh-TW"/>
        </w:rPr>
        <w:t>（二）避免「再開一場會」的升級門檻</w:t>
      </w:r>
    </w:p>
    <w:tbl>
      <w:tblPr>
        <w:tblStyle w:val="aff2"/>
        <w:tblW w:w="0" w:type="auto"/>
        <w:jc w:val="center"/>
        <w:tblLook w:val="04A0" w:firstRow="1" w:lastRow="0" w:firstColumn="1" w:lastColumn="0" w:noHBand="0" w:noVBand="1"/>
      </w:tblPr>
      <w:tblGrid>
        <w:gridCol w:w="3312"/>
        <w:gridCol w:w="3312"/>
        <w:gridCol w:w="3312"/>
      </w:tblGrid>
      <w:tr w:rsidR="0084721C" w14:paraId="22604F9C" w14:textId="77777777">
        <w:trPr>
          <w:jc w:val="center"/>
        </w:trPr>
        <w:tc>
          <w:tcPr>
            <w:tcW w:w="3312" w:type="dxa"/>
            <w:shd w:val="clear" w:color="auto" w:fill="DCE6F2"/>
            <w:tcMar>
              <w:top w:w="90" w:type="dxa"/>
              <w:left w:w="100" w:type="dxa"/>
              <w:bottom w:w="90" w:type="dxa"/>
              <w:right w:w="100" w:type="dxa"/>
            </w:tcMar>
            <w:vAlign w:val="center"/>
          </w:tcPr>
          <w:p w14:paraId="004A70BE" w14:textId="77777777" w:rsidR="0084721C" w:rsidRDefault="009B07FB">
            <w:pPr>
              <w:spacing w:line="252" w:lineRule="auto"/>
            </w:pPr>
            <w:proofErr w:type="spellStart"/>
            <w:r>
              <w:rPr>
                <w:b/>
                <w:sz w:val="17"/>
              </w:rPr>
              <w:t>升級門檻</w:t>
            </w:r>
            <w:proofErr w:type="spellEnd"/>
          </w:p>
        </w:tc>
        <w:tc>
          <w:tcPr>
            <w:tcW w:w="3312" w:type="dxa"/>
            <w:shd w:val="clear" w:color="auto" w:fill="DCE6F2"/>
            <w:tcMar>
              <w:top w:w="90" w:type="dxa"/>
              <w:left w:w="100" w:type="dxa"/>
              <w:bottom w:w="90" w:type="dxa"/>
              <w:right w:w="100" w:type="dxa"/>
            </w:tcMar>
            <w:vAlign w:val="center"/>
          </w:tcPr>
          <w:p w14:paraId="42D3C80B" w14:textId="77777777" w:rsidR="0084721C" w:rsidRDefault="009B07FB">
            <w:pPr>
              <w:spacing w:line="252" w:lineRule="auto"/>
            </w:pPr>
            <w:r>
              <w:rPr>
                <w:b/>
                <w:sz w:val="17"/>
              </w:rPr>
              <w:t>必須完成的行動</w:t>
            </w:r>
          </w:p>
        </w:tc>
        <w:tc>
          <w:tcPr>
            <w:tcW w:w="3312" w:type="dxa"/>
            <w:shd w:val="clear" w:color="auto" w:fill="DCE6F2"/>
            <w:tcMar>
              <w:top w:w="90" w:type="dxa"/>
              <w:left w:w="100" w:type="dxa"/>
              <w:bottom w:w="90" w:type="dxa"/>
              <w:right w:w="100" w:type="dxa"/>
            </w:tcMar>
            <w:vAlign w:val="center"/>
          </w:tcPr>
          <w:p w14:paraId="51AE2F7A" w14:textId="77777777" w:rsidR="0084721C" w:rsidRDefault="009B07FB">
            <w:pPr>
              <w:spacing w:line="252" w:lineRule="auto"/>
            </w:pPr>
            <w:r>
              <w:rPr>
                <w:b/>
                <w:sz w:val="17"/>
              </w:rPr>
              <w:t>不能接受的處理方式</w:t>
            </w:r>
          </w:p>
        </w:tc>
      </w:tr>
      <w:tr w:rsidR="0084721C" w14:paraId="1BAC2D6E" w14:textId="77777777">
        <w:trPr>
          <w:jc w:val="center"/>
        </w:trPr>
        <w:tc>
          <w:tcPr>
            <w:tcW w:w="3312" w:type="dxa"/>
            <w:tcMar>
              <w:top w:w="90" w:type="dxa"/>
              <w:left w:w="100" w:type="dxa"/>
              <w:bottom w:w="90" w:type="dxa"/>
              <w:right w:w="100" w:type="dxa"/>
            </w:tcMar>
            <w:vAlign w:val="center"/>
          </w:tcPr>
          <w:p w14:paraId="63DAE9EA" w14:textId="77777777" w:rsidR="0084721C" w:rsidRDefault="009B07FB">
            <w:pPr>
              <w:spacing w:line="252" w:lineRule="auto"/>
              <w:rPr>
                <w:lang w:eastAsia="zh-TW"/>
              </w:rPr>
            </w:pPr>
            <w:r>
              <w:rPr>
                <w:sz w:val="17"/>
                <w:lang w:eastAsia="zh-TW"/>
              </w:rPr>
              <w:t>境外權利人提出具體資料與異議</w:t>
            </w:r>
          </w:p>
        </w:tc>
        <w:tc>
          <w:tcPr>
            <w:tcW w:w="3312" w:type="dxa"/>
            <w:tcMar>
              <w:top w:w="90" w:type="dxa"/>
              <w:left w:w="100" w:type="dxa"/>
              <w:bottom w:w="90" w:type="dxa"/>
              <w:right w:w="100" w:type="dxa"/>
            </w:tcMar>
            <w:vAlign w:val="center"/>
          </w:tcPr>
          <w:p w14:paraId="604C9278" w14:textId="77777777" w:rsidR="0084721C" w:rsidRDefault="009B07FB">
            <w:pPr>
              <w:spacing w:line="252" w:lineRule="auto"/>
              <w:rPr>
                <w:lang w:eastAsia="zh-TW"/>
              </w:rPr>
            </w:pPr>
            <w:r>
              <w:rPr>
                <w:sz w:val="17"/>
                <w:lang w:eastAsia="zh-TW"/>
              </w:rPr>
              <w:t>暫停爭議來源的新增利用；保全資料履歷、查詢、輸出與供應商紀錄；在期限內提供理由回覆。</w:t>
            </w:r>
          </w:p>
        </w:tc>
        <w:tc>
          <w:tcPr>
            <w:tcW w:w="3312" w:type="dxa"/>
            <w:tcMar>
              <w:top w:w="90" w:type="dxa"/>
              <w:left w:w="100" w:type="dxa"/>
              <w:bottom w:w="90" w:type="dxa"/>
              <w:right w:w="100" w:type="dxa"/>
            </w:tcMar>
            <w:vAlign w:val="center"/>
          </w:tcPr>
          <w:p w14:paraId="749BE4F9" w14:textId="77777777" w:rsidR="0084721C" w:rsidRDefault="009B07FB">
            <w:pPr>
              <w:spacing w:line="252" w:lineRule="auto"/>
              <w:rPr>
                <w:lang w:eastAsia="zh-TW"/>
              </w:rPr>
            </w:pPr>
            <w:r>
              <w:rPr>
                <w:sz w:val="17"/>
                <w:lang w:eastAsia="zh-TW"/>
              </w:rPr>
              <w:t>要求權利人先證明</w:t>
            </w:r>
            <w:proofErr w:type="gramStart"/>
            <w:r>
              <w:rPr>
                <w:sz w:val="17"/>
                <w:lang w:eastAsia="zh-TW"/>
              </w:rPr>
              <w:t>完整侵權鏈</w:t>
            </w:r>
            <w:proofErr w:type="gramEnd"/>
            <w:r>
              <w:rPr>
                <w:sz w:val="17"/>
                <w:lang w:eastAsia="zh-TW"/>
              </w:rPr>
              <w:t>，機關才願意開始找資料。</w:t>
            </w:r>
          </w:p>
        </w:tc>
      </w:tr>
      <w:tr w:rsidR="0084721C" w14:paraId="43C0A9D8" w14:textId="77777777">
        <w:trPr>
          <w:jc w:val="center"/>
        </w:trPr>
        <w:tc>
          <w:tcPr>
            <w:tcW w:w="3312" w:type="dxa"/>
            <w:tcMar>
              <w:top w:w="90" w:type="dxa"/>
              <w:left w:w="100" w:type="dxa"/>
              <w:bottom w:w="90" w:type="dxa"/>
              <w:right w:w="100" w:type="dxa"/>
            </w:tcMar>
            <w:vAlign w:val="center"/>
          </w:tcPr>
          <w:p w14:paraId="375789F0" w14:textId="77777777" w:rsidR="0084721C" w:rsidRDefault="009B07FB">
            <w:pPr>
              <w:spacing w:line="252" w:lineRule="auto"/>
              <w:rPr>
                <w:lang w:eastAsia="zh-TW"/>
              </w:rPr>
            </w:pPr>
            <w:r>
              <w:rPr>
                <w:sz w:val="17"/>
                <w:lang w:eastAsia="zh-TW"/>
              </w:rPr>
              <w:t>爭議涉及跨機關、跨平台或無法由單一契約停止</w:t>
            </w:r>
          </w:p>
        </w:tc>
        <w:tc>
          <w:tcPr>
            <w:tcW w:w="3312" w:type="dxa"/>
            <w:tcMar>
              <w:top w:w="90" w:type="dxa"/>
              <w:left w:w="100" w:type="dxa"/>
              <w:bottom w:w="90" w:type="dxa"/>
              <w:right w:w="100" w:type="dxa"/>
            </w:tcMar>
            <w:vAlign w:val="center"/>
          </w:tcPr>
          <w:p w14:paraId="34537FC6" w14:textId="77777777" w:rsidR="0084721C" w:rsidRDefault="009B07FB">
            <w:pPr>
              <w:spacing w:line="252" w:lineRule="auto"/>
              <w:rPr>
                <w:lang w:eastAsia="zh-TW"/>
              </w:rPr>
            </w:pPr>
            <w:r>
              <w:rPr>
                <w:sz w:val="17"/>
                <w:lang w:eastAsia="zh-TW"/>
              </w:rPr>
              <w:t>形成資料流、契約鏈、控制權、可能補救與外部風險的共同事實包；指定統籌窗口。</w:t>
            </w:r>
          </w:p>
        </w:tc>
        <w:tc>
          <w:tcPr>
            <w:tcW w:w="3312" w:type="dxa"/>
            <w:tcMar>
              <w:top w:w="90" w:type="dxa"/>
              <w:left w:w="100" w:type="dxa"/>
              <w:bottom w:w="90" w:type="dxa"/>
              <w:right w:w="100" w:type="dxa"/>
            </w:tcMar>
            <w:vAlign w:val="center"/>
          </w:tcPr>
          <w:p w14:paraId="0259A2A1" w14:textId="77777777" w:rsidR="0084721C" w:rsidRDefault="009B07FB">
            <w:pPr>
              <w:spacing w:line="252" w:lineRule="auto"/>
              <w:rPr>
                <w:lang w:eastAsia="zh-TW"/>
              </w:rPr>
            </w:pPr>
            <w:r>
              <w:rPr>
                <w:sz w:val="17"/>
                <w:lang w:eastAsia="zh-TW"/>
              </w:rPr>
              <w:t>各機關只回覆自己看得到的一段，再把其餘問題轉給下一個單位。</w:t>
            </w:r>
          </w:p>
        </w:tc>
      </w:tr>
      <w:tr w:rsidR="0084721C" w14:paraId="2AE36D7E" w14:textId="77777777">
        <w:trPr>
          <w:jc w:val="center"/>
        </w:trPr>
        <w:tc>
          <w:tcPr>
            <w:tcW w:w="3312" w:type="dxa"/>
            <w:tcMar>
              <w:top w:w="90" w:type="dxa"/>
              <w:left w:w="100" w:type="dxa"/>
              <w:bottom w:w="90" w:type="dxa"/>
              <w:right w:w="100" w:type="dxa"/>
            </w:tcMar>
            <w:vAlign w:val="center"/>
          </w:tcPr>
          <w:p w14:paraId="51409584" w14:textId="77777777" w:rsidR="0084721C" w:rsidRDefault="009B07FB">
            <w:pPr>
              <w:spacing w:line="252" w:lineRule="auto"/>
              <w:rPr>
                <w:lang w:eastAsia="zh-TW"/>
              </w:rPr>
            </w:pPr>
            <w:r>
              <w:rPr>
                <w:sz w:val="17"/>
                <w:lang w:eastAsia="zh-TW"/>
              </w:rPr>
              <w:t>涉及關鍵供應鏈、重大公共服務或敏感技術</w:t>
            </w:r>
          </w:p>
        </w:tc>
        <w:tc>
          <w:tcPr>
            <w:tcW w:w="3312" w:type="dxa"/>
            <w:tcMar>
              <w:top w:w="90" w:type="dxa"/>
              <w:left w:w="100" w:type="dxa"/>
              <w:bottom w:w="90" w:type="dxa"/>
              <w:right w:w="100" w:type="dxa"/>
            </w:tcMar>
            <w:vAlign w:val="center"/>
          </w:tcPr>
          <w:p w14:paraId="35B4D5D3" w14:textId="77777777" w:rsidR="0084721C" w:rsidRDefault="009B07FB">
            <w:pPr>
              <w:spacing w:line="252" w:lineRule="auto"/>
              <w:rPr>
                <w:lang w:eastAsia="zh-TW"/>
              </w:rPr>
            </w:pPr>
            <w:r>
              <w:rPr>
                <w:sz w:val="17"/>
                <w:lang w:eastAsia="zh-TW"/>
              </w:rPr>
              <w:t>啟動較高層級的停止、隔離、</w:t>
            </w:r>
            <w:proofErr w:type="gramStart"/>
            <w:r>
              <w:rPr>
                <w:sz w:val="17"/>
                <w:lang w:eastAsia="zh-TW"/>
              </w:rPr>
              <w:t>資安</w:t>
            </w:r>
            <w:proofErr w:type="gramEnd"/>
            <w:r>
              <w:rPr>
                <w:sz w:val="17"/>
                <w:lang w:eastAsia="zh-TW"/>
              </w:rPr>
              <w:t>／保密與對外協調程序；確認誰可代表政府提出一致說明。</w:t>
            </w:r>
          </w:p>
        </w:tc>
        <w:tc>
          <w:tcPr>
            <w:tcW w:w="3312" w:type="dxa"/>
            <w:tcMar>
              <w:top w:w="90" w:type="dxa"/>
              <w:left w:w="100" w:type="dxa"/>
              <w:bottom w:w="90" w:type="dxa"/>
              <w:right w:w="100" w:type="dxa"/>
            </w:tcMar>
            <w:vAlign w:val="center"/>
          </w:tcPr>
          <w:p w14:paraId="757BD691" w14:textId="77777777" w:rsidR="0084721C" w:rsidRDefault="009B07FB">
            <w:pPr>
              <w:spacing w:line="252" w:lineRule="auto"/>
              <w:rPr>
                <w:lang w:eastAsia="zh-TW"/>
              </w:rPr>
            </w:pPr>
            <w:r>
              <w:rPr>
                <w:sz w:val="17"/>
                <w:lang w:eastAsia="zh-TW"/>
              </w:rPr>
              <w:t>等待訴訟、仲裁或媒體事件，再臨時組成專案小組。</w:t>
            </w:r>
          </w:p>
        </w:tc>
      </w:tr>
    </w:tbl>
    <w:p w14:paraId="71EC3524" w14:textId="77777777" w:rsidR="0084721C" w:rsidRDefault="0084721C">
      <w:pPr>
        <w:spacing w:after="40"/>
        <w:rPr>
          <w:lang w:eastAsia="zh-TW"/>
        </w:rPr>
      </w:pPr>
    </w:p>
    <w:p w14:paraId="0DBF9307" w14:textId="77777777" w:rsidR="0084721C" w:rsidRDefault="009B07FB">
      <w:pPr>
        <w:spacing w:after="140" w:line="324" w:lineRule="auto"/>
        <w:rPr>
          <w:lang w:eastAsia="zh-TW"/>
        </w:rPr>
      </w:pPr>
      <w:r>
        <w:rPr>
          <w:b/>
          <w:sz w:val="26"/>
          <w:lang w:eastAsia="zh-TW"/>
        </w:rPr>
        <w:t>（三）預防性暫停的契約化</w:t>
      </w:r>
    </w:p>
    <w:p w14:paraId="09782B38" w14:textId="77777777" w:rsidR="0084721C" w:rsidRDefault="009B07FB">
      <w:pPr>
        <w:spacing w:after="120" w:line="324" w:lineRule="auto"/>
        <w:rPr>
          <w:lang w:eastAsia="zh-TW"/>
        </w:rPr>
      </w:pPr>
      <w:r>
        <w:rPr>
          <w:lang w:eastAsia="zh-TW"/>
        </w:rPr>
        <w:t>預防性暫停不是行政機關任意停機，也不是承認侵權。它應在</w:t>
      </w:r>
      <w:r>
        <w:rPr>
          <w:lang w:eastAsia="zh-TW"/>
        </w:rPr>
        <w:t>RFP</w:t>
      </w:r>
      <w:r>
        <w:rPr>
          <w:lang w:eastAsia="zh-TW"/>
        </w:rPr>
        <w:t>、契約與驗收文件中預先約定為一種中性的保全措施：只要收到具有具體來源、授權、</w:t>
      </w:r>
      <w:proofErr w:type="gramStart"/>
      <w:r>
        <w:rPr>
          <w:lang w:eastAsia="zh-TW"/>
        </w:rPr>
        <w:t>法域或</w:t>
      </w:r>
      <w:proofErr w:type="gramEnd"/>
      <w:r>
        <w:rPr>
          <w:lang w:eastAsia="zh-TW"/>
        </w:rPr>
        <w:t>使用範圍疑義的通知，機關即可暫停爭議來源的新增匯入、檢索、輸出、</w:t>
      </w:r>
      <w:r>
        <w:rPr>
          <w:lang w:eastAsia="zh-TW"/>
        </w:rPr>
        <w:t>API</w:t>
      </w:r>
      <w:r>
        <w:rPr>
          <w:lang w:eastAsia="zh-TW"/>
        </w:rPr>
        <w:t>傳送或對外服務，並要求供應商保全相關資料。是否恢復使用，則由補證、查核與理由說明後的決定處理。</w:t>
      </w:r>
    </w:p>
    <w:tbl>
      <w:tblPr>
        <w:tblStyle w:val="aff2"/>
        <w:tblW w:w="0" w:type="auto"/>
        <w:jc w:val="center"/>
        <w:tblLook w:val="04A0" w:firstRow="1" w:lastRow="0" w:firstColumn="1" w:lastColumn="0" w:noHBand="0" w:noVBand="1"/>
      </w:tblPr>
      <w:tblGrid>
        <w:gridCol w:w="4968"/>
        <w:gridCol w:w="4968"/>
      </w:tblGrid>
      <w:tr w:rsidR="0084721C" w14:paraId="01D2720F" w14:textId="77777777">
        <w:trPr>
          <w:jc w:val="center"/>
        </w:trPr>
        <w:tc>
          <w:tcPr>
            <w:tcW w:w="4968" w:type="dxa"/>
            <w:shd w:val="clear" w:color="auto" w:fill="DCE6F2"/>
            <w:tcMar>
              <w:top w:w="90" w:type="dxa"/>
              <w:left w:w="100" w:type="dxa"/>
              <w:bottom w:w="90" w:type="dxa"/>
              <w:right w:w="100" w:type="dxa"/>
            </w:tcMar>
            <w:vAlign w:val="center"/>
          </w:tcPr>
          <w:p w14:paraId="621EB53F" w14:textId="77777777" w:rsidR="0084721C" w:rsidRDefault="009B07FB">
            <w:pPr>
              <w:spacing w:line="252" w:lineRule="auto"/>
            </w:pPr>
            <w:proofErr w:type="spellStart"/>
            <w:r>
              <w:rPr>
                <w:b/>
                <w:sz w:val="17"/>
              </w:rPr>
              <w:t>契約元件</w:t>
            </w:r>
            <w:proofErr w:type="spellEnd"/>
          </w:p>
        </w:tc>
        <w:tc>
          <w:tcPr>
            <w:tcW w:w="4968" w:type="dxa"/>
            <w:shd w:val="clear" w:color="auto" w:fill="DCE6F2"/>
            <w:tcMar>
              <w:top w:w="90" w:type="dxa"/>
              <w:left w:w="100" w:type="dxa"/>
              <w:bottom w:w="90" w:type="dxa"/>
              <w:right w:w="100" w:type="dxa"/>
            </w:tcMar>
            <w:vAlign w:val="center"/>
          </w:tcPr>
          <w:p w14:paraId="4F1C0AAD" w14:textId="77777777" w:rsidR="0084721C" w:rsidRDefault="009B07FB">
            <w:pPr>
              <w:spacing w:line="252" w:lineRule="auto"/>
            </w:pPr>
            <w:r>
              <w:rPr>
                <w:b/>
                <w:sz w:val="17"/>
              </w:rPr>
              <w:t>應明定的內容</w:t>
            </w:r>
          </w:p>
        </w:tc>
      </w:tr>
      <w:tr w:rsidR="0084721C" w14:paraId="66660761" w14:textId="77777777">
        <w:trPr>
          <w:jc w:val="center"/>
        </w:trPr>
        <w:tc>
          <w:tcPr>
            <w:tcW w:w="4968" w:type="dxa"/>
            <w:tcMar>
              <w:top w:w="90" w:type="dxa"/>
              <w:left w:w="100" w:type="dxa"/>
              <w:bottom w:w="90" w:type="dxa"/>
              <w:right w:w="100" w:type="dxa"/>
            </w:tcMar>
            <w:vAlign w:val="center"/>
          </w:tcPr>
          <w:p w14:paraId="016E4973" w14:textId="77777777" w:rsidR="0084721C" w:rsidRDefault="009B07FB">
            <w:pPr>
              <w:spacing w:line="252" w:lineRule="auto"/>
            </w:pPr>
            <w:r>
              <w:rPr>
                <w:sz w:val="17"/>
              </w:rPr>
              <w:t>啟動條件</w:t>
            </w:r>
          </w:p>
        </w:tc>
        <w:tc>
          <w:tcPr>
            <w:tcW w:w="4968" w:type="dxa"/>
            <w:tcMar>
              <w:top w:w="90" w:type="dxa"/>
              <w:left w:w="100" w:type="dxa"/>
              <w:bottom w:w="90" w:type="dxa"/>
              <w:right w:w="100" w:type="dxa"/>
            </w:tcMar>
            <w:vAlign w:val="center"/>
          </w:tcPr>
          <w:p w14:paraId="7F046365" w14:textId="77777777" w:rsidR="0084721C" w:rsidRDefault="009B07FB">
            <w:pPr>
              <w:spacing w:line="252" w:lineRule="auto"/>
              <w:rPr>
                <w:lang w:eastAsia="zh-TW"/>
              </w:rPr>
            </w:pPr>
            <w:r>
              <w:rPr>
                <w:sz w:val="17"/>
                <w:lang w:eastAsia="zh-TW"/>
              </w:rPr>
              <w:t>具體的權利、授權、</w:t>
            </w:r>
            <w:proofErr w:type="gramStart"/>
            <w:r>
              <w:rPr>
                <w:sz w:val="17"/>
                <w:lang w:eastAsia="zh-TW"/>
              </w:rPr>
              <w:t>法域、</w:t>
            </w:r>
            <w:proofErr w:type="gramEnd"/>
            <w:r>
              <w:rPr>
                <w:sz w:val="17"/>
                <w:lang w:eastAsia="zh-TW"/>
              </w:rPr>
              <w:t>出口管制或資料處理異議；不要求權</w:t>
            </w:r>
            <w:r>
              <w:rPr>
                <w:sz w:val="17"/>
                <w:lang w:eastAsia="zh-TW"/>
              </w:rPr>
              <w:lastRenderedPageBreak/>
              <w:t>利人先完成侵權舉證。</w:t>
            </w:r>
          </w:p>
        </w:tc>
      </w:tr>
      <w:tr w:rsidR="0084721C" w14:paraId="08D36ABF" w14:textId="77777777">
        <w:trPr>
          <w:jc w:val="center"/>
        </w:trPr>
        <w:tc>
          <w:tcPr>
            <w:tcW w:w="4968" w:type="dxa"/>
            <w:tcMar>
              <w:top w:w="90" w:type="dxa"/>
              <w:left w:w="100" w:type="dxa"/>
              <w:bottom w:w="90" w:type="dxa"/>
              <w:right w:w="100" w:type="dxa"/>
            </w:tcMar>
            <w:vAlign w:val="center"/>
          </w:tcPr>
          <w:p w14:paraId="7335FE69" w14:textId="77777777" w:rsidR="0084721C" w:rsidRDefault="009B07FB">
            <w:pPr>
              <w:spacing w:line="252" w:lineRule="auto"/>
            </w:pPr>
            <w:proofErr w:type="spellStart"/>
            <w:r>
              <w:rPr>
                <w:sz w:val="17"/>
              </w:rPr>
              <w:lastRenderedPageBreak/>
              <w:t>命令範圍</w:t>
            </w:r>
            <w:proofErr w:type="spellEnd"/>
          </w:p>
        </w:tc>
        <w:tc>
          <w:tcPr>
            <w:tcW w:w="4968" w:type="dxa"/>
            <w:tcMar>
              <w:top w:w="90" w:type="dxa"/>
              <w:left w:w="100" w:type="dxa"/>
              <w:bottom w:w="90" w:type="dxa"/>
              <w:right w:w="100" w:type="dxa"/>
            </w:tcMar>
            <w:vAlign w:val="center"/>
          </w:tcPr>
          <w:p w14:paraId="796DEABE" w14:textId="77777777" w:rsidR="0084721C" w:rsidRDefault="009B07FB">
            <w:pPr>
              <w:spacing w:line="252" w:lineRule="auto"/>
              <w:rPr>
                <w:lang w:eastAsia="zh-TW"/>
              </w:rPr>
            </w:pPr>
            <w:r>
              <w:rPr>
                <w:sz w:val="17"/>
                <w:lang w:eastAsia="zh-TW"/>
              </w:rPr>
              <w:t>可針對特定來源、向量索引、快取、模型版本、</w:t>
            </w:r>
            <w:r>
              <w:rPr>
                <w:sz w:val="17"/>
                <w:lang w:eastAsia="zh-TW"/>
              </w:rPr>
              <w:t>API</w:t>
            </w:r>
            <w:r>
              <w:rPr>
                <w:sz w:val="17"/>
                <w:lang w:eastAsia="zh-TW"/>
              </w:rPr>
              <w:t>、分包利用或對外輸出，</w:t>
            </w:r>
            <w:proofErr w:type="gramStart"/>
            <w:r>
              <w:rPr>
                <w:sz w:val="17"/>
                <w:lang w:eastAsia="zh-TW"/>
              </w:rPr>
              <w:t>採</w:t>
            </w:r>
            <w:proofErr w:type="gramEnd"/>
            <w:r>
              <w:rPr>
                <w:sz w:val="17"/>
                <w:lang w:eastAsia="zh-TW"/>
              </w:rPr>
              <w:t>最小必要暫停。</w:t>
            </w:r>
          </w:p>
        </w:tc>
      </w:tr>
      <w:tr w:rsidR="0084721C" w14:paraId="1C137104" w14:textId="77777777">
        <w:trPr>
          <w:jc w:val="center"/>
        </w:trPr>
        <w:tc>
          <w:tcPr>
            <w:tcW w:w="4968" w:type="dxa"/>
            <w:tcMar>
              <w:top w:w="90" w:type="dxa"/>
              <w:left w:w="100" w:type="dxa"/>
              <w:bottom w:w="90" w:type="dxa"/>
              <w:right w:w="100" w:type="dxa"/>
            </w:tcMar>
            <w:vAlign w:val="center"/>
          </w:tcPr>
          <w:p w14:paraId="31B2CE45" w14:textId="77777777" w:rsidR="0084721C" w:rsidRDefault="009B07FB">
            <w:pPr>
              <w:spacing w:line="252" w:lineRule="auto"/>
            </w:pPr>
            <w:proofErr w:type="spellStart"/>
            <w:r>
              <w:rPr>
                <w:sz w:val="17"/>
              </w:rPr>
              <w:t>法律效果</w:t>
            </w:r>
            <w:proofErr w:type="spellEnd"/>
          </w:p>
        </w:tc>
        <w:tc>
          <w:tcPr>
            <w:tcW w:w="4968" w:type="dxa"/>
            <w:tcMar>
              <w:top w:w="90" w:type="dxa"/>
              <w:left w:w="100" w:type="dxa"/>
              <w:bottom w:w="90" w:type="dxa"/>
              <w:right w:w="100" w:type="dxa"/>
            </w:tcMar>
            <w:vAlign w:val="center"/>
          </w:tcPr>
          <w:p w14:paraId="339FFF57" w14:textId="77777777" w:rsidR="0084721C" w:rsidRDefault="009B07FB">
            <w:pPr>
              <w:spacing w:line="252" w:lineRule="auto"/>
              <w:rPr>
                <w:lang w:eastAsia="zh-TW"/>
              </w:rPr>
            </w:pPr>
            <w:r>
              <w:rPr>
                <w:sz w:val="17"/>
                <w:lang w:eastAsia="zh-TW"/>
              </w:rPr>
              <w:t>機關依約採取預防性暫停，不構成對供應商的違約，亦</w:t>
            </w:r>
            <w:proofErr w:type="gramStart"/>
            <w:r>
              <w:rPr>
                <w:sz w:val="17"/>
                <w:lang w:eastAsia="zh-TW"/>
              </w:rPr>
              <w:t>不</w:t>
            </w:r>
            <w:proofErr w:type="gramEnd"/>
            <w:r>
              <w:rPr>
                <w:sz w:val="17"/>
                <w:lang w:eastAsia="zh-TW"/>
              </w:rPr>
              <w:t>當然構成機關承認侵權。</w:t>
            </w:r>
          </w:p>
        </w:tc>
      </w:tr>
      <w:tr w:rsidR="0084721C" w14:paraId="1C4C51D7" w14:textId="77777777">
        <w:trPr>
          <w:jc w:val="center"/>
        </w:trPr>
        <w:tc>
          <w:tcPr>
            <w:tcW w:w="4968" w:type="dxa"/>
            <w:tcMar>
              <w:top w:w="90" w:type="dxa"/>
              <w:left w:w="100" w:type="dxa"/>
              <w:bottom w:w="90" w:type="dxa"/>
              <w:right w:w="100" w:type="dxa"/>
            </w:tcMar>
            <w:vAlign w:val="center"/>
          </w:tcPr>
          <w:p w14:paraId="30E37A13" w14:textId="77777777" w:rsidR="0084721C" w:rsidRDefault="009B07FB">
            <w:pPr>
              <w:spacing w:line="252" w:lineRule="auto"/>
            </w:pPr>
            <w:proofErr w:type="spellStart"/>
            <w:r>
              <w:rPr>
                <w:sz w:val="17"/>
              </w:rPr>
              <w:t>供應商義務</w:t>
            </w:r>
            <w:proofErr w:type="spellEnd"/>
          </w:p>
        </w:tc>
        <w:tc>
          <w:tcPr>
            <w:tcW w:w="4968" w:type="dxa"/>
            <w:tcMar>
              <w:top w:w="90" w:type="dxa"/>
              <w:left w:w="100" w:type="dxa"/>
              <w:bottom w:w="90" w:type="dxa"/>
              <w:right w:w="100" w:type="dxa"/>
            </w:tcMar>
            <w:vAlign w:val="center"/>
          </w:tcPr>
          <w:p w14:paraId="21CEF9A7" w14:textId="77777777" w:rsidR="0084721C" w:rsidRDefault="009B07FB">
            <w:pPr>
              <w:spacing w:line="252" w:lineRule="auto"/>
              <w:rPr>
                <w:lang w:eastAsia="zh-TW"/>
              </w:rPr>
            </w:pPr>
            <w:r>
              <w:rPr>
                <w:sz w:val="17"/>
                <w:lang w:eastAsia="zh-TW"/>
              </w:rPr>
              <w:t>立即隔離、保全、提供日誌與次處理者資訊；不得在爭議期間刪除、覆寫或再利用爭議資料。</w:t>
            </w:r>
          </w:p>
        </w:tc>
      </w:tr>
      <w:tr w:rsidR="0084721C" w14:paraId="77031D33" w14:textId="77777777">
        <w:trPr>
          <w:jc w:val="center"/>
        </w:trPr>
        <w:tc>
          <w:tcPr>
            <w:tcW w:w="4968" w:type="dxa"/>
            <w:tcMar>
              <w:top w:w="90" w:type="dxa"/>
              <w:left w:w="100" w:type="dxa"/>
              <w:bottom w:w="90" w:type="dxa"/>
              <w:right w:w="100" w:type="dxa"/>
            </w:tcMar>
            <w:vAlign w:val="center"/>
          </w:tcPr>
          <w:p w14:paraId="36EC543C" w14:textId="77777777" w:rsidR="0084721C" w:rsidRDefault="009B07FB">
            <w:pPr>
              <w:spacing w:line="252" w:lineRule="auto"/>
            </w:pPr>
            <w:proofErr w:type="spellStart"/>
            <w:r>
              <w:rPr>
                <w:sz w:val="17"/>
              </w:rPr>
              <w:t>檢討與恢復</w:t>
            </w:r>
            <w:proofErr w:type="spellEnd"/>
          </w:p>
        </w:tc>
        <w:tc>
          <w:tcPr>
            <w:tcW w:w="4968" w:type="dxa"/>
            <w:tcMar>
              <w:top w:w="90" w:type="dxa"/>
              <w:left w:w="100" w:type="dxa"/>
              <w:bottom w:w="90" w:type="dxa"/>
              <w:right w:w="100" w:type="dxa"/>
            </w:tcMar>
            <w:vAlign w:val="center"/>
          </w:tcPr>
          <w:p w14:paraId="2368654E" w14:textId="77777777" w:rsidR="0084721C" w:rsidRDefault="009B07FB">
            <w:pPr>
              <w:spacing w:line="252" w:lineRule="auto"/>
              <w:rPr>
                <w:lang w:eastAsia="zh-TW"/>
              </w:rPr>
            </w:pPr>
            <w:r>
              <w:rPr>
                <w:sz w:val="17"/>
                <w:lang w:eastAsia="zh-TW"/>
              </w:rPr>
              <w:t>設定補證、查核、理由回覆與恢復條件；重大變更後重新進行</w:t>
            </w:r>
            <w:r>
              <w:rPr>
                <w:sz w:val="17"/>
                <w:lang w:eastAsia="zh-TW"/>
              </w:rPr>
              <w:t>OAC</w:t>
            </w:r>
            <w:r>
              <w:rPr>
                <w:sz w:val="17"/>
                <w:lang w:eastAsia="zh-TW"/>
              </w:rPr>
              <w:t>。</w:t>
            </w:r>
          </w:p>
        </w:tc>
      </w:tr>
    </w:tbl>
    <w:p w14:paraId="4D8432C0" w14:textId="77777777" w:rsidR="0084721C" w:rsidRDefault="0084721C">
      <w:pPr>
        <w:spacing w:after="40"/>
        <w:rPr>
          <w:lang w:eastAsia="zh-TW"/>
        </w:rPr>
      </w:pPr>
    </w:p>
    <w:p w14:paraId="639BC817" w14:textId="77777777" w:rsidR="0084721C" w:rsidRDefault="009B07FB">
      <w:pPr>
        <w:spacing w:after="120" w:line="324" w:lineRule="auto"/>
        <w:rPr>
          <w:lang w:eastAsia="zh-TW"/>
        </w:rPr>
      </w:pPr>
      <w:r>
        <w:rPr>
          <w:lang w:eastAsia="zh-TW"/>
        </w:rPr>
        <w:t>此類條款應與現有政府資訊與雲端服務採購範本中的智慧財產權擔保、日誌保存、</w:t>
      </w:r>
      <w:proofErr w:type="gramStart"/>
      <w:r>
        <w:rPr>
          <w:lang w:eastAsia="zh-TW"/>
        </w:rPr>
        <w:t>資安事件</w:t>
      </w:r>
      <w:proofErr w:type="gramEnd"/>
      <w:r>
        <w:rPr>
          <w:lang w:eastAsia="zh-TW"/>
        </w:rPr>
        <w:t>通報與配合調查義務銜接，而不是另立一套與採購程序脫節的道德宣示。</w:t>
      </w:r>
    </w:p>
    <w:p w14:paraId="6A57FA1D" w14:textId="77777777" w:rsidR="0084721C" w:rsidRDefault="009B07FB">
      <w:pPr>
        <w:spacing w:after="100" w:line="324" w:lineRule="auto"/>
        <w:rPr>
          <w:lang w:eastAsia="zh-TW"/>
        </w:rPr>
      </w:pPr>
      <w:r>
        <w:rPr>
          <w:b/>
          <w:sz w:val="23"/>
          <w:lang w:eastAsia="zh-TW"/>
        </w:rPr>
        <w:t>預防性暫停的現行法界線</w:t>
      </w:r>
    </w:p>
    <w:p w14:paraId="4C23099E" w14:textId="77777777" w:rsidR="0084721C" w:rsidRDefault="009B07FB">
      <w:pPr>
        <w:spacing w:after="120" w:line="324" w:lineRule="auto"/>
        <w:rPr>
          <w:lang w:eastAsia="zh-TW"/>
        </w:rPr>
      </w:pPr>
      <w:r>
        <w:rPr>
          <w:lang w:eastAsia="zh-TW"/>
        </w:rPr>
        <w:t>本文不把「預防性暫停」描述為一般性的行政命令權。較精確的法律定位是：第一，它是機關對自身資訊系統與內部業務流程所作的風險控制；第二，涉及供應商時，必須以招標文件、契約、服務水準協議或既有履約管理約定為依據，要求隔離、保全、補證或暫停特定功能；第三，若要對契約外第三人、跨機關或</w:t>
      </w:r>
      <w:proofErr w:type="gramStart"/>
      <w:r>
        <w:rPr>
          <w:lang w:eastAsia="zh-TW"/>
        </w:rPr>
        <w:t>業者作具拘束</w:t>
      </w:r>
      <w:proofErr w:type="gramEnd"/>
      <w:r>
        <w:rPr>
          <w:lang w:eastAsia="zh-TW"/>
        </w:rPr>
        <w:t>力的處分，仍須回到個別法律所給予的權限與程序。因此，本文主張的是把最小暫停的觸發、範圍、</w:t>
      </w:r>
      <w:proofErr w:type="gramStart"/>
      <w:r>
        <w:rPr>
          <w:lang w:eastAsia="zh-TW"/>
        </w:rPr>
        <w:t>期間、</w:t>
      </w:r>
      <w:proofErr w:type="gramEnd"/>
      <w:r>
        <w:rPr>
          <w:lang w:eastAsia="zh-TW"/>
        </w:rPr>
        <w:t>復原條件、異議與損失處理預先寫進採購文件，而不是以行政裁量替代法律保留。</w:t>
      </w:r>
    </w:p>
    <w:p w14:paraId="7734DF7E" w14:textId="77777777" w:rsidR="0084721C" w:rsidRDefault="009B07FB">
      <w:pPr>
        <w:spacing w:after="140" w:line="324" w:lineRule="auto"/>
        <w:rPr>
          <w:lang w:eastAsia="zh-TW"/>
        </w:rPr>
      </w:pPr>
      <w:r>
        <w:rPr>
          <w:b/>
          <w:sz w:val="26"/>
          <w:lang w:eastAsia="zh-TW"/>
        </w:rPr>
        <w:t>（四）把跨境權利事件嵌入既有法制</w:t>
      </w:r>
      <w:r>
        <w:rPr>
          <w:b/>
          <w:sz w:val="26"/>
          <w:lang w:eastAsia="zh-TW"/>
        </w:rPr>
        <w:t>，而</w:t>
      </w:r>
      <w:proofErr w:type="gramStart"/>
      <w:r>
        <w:rPr>
          <w:b/>
          <w:sz w:val="26"/>
          <w:lang w:eastAsia="zh-TW"/>
        </w:rPr>
        <w:t>非另造平行</w:t>
      </w:r>
      <w:proofErr w:type="gramEnd"/>
      <w:r>
        <w:rPr>
          <w:b/>
          <w:sz w:val="26"/>
          <w:lang w:eastAsia="zh-TW"/>
        </w:rPr>
        <w:t>體系</w:t>
      </w:r>
    </w:p>
    <w:p w14:paraId="426ED098" w14:textId="77777777" w:rsidR="0084721C" w:rsidRDefault="009B07FB">
      <w:pPr>
        <w:spacing w:after="120" w:line="324" w:lineRule="auto"/>
        <w:rPr>
          <w:lang w:eastAsia="zh-TW"/>
        </w:rPr>
      </w:pPr>
      <w:r>
        <w:rPr>
          <w:lang w:eastAsia="zh-TW"/>
        </w:rPr>
        <w:t>本文並不主張以「國家統籌者」取代既有主管機關或</w:t>
      </w:r>
      <w:proofErr w:type="gramStart"/>
      <w:r>
        <w:rPr>
          <w:lang w:eastAsia="zh-TW"/>
        </w:rPr>
        <w:t>既有資安</w:t>
      </w:r>
      <w:proofErr w:type="gramEnd"/>
      <w:r>
        <w:rPr>
          <w:lang w:eastAsia="zh-TW"/>
        </w:rPr>
        <w:t>、採購與國安程序。較可行的設計是：目的機關依人工智慧基本法後續風險分類與內控規範，先在個別系統盤點權利來源、跨境資料流與高敏技術用途；數發部提供風險分類、技術欄位與日誌標準；智慧財產局提供權利與授權判斷的共同準則；國科會及行政院國家人工智慧戰略特別委員會處理跨部會制度性缺口與政策協調。只有觸及</w:t>
      </w:r>
      <w:proofErr w:type="gramStart"/>
      <w:r>
        <w:rPr>
          <w:lang w:eastAsia="zh-TW"/>
        </w:rPr>
        <w:t>跨法域、</w:t>
      </w:r>
      <w:proofErr w:type="gramEnd"/>
      <w:r>
        <w:rPr>
          <w:lang w:eastAsia="zh-TW"/>
        </w:rPr>
        <w:t>重大公共服務、國安、出口管制或外部經貿風險的案件，才由行政院依法律授權、組織法職權或專案行政命令指定統籌責任者。</w:t>
      </w:r>
    </w:p>
    <w:p w14:paraId="30453FBF" w14:textId="77777777" w:rsidR="0084721C" w:rsidRDefault="009B07FB">
      <w:pPr>
        <w:spacing w:after="120" w:line="324" w:lineRule="auto"/>
        <w:rPr>
          <w:lang w:eastAsia="zh-TW"/>
        </w:rPr>
      </w:pPr>
      <w:r>
        <w:rPr>
          <w:lang w:eastAsia="zh-TW"/>
        </w:rPr>
        <w:t>《人工智慧基本法》第</w:t>
      </w:r>
      <w:r>
        <w:rPr>
          <w:lang w:eastAsia="zh-TW"/>
        </w:rPr>
        <w:t>6</w:t>
      </w:r>
      <w:r>
        <w:rPr>
          <w:lang w:eastAsia="zh-TW"/>
        </w:rPr>
        <w:t>條已設計由行政院特別委員會「協調、推動及督導」國家</w:t>
      </w:r>
      <w:r>
        <w:rPr>
          <w:lang w:eastAsia="zh-TW"/>
        </w:rPr>
        <w:t>AI</w:t>
      </w:r>
      <w:r>
        <w:rPr>
          <w:lang w:eastAsia="zh-TW"/>
        </w:rPr>
        <w:t>事務，並由國科會辦理幕僚業務。本文據此主張的，是可由行政院以既有協調架構指定案件統籌窗口與時程責任；第</w:t>
      </w:r>
      <w:r>
        <w:rPr>
          <w:lang w:eastAsia="zh-TW"/>
        </w:rPr>
        <w:t>6</w:t>
      </w:r>
      <w:r>
        <w:rPr>
          <w:lang w:eastAsia="zh-TW"/>
        </w:rPr>
        <w:t>條本身並未授與該窗口對地方機關、供應商或境外服務商的普遍停止命令權。若未來成立常設專責辦公室，也應透過</w:t>
      </w:r>
      <w:r>
        <w:rPr>
          <w:lang w:eastAsia="zh-TW"/>
        </w:rPr>
        <w:lastRenderedPageBreak/>
        <w:t>組織、任務編組或行政命令明定其幕僚、協調、通報與對外聯絡職掌，並將實質停止仍交由有系統管理權、契約權或法定處分權的機關執行。這正是避免專案編組重新淪為無權協調會的制度條件。</w:t>
      </w:r>
    </w:p>
    <w:p w14:paraId="6BAB44C5" w14:textId="77777777" w:rsidR="0084721C" w:rsidRDefault="009B07FB">
      <w:pPr>
        <w:spacing w:after="120" w:line="324" w:lineRule="auto"/>
        <w:rPr>
          <w:lang w:eastAsia="zh-TW"/>
        </w:rPr>
      </w:pPr>
      <w:r>
        <w:rPr>
          <w:lang w:eastAsia="zh-TW"/>
        </w:rPr>
        <w:t>本文所稱停止，必須依權限來源分層，而非假定行政院指定一人即可對所有人作成無限制</w:t>
      </w:r>
      <w:r>
        <w:rPr>
          <w:lang w:eastAsia="zh-TW"/>
        </w:rPr>
        <w:t>命令。機關層停止權由目的機關依系統管理、內控與採購管理權，停止特定來源或功能；契約層停止權由機關依契約要求供應商隔離、保全、暫停服務或補證；跨機關統籌權由行政院指定窗口整合事實、促成既有權責機關決策並統一對外說明；只有在法律明文授權的範圍內，才存在對特定機關或業者具拘束力的法定命令權。因此，統籌者的責任是對跨機關決策與對外說明負最終責任，而不是創造一位擁有無限停止權的人。</w:t>
      </w:r>
    </w:p>
    <w:p w14:paraId="247A3739" w14:textId="77777777" w:rsidR="0084721C" w:rsidRDefault="009B07FB">
      <w:pPr>
        <w:spacing w:after="100" w:line="324" w:lineRule="auto"/>
        <w:rPr>
          <w:lang w:eastAsia="zh-TW"/>
        </w:rPr>
      </w:pPr>
      <w:r>
        <w:rPr>
          <w:b/>
          <w:sz w:val="23"/>
          <w:lang w:eastAsia="zh-TW"/>
        </w:rPr>
        <w:t>日誌與證據包的最低技術規格</w:t>
      </w:r>
    </w:p>
    <w:tbl>
      <w:tblPr>
        <w:tblStyle w:val="aff2"/>
        <w:tblW w:w="0" w:type="auto"/>
        <w:jc w:val="center"/>
        <w:tblLook w:val="04A0" w:firstRow="1" w:lastRow="0" w:firstColumn="1" w:lastColumn="0" w:noHBand="0" w:noVBand="1"/>
      </w:tblPr>
      <w:tblGrid>
        <w:gridCol w:w="4968"/>
        <w:gridCol w:w="4968"/>
      </w:tblGrid>
      <w:tr w:rsidR="0084721C" w14:paraId="61350771" w14:textId="77777777">
        <w:trPr>
          <w:jc w:val="center"/>
        </w:trPr>
        <w:tc>
          <w:tcPr>
            <w:tcW w:w="4968" w:type="dxa"/>
            <w:shd w:val="clear" w:color="auto" w:fill="DCE6F2"/>
            <w:tcMar>
              <w:top w:w="90" w:type="dxa"/>
              <w:left w:w="100" w:type="dxa"/>
              <w:bottom w:w="90" w:type="dxa"/>
              <w:right w:w="100" w:type="dxa"/>
            </w:tcMar>
            <w:vAlign w:val="center"/>
          </w:tcPr>
          <w:p w14:paraId="7FA550B5" w14:textId="77777777" w:rsidR="0084721C" w:rsidRDefault="009B07FB">
            <w:pPr>
              <w:spacing w:line="252" w:lineRule="auto"/>
            </w:pPr>
            <w:proofErr w:type="spellStart"/>
            <w:r>
              <w:rPr>
                <w:b/>
                <w:sz w:val="17"/>
              </w:rPr>
              <w:t>最低欄位／能力</w:t>
            </w:r>
            <w:proofErr w:type="spellEnd"/>
          </w:p>
        </w:tc>
        <w:tc>
          <w:tcPr>
            <w:tcW w:w="4968" w:type="dxa"/>
            <w:shd w:val="clear" w:color="auto" w:fill="DCE6F2"/>
            <w:tcMar>
              <w:top w:w="90" w:type="dxa"/>
              <w:left w:w="100" w:type="dxa"/>
              <w:bottom w:w="90" w:type="dxa"/>
              <w:right w:w="100" w:type="dxa"/>
            </w:tcMar>
            <w:vAlign w:val="center"/>
          </w:tcPr>
          <w:p w14:paraId="04162924" w14:textId="77777777" w:rsidR="0084721C" w:rsidRDefault="009B07FB">
            <w:pPr>
              <w:spacing w:line="252" w:lineRule="auto"/>
            </w:pPr>
            <w:r>
              <w:rPr>
                <w:b/>
                <w:sz w:val="17"/>
              </w:rPr>
              <w:t>契約與驗收要求</w:t>
            </w:r>
          </w:p>
        </w:tc>
      </w:tr>
      <w:tr w:rsidR="0084721C" w14:paraId="79B07A23" w14:textId="77777777">
        <w:trPr>
          <w:jc w:val="center"/>
        </w:trPr>
        <w:tc>
          <w:tcPr>
            <w:tcW w:w="4968" w:type="dxa"/>
            <w:tcMar>
              <w:top w:w="90" w:type="dxa"/>
              <w:left w:w="100" w:type="dxa"/>
              <w:bottom w:w="90" w:type="dxa"/>
              <w:right w:w="100" w:type="dxa"/>
            </w:tcMar>
            <w:vAlign w:val="center"/>
          </w:tcPr>
          <w:p w14:paraId="4A6B7130" w14:textId="77777777" w:rsidR="0084721C" w:rsidRDefault="009B07FB">
            <w:pPr>
              <w:spacing w:line="252" w:lineRule="auto"/>
            </w:pPr>
            <w:r>
              <w:rPr>
                <w:sz w:val="17"/>
              </w:rPr>
              <w:t>來源識別碼與版本</w:t>
            </w:r>
          </w:p>
        </w:tc>
        <w:tc>
          <w:tcPr>
            <w:tcW w:w="4968" w:type="dxa"/>
            <w:tcMar>
              <w:top w:w="90" w:type="dxa"/>
              <w:left w:w="100" w:type="dxa"/>
              <w:bottom w:w="90" w:type="dxa"/>
              <w:right w:w="100" w:type="dxa"/>
            </w:tcMar>
            <w:vAlign w:val="center"/>
          </w:tcPr>
          <w:p w14:paraId="16E210F0" w14:textId="77777777" w:rsidR="0084721C" w:rsidRDefault="009B07FB">
            <w:pPr>
              <w:spacing w:line="252" w:lineRule="auto"/>
              <w:rPr>
                <w:lang w:eastAsia="zh-TW"/>
              </w:rPr>
            </w:pPr>
            <w:r>
              <w:rPr>
                <w:sz w:val="17"/>
                <w:lang w:eastAsia="zh-TW"/>
              </w:rPr>
              <w:t>每一來源、切塊與向量索引可回連原始內容、取得時間與授權清</w:t>
            </w:r>
            <w:r>
              <w:rPr>
                <w:sz w:val="17"/>
                <w:lang w:eastAsia="zh-TW"/>
              </w:rPr>
              <w:t>冊。</w:t>
            </w:r>
          </w:p>
        </w:tc>
      </w:tr>
      <w:tr w:rsidR="0084721C" w14:paraId="117F1F61" w14:textId="77777777">
        <w:trPr>
          <w:jc w:val="center"/>
        </w:trPr>
        <w:tc>
          <w:tcPr>
            <w:tcW w:w="4968" w:type="dxa"/>
            <w:tcMar>
              <w:top w:w="90" w:type="dxa"/>
              <w:left w:w="100" w:type="dxa"/>
              <w:bottom w:w="90" w:type="dxa"/>
              <w:right w:w="100" w:type="dxa"/>
            </w:tcMar>
            <w:vAlign w:val="center"/>
          </w:tcPr>
          <w:p w14:paraId="024A7E57" w14:textId="77777777" w:rsidR="0084721C" w:rsidRDefault="009B07FB">
            <w:pPr>
              <w:spacing w:line="252" w:lineRule="auto"/>
            </w:pPr>
            <w:proofErr w:type="spellStart"/>
            <w:r>
              <w:rPr>
                <w:sz w:val="17"/>
              </w:rPr>
              <w:t>處理動作與時間戳</w:t>
            </w:r>
            <w:proofErr w:type="spellEnd"/>
          </w:p>
        </w:tc>
        <w:tc>
          <w:tcPr>
            <w:tcW w:w="4968" w:type="dxa"/>
            <w:tcMar>
              <w:top w:w="90" w:type="dxa"/>
              <w:left w:w="100" w:type="dxa"/>
              <w:bottom w:w="90" w:type="dxa"/>
              <w:right w:w="100" w:type="dxa"/>
            </w:tcMar>
            <w:vAlign w:val="center"/>
          </w:tcPr>
          <w:p w14:paraId="7EDD7930" w14:textId="77777777" w:rsidR="0084721C" w:rsidRDefault="009B07FB">
            <w:pPr>
              <w:spacing w:line="252" w:lineRule="auto"/>
              <w:rPr>
                <w:lang w:eastAsia="zh-TW"/>
              </w:rPr>
            </w:pPr>
            <w:r>
              <w:rPr>
                <w:sz w:val="17"/>
                <w:lang w:eastAsia="zh-TW"/>
              </w:rPr>
              <w:t>匯入、切塊、嵌入、檢索、輸出、微調、</w:t>
            </w:r>
            <w:r>
              <w:rPr>
                <w:sz w:val="17"/>
                <w:lang w:eastAsia="zh-TW"/>
              </w:rPr>
              <w:t>API</w:t>
            </w:r>
            <w:r>
              <w:rPr>
                <w:sz w:val="17"/>
                <w:lang w:eastAsia="zh-TW"/>
              </w:rPr>
              <w:t>傳送、刪除或隔離</w:t>
            </w:r>
            <w:proofErr w:type="gramStart"/>
            <w:r>
              <w:rPr>
                <w:sz w:val="17"/>
                <w:lang w:eastAsia="zh-TW"/>
              </w:rPr>
              <w:t>均須可</w:t>
            </w:r>
            <w:proofErr w:type="gramEnd"/>
            <w:r>
              <w:rPr>
                <w:sz w:val="17"/>
                <w:lang w:eastAsia="zh-TW"/>
              </w:rPr>
              <w:t>查。</w:t>
            </w:r>
          </w:p>
        </w:tc>
      </w:tr>
      <w:tr w:rsidR="0084721C" w14:paraId="79D21F75" w14:textId="77777777">
        <w:trPr>
          <w:jc w:val="center"/>
        </w:trPr>
        <w:tc>
          <w:tcPr>
            <w:tcW w:w="4968" w:type="dxa"/>
            <w:tcMar>
              <w:top w:w="90" w:type="dxa"/>
              <w:left w:w="100" w:type="dxa"/>
              <w:bottom w:w="90" w:type="dxa"/>
              <w:right w:w="100" w:type="dxa"/>
            </w:tcMar>
            <w:vAlign w:val="center"/>
          </w:tcPr>
          <w:p w14:paraId="54E376DF" w14:textId="77777777" w:rsidR="0084721C" w:rsidRDefault="009B07FB">
            <w:pPr>
              <w:spacing w:line="252" w:lineRule="auto"/>
            </w:pPr>
            <w:proofErr w:type="spellStart"/>
            <w:r>
              <w:rPr>
                <w:sz w:val="17"/>
              </w:rPr>
              <w:t>責任者與系統版本</w:t>
            </w:r>
            <w:proofErr w:type="spellEnd"/>
          </w:p>
        </w:tc>
        <w:tc>
          <w:tcPr>
            <w:tcW w:w="4968" w:type="dxa"/>
            <w:tcMar>
              <w:top w:w="90" w:type="dxa"/>
              <w:left w:w="100" w:type="dxa"/>
              <w:bottom w:w="90" w:type="dxa"/>
              <w:right w:w="100" w:type="dxa"/>
            </w:tcMar>
            <w:vAlign w:val="center"/>
          </w:tcPr>
          <w:p w14:paraId="3554306A" w14:textId="77777777" w:rsidR="0084721C" w:rsidRDefault="009B07FB">
            <w:pPr>
              <w:spacing w:line="252" w:lineRule="auto"/>
              <w:rPr>
                <w:lang w:eastAsia="zh-TW"/>
              </w:rPr>
            </w:pPr>
            <w:r>
              <w:rPr>
                <w:sz w:val="17"/>
                <w:lang w:eastAsia="zh-TW"/>
              </w:rPr>
              <w:t>保留執行者、承辦單位、模型／</w:t>
            </w:r>
            <w:r>
              <w:rPr>
                <w:sz w:val="17"/>
                <w:lang w:eastAsia="zh-TW"/>
              </w:rPr>
              <w:t>API</w:t>
            </w:r>
            <w:r>
              <w:rPr>
                <w:sz w:val="17"/>
                <w:lang w:eastAsia="zh-TW"/>
              </w:rPr>
              <w:t>／提示版本與部署環境。</w:t>
            </w:r>
          </w:p>
        </w:tc>
      </w:tr>
      <w:tr w:rsidR="0084721C" w14:paraId="6C087E34" w14:textId="77777777">
        <w:trPr>
          <w:jc w:val="center"/>
        </w:trPr>
        <w:tc>
          <w:tcPr>
            <w:tcW w:w="4968" w:type="dxa"/>
            <w:tcMar>
              <w:top w:w="90" w:type="dxa"/>
              <w:left w:w="100" w:type="dxa"/>
              <w:bottom w:w="90" w:type="dxa"/>
              <w:right w:w="100" w:type="dxa"/>
            </w:tcMar>
            <w:vAlign w:val="center"/>
          </w:tcPr>
          <w:p w14:paraId="0D0DBA40" w14:textId="77777777" w:rsidR="0084721C" w:rsidRDefault="009B07FB">
            <w:pPr>
              <w:spacing w:line="252" w:lineRule="auto"/>
            </w:pPr>
            <w:proofErr w:type="spellStart"/>
            <w:r>
              <w:rPr>
                <w:sz w:val="17"/>
              </w:rPr>
              <w:t>雜湊與完整性</w:t>
            </w:r>
            <w:proofErr w:type="spellEnd"/>
          </w:p>
        </w:tc>
        <w:tc>
          <w:tcPr>
            <w:tcW w:w="4968" w:type="dxa"/>
            <w:tcMar>
              <w:top w:w="90" w:type="dxa"/>
              <w:left w:w="100" w:type="dxa"/>
              <w:bottom w:w="90" w:type="dxa"/>
              <w:right w:w="100" w:type="dxa"/>
            </w:tcMar>
            <w:vAlign w:val="center"/>
          </w:tcPr>
          <w:p w14:paraId="62AEEEB5" w14:textId="77777777" w:rsidR="0084721C" w:rsidRDefault="009B07FB">
            <w:pPr>
              <w:spacing w:line="252" w:lineRule="auto"/>
              <w:rPr>
                <w:lang w:eastAsia="zh-TW"/>
              </w:rPr>
            </w:pPr>
            <w:r>
              <w:rPr>
                <w:sz w:val="17"/>
                <w:lang w:eastAsia="zh-TW"/>
              </w:rPr>
              <w:t>對原始日誌、匯出摘要與停止／刪除結果保留雜湊</w:t>
            </w:r>
            <w:proofErr w:type="gramStart"/>
            <w:r>
              <w:rPr>
                <w:sz w:val="17"/>
                <w:lang w:eastAsia="zh-TW"/>
              </w:rPr>
              <w:t>或等效完整性</w:t>
            </w:r>
            <w:proofErr w:type="gramEnd"/>
            <w:r>
              <w:rPr>
                <w:sz w:val="17"/>
                <w:lang w:eastAsia="zh-TW"/>
              </w:rPr>
              <w:t>驗證。</w:t>
            </w:r>
          </w:p>
        </w:tc>
      </w:tr>
      <w:tr w:rsidR="0084721C" w14:paraId="26F220FB" w14:textId="77777777">
        <w:trPr>
          <w:jc w:val="center"/>
        </w:trPr>
        <w:tc>
          <w:tcPr>
            <w:tcW w:w="4968" w:type="dxa"/>
            <w:tcMar>
              <w:top w:w="90" w:type="dxa"/>
              <w:left w:w="100" w:type="dxa"/>
              <w:bottom w:w="90" w:type="dxa"/>
              <w:right w:w="100" w:type="dxa"/>
            </w:tcMar>
            <w:vAlign w:val="center"/>
          </w:tcPr>
          <w:p w14:paraId="1CDE72AD" w14:textId="77777777" w:rsidR="0084721C" w:rsidRDefault="009B07FB">
            <w:pPr>
              <w:spacing w:line="252" w:lineRule="auto"/>
            </w:pPr>
            <w:proofErr w:type="spellStart"/>
            <w:r>
              <w:rPr>
                <w:sz w:val="17"/>
              </w:rPr>
              <w:t>不得覆寫與交付時限</w:t>
            </w:r>
            <w:proofErr w:type="spellEnd"/>
          </w:p>
        </w:tc>
        <w:tc>
          <w:tcPr>
            <w:tcW w:w="4968" w:type="dxa"/>
            <w:tcMar>
              <w:top w:w="90" w:type="dxa"/>
              <w:left w:w="100" w:type="dxa"/>
              <w:bottom w:w="90" w:type="dxa"/>
              <w:right w:w="100" w:type="dxa"/>
            </w:tcMar>
            <w:vAlign w:val="center"/>
          </w:tcPr>
          <w:p w14:paraId="1CE20BF9" w14:textId="77777777" w:rsidR="0084721C" w:rsidRDefault="009B07FB">
            <w:pPr>
              <w:spacing w:line="252" w:lineRule="auto"/>
              <w:rPr>
                <w:lang w:eastAsia="zh-TW"/>
              </w:rPr>
            </w:pPr>
            <w:r>
              <w:rPr>
                <w:sz w:val="17"/>
                <w:lang w:eastAsia="zh-TW"/>
              </w:rPr>
              <w:t>自具體異議或停止命令起，爭議資料與日誌不得刪除、覆寫或再利用；供應商須於契約載明期限內交付可核對摘要與受限閱覽副本。</w:t>
            </w:r>
          </w:p>
        </w:tc>
      </w:tr>
    </w:tbl>
    <w:p w14:paraId="31E808A3" w14:textId="77777777" w:rsidR="0084721C" w:rsidRDefault="0084721C">
      <w:pPr>
        <w:spacing w:after="40"/>
        <w:rPr>
          <w:lang w:eastAsia="zh-TW"/>
        </w:rPr>
      </w:pPr>
    </w:p>
    <w:p w14:paraId="2DA02BAF" w14:textId="77777777" w:rsidR="0084721C" w:rsidRDefault="009B07FB">
      <w:pPr>
        <w:spacing w:after="120" w:line="324" w:lineRule="auto"/>
        <w:rPr>
          <w:lang w:eastAsia="zh-TW"/>
        </w:rPr>
      </w:pPr>
      <w:r>
        <w:rPr>
          <w:lang w:eastAsia="zh-TW"/>
        </w:rPr>
        <w:t>這些要求使「可保全、可遮蔽、可查核」不再只是原則：遮蔽資料仍可保留來源識別碼、時間戳、處理動作、版本、責任者與完整性驗證，讓權利人能核對而不必取得其他人的</w:t>
      </w:r>
      <w:proofErr w:type="gramStart"/>
      <w:r>
        <w:rPr>
          <w:lang w:eastAsia="zh-TW"/>
        </w:rPr>
        <w:t>個</w:t>
      </w:r>
      <w:proofErr w:type="gramEnd"/>
      <w:r>
        <w:rPr>
          <w:lang w:eastAsia="zh-TW"/>
        </w:rPr>
        <w:t>資或政府機密。</w:t>
      </w:r>
    </w:p>
    <w:p w14:paraId="74B8A393" w14:textId="77777777" w:rsidR="0084721C" w:rsidRDefault="009B07FB">
      <w:pPr>
        <w:spacing w:after="140" w:line="324" w:lineRule="auto"/>
        <w:rPr>
          <w:lang w:eastAsia="zh-TW"/>
        </w:rPr>
      </w:pPr>
      <w:r>
        <w:rPr>
          <w:b/>
          <w:sz w:val="26"/>
          <w:lang w:eastAsia="zh-TW"/>
        </w:rPr>
        <w:t>（五）跨機關統籌責任、證據保全與對外入口</w:t>
      </w:r>
    </w:p>
    <w:p w14:paraId="6A6837C9" w14:textId="77777777" w:rsidR="0084721C" w:rsidRDefault="009B07FB">
      <w:pPr>
        <w:spacing w:after="120" w:line="324" w:lineRule="auto"/>
        <w:rPr>
          <w:lang w:eastAsia="zh-TW"/>
        </w:rPr>
      </w:pPr>
      <w:r>
        <w:rPr>
          <w:lang w:eastAsia="zh-TW"/>
        </w:rPr>
        <w:t>升級不是把案件送進另一場無止境的協調會，而是指定一位對跨機關事實整合、決策時程與一致對外說明負最終責任的統籌者。數發部、智慧財產局、國科會、經濟部、外交部與目的機關分別提出技術、權利、研究、產業、對外與事實判斷；但</w:t>
      </w:r>
      <w:r>
        <w:rPr>
          <w:lang w:eastAsia="zh-TW"/>
        </w:rPr>
        <w:t>Go</w:t>
      </w:r>
      <w:r>
        <w:rPr>
          <w:lang w:eastAsia="zh-TW"/>
        </w:rPr>
        <w:t>／</w:t>
      </w:r>
      <w:r>
        <w:rPr>
          <w:lang w:eastAsia="zh-TW"/>
        </w:rPr>
        <w:t>Conditional</w:t>
      </w:r>
      <w:r>
        <w:rPr>
          <w:lang w:eastAsia="zh-TW"/>
        </w:rPr>
        <w:t>／</w:t>
      </w:r>
      <w:r>
        <w:rPr>
          <w:lang w:eastAsia="zh-TW"/>
        </w:rPr>
        <w:t>No-Go</w:t>
      </w:r>
      <w:r>
        <w:rPr>
          <w:lang w:eastAsia="zh-TW"/>
        </w:rPr>
        <w:t>／</w:t>
      </w:r>
      <w:r>
        <w:rPr>
          <w:lang w:eastAsia="zh-TW"/>
        </w:rPr>
        <w:t>Stop</w:t>
      </w:r>
      <w:r>
        <w:rPr>
          <w:lang w:eastAsia="zh-TW"/>
        </w:rPr>
        <w:t>的決定，必須由有權的目的機關或依法</w:t>
      </w:r>
      <w:r>
        <w:rPr>
          <w:lang w:eastAsia="zh-TW"/>
        </w:rPr>
        <w:t>取得命令權者作成，統籌者則確保其不被拆散為互相矛盾的片段回覆。</w:t>
      </w:r>
    </w:p>
    <w:tbl>
      <w:tblPr>
        <w:tblStyle w:val="aff2"/>
        <w:tblW w:w="0" w:type="auto"/>
        <w:jc w:val="center"/>
        <w:tblLook w:val="04A0" w:firstRow="1" w:lastRow="0" w:firstColumn="1" w:lastColumn="0" w:noHBand="0" w:noVBand="1"/>
      </w:tblPr>
      <w:tblGrid>
        <w:gridCol w:w="3312"/>
        <w:gridCol w:w="3312"/>
        <w:gridCol w:w="3312"/>
      </w:tblGrid>
      <w:tr w:rsidR="0084721C" w14:paraId="3E5339AA" w14:textId="77777777">
        <w:trPr>
          <w:jc w:val="center"/>
        </w:trPr>
        <w:tc>
          <w:tcPr>
            <w:tcW w:w="3312" w:type="dxa"/>
            <w:shd w:val="clear" w:color="auto" w:fill="DCE6F2"/>
            <w:tcMar>
              <w:top w:w="90" w:type="dxa"/>
              <w:left w:w="100" w:type="dxa"/>
              <w:bottom w:w="90" w:type="dxa"/>
              <w:right w:w="100" w:type="dxa"/>
            </w:tcMar>
            <w:vAlign w:val="center"/>
          </w:tcPr>
          <w:p w14:paraId="3B30FDC0" w14:textId="77777777" w:rsidR="0084721C" w:rsidRDefault="009B07FB">
            <w:pPr>
              <w:spacing w:line="252" w:lineRule="auto"/>
            </w:pPr>
            <w:proofErr w:type="spellStart"/>
            <w:r>
              <w:rPr>
                <w:b/>
                <w:sz w:val="17"/>
              </w:rPr>
              <w:lastRenderedPageBreak/>
              <w:t>觸發指標</w:t>
            </w:r>
            <w:proofErr w:type="spellEnd"/>
          </w:p>
        </w:tc>
        <w:tc>
          <w:tcPr>
            <w:tcW w:w="3312" w:type="dxa"/>
            <w:shd w:val="clear" w:color="auto" w:fill="DCE6F2"/>
            <w:tcMar>
              <w:top w:w="90" w:type="dxa"/>
              <w:left w:w="100" w:type="dxa"/>
              <w:bottom w:w="90" w:type="dxa"/>
              <w:right w:w="100" w:type="dxa"/>
            </w:tcMar>
            <w:vAlign w:val="center"/>
          </w:tcPr>
          <w:p w14:paraId="61837F85" w14:textId="77777777" w:rsidR="0084721C" w:rsidRDefault="009B07FB">
            <w:pPr>
              <w:spacing w:line="252" w:lineRule="auto"/>
            </w:pPr>
            <w:r>
              <w:rPr>
                <w:b/>
                <w:sz w:val="17"/>
              </w:rPr>
              <w:t>最低啟動處置</w:t>
            </w:r>
          </w:p>
        </w:tc>
        <w:tc>
          <w:tcPr>
            <w:tcW w:w="3312" w:type="dxa"/>
            <w:shd w:val="clear" w:color="auto" w:fill="DCE6F2"/>
            <w:tcMar>
              <w:top w:w="90" w:type="dxa"/>
              <w:left w:w="100" w:type="dxa"/>
              <w:bottom w:w="90" w:type="dxa"/>
              <w:right w:w="100" w:type="dxa"/>
            </w:tcMar>
            <w:vAlign w:val="center"/>
          </w:tcPr>
          <w:p w14:paraId="0CC00A2E" w14:textId="77777777" w:rsidR="0084721C" w:rsidRDefault="009B07FB">
            <w:pPr>
              <w:spacing w:line="252" w:lineRule="auto"/>
              <w:rPr>
                <w:lang w:eastAsia="zh-TW"/>
              </w:rPr>
            </w:pPr>
            <w:r>
              <w:rPr>
                <w:b/>
                <w:sz w:val="17"/>
                <w:lang w:eastAsia="zh-TW"/>
              </w:rPr>
              <w:t>統籌者必須取得的證據</w:t>
            </w:r>
          </w:p>
        </w:tc>
      </w:tr>
      <w:tr w:rsidR="0084721C" w14:paraId="2E4A3C4E" w14:textId="77777777">
        <w:trPr>
          <w:jc w:val="center"/>
        </w:trPr>
        <w:tc>
          <w:tcPr>
            <w:tcW w:w="3312" w:type="dxa"/>
            <w:tcMar>
              <w:top w:w="90" w:type="dxa"/>
              <w:left w:w="100" w:type="dxa"/>
              <w:bottom w:w="90" w:type="dxa"/>
              <w:right w:w="100" w:type="dxa"/>
            </w:tcMar>
            <w:vAlign w:val="center"/>
          </w:tcPr>
          <w:p w14:paraId="19D7F604" w14:textId="77777777" w:rsidR="0084721C" w:rsidRDefault="009B07FB">
            <w:pPr>
              <w:spacing w:line="252" w:lineRule="auto"/>
              <w:rPr>
                <w:lang w:eastAsia="zh-TW"/>
              </w:rPr>
            </w:pPr>
            <w:r>
              <w:rPr>
                <w:sz w:val="17"/>
                <w:lang w:eastAsia="zh-TW"/>
              </w:rPr>
              <w:t>收到外國政府、法院、仲裁機構、境外律師團隊或權利人的具體通知</w:t>
            </w:r>
          </w:p>
        </w:tc>
        <w:tc>
          <w:tcPr>
            <w:tcW w:w="3312" w:type="dxa"/>
            <w:tcMar>
              <w:top w:w="90" w:type="dxa"/>
              <w:left w:w="100" w:type="dxa"/>
              <w:bottom w:w="90" w:type="dxa"/>
              <w:right w:w="100" w:type="dxa"/>
            </w:tcMar>
            <w:vAlign w:val="center"/>
          </w:tcPr>
          <w:p w14:paraId="0D05C755" w14:textId="77777777" w:rsidR="0084721C" w:rsidRDefault="009B07FB">
            <w:pPr>
              <w:spacing w:line="252" w:lineRule="auto"/>
              <w:rPr>
                <w:lang w:eastAsia="zh-TW"/>
              </w:rPr>
            </w:pPr>
            <w:r>
              <w:rPr>
                <w:sz w:val="17"/>
                <w:lang w:eastAsia="zh-TW"/>
              </w:rPr>
              <w:t>目的機關先</w:t>
            </w:r>
            <w:proofErr w:type="gramStart"/>
            <w:r>
              <w:rPr>
                <w:sz w:val="17"/>
                <w:lang w:eastAsia="zh-TW"/>
              </w:rPr>
              <w:t>採</w:t>
            </w:r>
            <w:proofErr w:type="gramEnd"/>
            <w:r>
              <w:rPr>
                <w:sz w:val="17"/>
                <w:lang w:eastAsia="zh-TW"/>
              </w:rPr>
              <w:t>預防性暫停與證據保全；通知中央窗口。</w:t>
            </w:r>
          </w:p>
        </w:tc>
        <w:tc>
          <w:tcPr>
            <w:tcW w:w="3312" w:type="dxa"/>
            <w:tcMar>
              <w:top w:w="90" w:type="dxa"/>
              <w:left w:w="100" w:type="dxa"/>
              <w:bottom w:w="90" w:type="dxa"/>
              <w:right w:w="100" w:type="dxa"/>
            </w:tcMar>
            <w:vAlign w:val="center"/>
          </w:tcPr>
          <w:p w14:paraId="31BCAD1F" w14:textId="77777777" w:rsidR="0084721C" w:rsidRDefault="009B07FB">
            <w:pPr>
              <w:spacing w:line="252" w:lineRule="auto"/>
              <w:rPr>
                <w:lang w:eastAsia="zh-TW"/>
              </w:rPr>
            </w:pPr>
            <w:r>
              <w:rPr>
                <w:sz w:val="17"/>
                <w:lang w:eastAsia="zh-TW"/>
              </w:rPr>
              <w:t>資料履歷、授權清冊、檢索／輸出／</w:t>
            </w:r>
            <w:r>
              <w:rPr>
                <w:sz w:val="17"/>
                <w:lang w:eastAsia="zh-TW"/>
              </w:rPr>
              <w:t>API</w:t>
            </w:r>
            <w:r>
              <w:rPr>
                <w:sz w:val="17"/>
                <w:lang w:eastAsia="zh-TW"/>
              </w:rPr>
              <w:t>日誌、契約與既有回覆。</w:t>
            </w:r>
          </w:p>
        </w:tc>
      </w:tr>
      <w:tr w:rsidR="0084721C" w14:paraId="39A653D8" w14:textId="77777777">
        <w:trPr>
          <w:jc w:val="center"/>
        </w:trPr>
        <w:tc>
          <w:tcPr>
            <w:tcW w:w="3312" w:type="dxa"/>
            <w:tcMar>
              <w:top w:w="90" w:type="dxa"/>
              <w:left w:w="100" w:type="dxa"/>
              <w:bottom w:w="90" w:type="dxa"/>
              <w:right w:w="100" w:type="dxa"/>
            </w:tcMar>
            <w:vAlign w:val="center"/>
          </w:tcPr>
          <w:p w14:paraId="70F83F18" w14:textId="77777777" w:rsidR="0084721C" w:rsidRDefault="009B07FB">
            <w:pPr>
              <w:spacing w:line="252" w:lineRule="auto"/>
              <w:rPr>
                <w:lang w:eastAsia="zh-TW"/>
              </w:rPr>
            </w:pPr>
            <w:r>
              <w:rPr>
                <w:sz w:val="17"/>
                <w:lang w:eastAsia="zh-TW"/>
              </w:rPr>
              <w:t>涉及跨國供應鏈核心元件、跨境資料流、資料庫或模型多層再授權</w:t>
            </w:r>
          </w:p>
        </w:tc>
        <w:tc>
          <w:tcPr>
            <w:tcW w:w="3312" w:type="dxa"/>
            <w:tcMar>
              <w:top w:w="90" w:type="dxa"/>
              <w:left w:w="100" w:type="dxa"/>
              <w:bottom w:w="90" w:type="dxa"/>
              <w:right w:w="100" w:type="dxa"/>
            </w:tcMar>
            <w:vAlign w:val="center"/>
          </w:tcPr>
          <w:p w14:paraId="7E9975D9" w14:textId="77777777" w:rsidR="0084721C" w:rsidRDefault="009B07FB">
            <w:pPr>
              <w:spacing w:line="252" w:lineRule="auto"/>
              <w:rPr>
                <w:lang w:eastAsia="zh-TW"/>
              </w:rPr>
            </w:pPr>
            <w:r>
              <w:rPr>
                <w:sz w:val="17"/>
                <w:lang w:eastAsia="zh-TW"/>
              </w:rPr>
              <w:t>盤點資料流、控制權、</w:t>
            </w:r>
            <w:proofErr w:type="gramStart"/>
            <w:r>
              <w:rPr>
                <w:sz w:val="17"/>
                <w:lang w:eastAsia="zh-TW"/>
              </w:rPr>
              <w:t>法域與</w:t>
            </w:r>
            <w:proofErr w:type="gramEnd"/>
            <w:r>
              <w:rPr>
                <w:sz w:val="17"/>
                <w:lang w:eastAsia="zh-TW"/>
              </w:rPr>
              <w:t>次供應商；必要時停止新增利用。</w:t>
            </w:r>
          </w:p>
        </w:tc>
        <w:tc>
          <w:tcPr>
            <w:tcW w:w="3312" w:type="dxa"/>
            <w:tcMar>
              <w:top w:w="90" w:type="dxa"/>
              <w:left w:w="100" w:type="dxa"/>
              <w:bottom w:w="90" w:type="dxa"/>
              <w:right w:w="100" w:type="dxa"/>
            </w:tcMar>
            <w:vAlign w:val="center"/>
          </w:tcPr>
          <w:p w14:paraId="604B0908" w14:textId="77777777" w:rsidR="0084721C" w:rsidRDefault="009B07FB">
            <w:pPr>
              <w:spacing w:line="252" w:lineRule="auto"/>
              <w:rPr>
                <w:lang w:eastAsia="zh-TW"/>
              </w:rPr>
            </w:pPr>
            <w:r>
              <w:rPr>
                <w:sz w:val="17"/>
                <w:lang w:eastAsia="zh-TW"/>
              </w:rPr>
              <w:t>原始</w:t>
            </w:r>
            <w:proofErr w:type="gramStart"/>
            <w:r>
              <w:rPr>
                <w:sz w:val="17"/>
                <w:lang w:eastAsia="zh-TW"/>
              </w:rPr>
              <w:t>法域、</w:t>
            </w:r>
            <w:proofErr w:type="gramEnd"/>
            <w:r>
              <w:rPr>
                <w:sz w:val="17"/>
                <w:lang w:eastAsia="zh-TW"/>
              </w:rPr>
              <w:t>再授權條款、部署地、</w:t>
            </w:r>
            <w:proofErr w:type="gramStart"/>
            <w:r>
              <w:rPr>
                <w:sz w:val="17"/>
                <w:lang w:eastAsia="zh-TW"/>
              </w:rPr>
              <w:t>分包鏈</w:t>
            </w:r>
            <w:proofErr w:type="gramEnd"/>
            <w:r>
              <w:rPr>
                <w:sz w:val="17"/>
                <w:lang w:eastAsia="zh-TW"/>
              </w:rPr>
              <w:t>與移除能力。</w:t>
            </w:r>
          </w:p>
        </w:tc>
      </w:tr>
      <w:tr w:rsidR="0084721C" w14:paraId="54F872F6" w14:textId="77777777">
        <w:trPr>
          <w:jc w:val="center"/>
        </w:trPr>
        <w:tc>
          <w:tcPr>
            <w:tcW w:w="3312" w:type="dxa"/>
            <w:tcMar>
              <w:top w:w="90" w:type="dxa"/>
              <w:left w:w="100" w:type="dxa"/>
              <w:bottom w:w="90" w:type="dxa"/>
              <w:right w:w="100" w:type="dxa"/>
            </w:tcMar>
            <w:vAlign w:val="center"/>
          </w:tcPr>
          <w:p w14:paraId="3CEB5A70" w14:textId="77777777" w:rsidR="0084721C" w:rsidRDefault="009B07FB">
            <w:pPr>
              <w:spacing w:line="252" w:lineRule="auto"/>
              <w:rPr>
                <w:lang w:eastAsia="zh-TW"/>
              </w:rPr>
            </w:pPr>
            <w:r>
              <w:rPr>
                <w:sz w:val="17"/>
                <w:lang w:eastAsia="zh-TW"/>
              </w:rPr>
              <w:t>涉及重大公共服務、敏感技術、出口管制、國安或可能造成重大產業／外交影響</w:t>
            </w:r>
          </w:p>
        </w:tc>
        <w:tc>
          <w:tcPr>
            <w:tcW w:w="3312" w:type="dxa"/>
            <w:tcMar>
              <w:top w:w="90" w:type="dxa"/>
              <w:left w:w="100" w:type="dxa"/>
              <w:bottom w:w="90" w:type="dxa"/>
              <w:right w:w="100" w:type="dxa"/>
            </w:tcMar>
            <w:vAlign w:val="center"/>
          </w:tcPr>
          <w:p w14:paraId="2BF953C7" w14:textId="77777777" w:rsidR="0084721C" w:rsidRDefault="009B07FB">
            <w:pPr>
              <w:spacing w:line="252" w:lineRule="auto"/>
              <w:rPr>
                <w:lang w:eastAsia="zh-TW"/>
              </w:rPr>
            </w:pPr>
            <w:r>
              <w:rPr>
                <w:sz w:val="17"/>
                <w:lang w:eastAsia="zh-TW"/>
              </w:rPr>
              <w:t>由有權機關依既有法定或契約工具停止、隔離、保密；統籌者促成跨程序決策與對外協調。</w:t>
            </w:r>
          </w:p>
        </w:tc>
        <w:tc>
          <w:tcPr>
            <w:tcW w:w="3312" w:type="dxa"/>
            <w:tcMar>
              <w:top w:w="90" w:type="dxa"/>
              <w:left w:w="100" w:type="dxa"/>
              <w:bottom w:w="90" w:type="dxa"/>
              <w:right w:w="100" w:type="dxa"/>
            </w:tcMar>
            <w:vAlign w:val="center"/>
          </w:tcPr>
          <w:p w14:paraId="170FD203" w14:textId="77777777" w:rsidR="0084721C" w:rsidRDefault="009B07FB">
            <w:pPr>
              <w:spacing w:line="252" w:lineRule="auto"/>
              <w:rPr>
                <w:lang w:eastAsia="zh-TW"/>
              </w:rPr>
            </w:pPr>
            <w:r>
              <w:rPr>
                <w:sz w:val="17"/>
                <w:lang w:eastAsia="zh-TW"/>
              </w:rPr>
              <w:t>停止與隔離紀錄、系統存取日誌、</w:t>
            </w:r>
            <w:proofErr w:type="gramStart"/>
            <w:r>
              <w:rPr>
                <w:sz w:val="17"/>
                <w:lang w:eastAsia="zh-TW"/>
              </w:rPr>
              <w:t>資安</w:t>
            </w:r>
            <w:proofErr w:type="gramEnd"/>
            <w:r>
              <w:rPr>
                <w:sz w:val="17"/>
                <w:lang w:eastAsia="zh-TW"/>
              </w:rPr>
              <w:t>／保密評估、對外說明與補救紀錄。</w:t>
            </w:r>
          </w:p>
        </w:tc>
      </w:tr>
    </w:tbl>
    <w:p w14:paraId="5A5F3835" w14:textId="77777777" w:rsidR="0084721C" w:rsidRDefault="0084721C">
      <w:pPr>
        <w:spacing w:after="40"/>
        <w:rPr>
          <w:lang w:eastAsia="zh-TW"/>
        </w:rPr>
      </w:pPr>
    </w:p>
    <w:p w14:paraId="11FC383A" w14:textId="77777777" w:rsidR="0084721C" w:rsidRDefault="009B07FB">
      <w:pPr>
        <w:spacing w:after="120" w:line="324" w:lineRule="auto"/>
        <w:rPr>
          <w:lang w:eastAsia="zh-TW"/>
        </w:rPr>
      </w:pPr>
      <w:r>
        <w:rPr>
          <w:lang w:eastAsia="zh-TW"/>
        </w:rPr>
        <w:t>日誌保全不是技術附錄，而是國家能否說明自己做過什麼、沒有做什麼的客觀證據。它必須能證明爭議資料是否僅存在於</w:t>
      </w:r>
      <w:r>
        <w:rPr>
          <w:lang w:eastAsia="zh-TW"/>
        </w:rPr>
        <w:t>RAG</w:t>
      </w:r>
      <w:r>
        <w:rPr>
          <w:lang w:eastAsia="zh-TW"/>
        </w:rPr>
        <w:t>索引、是否曾被檢索或輸出、是否進入微調或訓練、是否曾透過</w:t>
      </w:r>
      <w:r>
        <w:rPr>
          <w:lang w:eastAsia="zh-TW"/>
        </w:rPr>
        <w:t>API</w:t>
      </w:r>
      <w:r>
        <w:rPr>
          <w:lang w:eastAsia="zh-TW"/>
        </w:rPr>
        <w:t>傳送到境外服務，以及停止命令是否確實被執行。保全也不等於把所有日誌對外公開：完整副本應限依法授權的調查、司法或保密程序使用；權利人取得可核對的來源、處理、停止與補救摘要；社會大眾則取得制度性統計與程序說明。</w:t>
      </w:r>
      <w:proofErr w:type="gramStart"/>
      <w:r>
        <w:rPr>
          <w:lang w:eastAsia="zh-TW"/>
        </w:rPr>
        <w:t>個</w:t>
      </w:r>
      <w:proofErr w:type="gramEnd"/>
      <w:r>
        <w:rPr>
          <w:lang w:eastAsia="zh-TW"/>
        </w:rPr>
        <w:t>資、營業秘密、國防機密</w:t>
      </w:r>
      <w:proofErr w:type="gramStart"/>
      <w:r>
        <w:rPr>
          <w:lang w:eastAsia="zh-TW"/>
        </w:rPr>
        <w:t>與資安防</w:t>
      </w:r>
      <w:proofErr w:type="gramEnd"/>
      <w:r>
        <w:rPr>
          <w:lang w:eastAsia="zh-TW"/>
        </w:rPr>
        <w:t>護資訊可依法遮蔽或採受限閱覽，但不得以保密為由拒絕保全或完全拒絕說明。</w:t>
      </w:r>
    </w:p>
    <w:tbl>
      <w:tblPr>
        <w:tblStyle w:val="aff2"/>
        <w:tblW w:w="0" w:type="auto"/>
        <w:jc w:val="center"/>
        <w:tblLook w:val="04A0" w:firstRow="1" w:lastRow="0" w:firstColumn="1" w:lastColumn="0" w:noHBand="0" w:noVBand="1"/>
      </w:tblPr>
      <w:tblGrid>
        <w:gridCol w:w="2484"/>
        <w:gridCol w:w="2484"/>
        <w:gridCol w:w="2484"/>
        <w:gridCol w:w="2484"/>
      </w:tblGrid>
      <w:tr w:rsidR="0084721C" w14:paraId="6083C5D7" w14:textId="77777777">
        <w:trPr>
          <w:jc w:val="center"/>
        </w:trPr>
        <w:tc>
          <w:tcPr>
            <w:tcW w:w="2484" w:type="dxa"/>
            <w:shd w:val="clear" w:color="auto" w:fill="DCE6F2"/>
            <w:tcMar>
              <w:top w:w="90" w:type="dxa"/>
              <w:left w:w="100" w:type="dxa"/>
              <w:bottom w:w="90" w:type="dxa"/>
              <w:right w:w="100" w:type="dxa"/>
            </w:tcMar>
            <w:vAlign w:val="center"/>
          </w:tcPr>
          <w:p w14:paraId="1405BCEC" w14:textId="77777777" w:rsidR="0084721C" w:rsidRDefault="009B07FB">
            <w:pPr>
              <w:spacing w:line="252" w:lineRule="auto"/>
            </w:pPr>
            <w:proofErr w:type="spellStart"/>
            <w:r>
              <w:rPr>
                <w:b/>
                <w:sz w:val="17"/>
              </w:rPr>
              <w:t>統籌選項</w:t>
            </w:r>
            <w:proofErr w:type="spellEnd"/>
          </w:p>
        </w:tc>
        <w:tc>
          <w:tcPr>
            <w:tcW w:w="2484" w:type="dxa"/>
            <w:shd w:val="clear" w:color="auto" w:fill="DCE6F2"/>
            <w:tcMar>
              <w:top w:w="90" w:type="dxa"/>
              <w:left w:w="100" w:type="dxa"/>
              <w:bottom w:w="90" w:type="dxa"/>
              <w:right w:w="100" w:type="dxa"/>
            </w:tcMar>
            <w:vAlign w:val="center"/>
          </w:tcPr>
          <w:p w14:paraId="3B2D77E3" w14:textId="77777777" w:rsidR="0084721C" w:rsidRDefault="009B07FB">
            <w:pPr>
              <w:spacing w:line="252" w:lineRule="auto"/>
            </w:pPr>
            <w:r>
              <w:rPr>
                <w:b/>
                <w:sz w:val="17"/>
              </w:rPr>
              <w:t>優點</w:t>
            </w:r>
          </w:p>
        </w:tc>
        <w:tc>
          <w:tcPr>
            <w:tcW w:w="2484" w:type="dxa"/>
            <w:shd w:val="clear" w:color="auto" w:fill="DCE6F2"/>
            <w:tcMar>
              <w:top w:w="90" w:type="dxa"/>
              <w:left w:w="100" w:type="dxa"/>
              <w:bottom w:w="90" w:type="dxa"/>
              <w:right w:w="100" w:type="dxa"/>
            </w:tcMar>
            <w:vAlign w:val="center"/>
          </w:tcPr>
          <w:p w14:paraId="5A5D043F" w14:textId="77777777" w:rsidR="0084721C" w:rsidRDefault="009B07FB">
            <w:pPr>
              <w:spacing w:line="252" w:lineRule="auto"/>
            </w:pPr>
            <w:r>
              <w:rPr>
                <w:b/>
                <w:sz w:val="17"/>
              </w:rPr>
              <w:t>主要風險</w:t>
            </w:r>
          </w:p>
        </w:tc>
        <w:tc>
          <w:tcPr>
            <w:tcW w:w="2484" w:type="dxa"/>
            <w:shd w:val="clear" w:color="auto" w:fill="DCE6F2"/>
            <w:tcMar>
              <w:top w:w="90" w:type="dxa"/>
              <w:left w:w="100" w:type="dxa"/>
              <w:bottom w:w="90" w:type="dxa"/>
              <w:right w:w="100" w:type="dxa"/>
            </w:tcMar>
            <w:vAlign w:val="center"/>
          </w:tcPr>
          <w:p w14:paraId="3D78DB59" w14:textId="77777777" w:rsidR="0084721C" w:rsidRDefault="009B07FB">
            <w:pPr>
              <w:spacing w:line="252" w:lineRule="auto"/>
            </w:pPr>
            <w:r>
              <w:rPr>
                <w:b/>
                <w:sz w:val="17"/>
              </w:rPr>
              <w:t>本</w:t>
            </w:r>
            <w:r>
              <w:rPr>
                <w:b/>
                <w:sz w:val="17"/>
              </w:rPr>
              <w:t>文判斷</w:t>
            </w:r>
          </w:p>
        </w:tc>
      </w:tr>
      <w:tr w:rsidR="0084721C" w14:paraId="3F2D836A" w14:textId="77777777">
        <w:trPr>
          <w:jc w:val="center"/>
        </w:trPr>
        <w:tc>
          <w:tcPr>
            <w:tcW w:w="2484" w:type="dxa"/>
            <w:tcMar>
              <w:top w:w="90" w:type="dxa"/>
              <w:left w:w="100" w:type="dxa"/>
              <w:bottom w:w="90" w:type="dxa"/>
              <w:right w:w="100" w:type="dxa"/>
            </w:tcMar>
            <w:vAlign w:val="center"/>
          </w:tcPr>
          <w:p w14:paraId="3A49A126" w14:textId="77777777" w:rsidR="0084721C" w:rsidRDefault="009B07FB">
            <w:pPr>
              <w:spacing w:line="252" w:lineRule="auto"/>
              <w:rPr>
                <w:lang w:eastAsia="zh-TW"/>
              </w:rPr>
            </w:pPr>
            <w:r>
              <w:rPr>
                <w:sz w:val="17"/>
                <w:lang w:eastAsia="zh-TW"/>
              </w:rPr>
              <w:t>行政院常設政府</w:t>
            </w:r>
            <w:r>
              <w:rPr>
                <w:sz w:val="17"/>
                <w:lang w:eastAsia="zh-TW"/>
              </w:rPr>
              <w:t>AI</w:t>
            </w:r>
            <w:r>
              <w:rPr>
                <w:sz w:val="17"/>
                <w:lang w:eastAsia="zh-TW"/>
              </w:rPr>
              <w:t>權利責任辦公室／指定政務委員</w:t>
            </w:r>
          </w:p>
        </w:tc>
        <w:tc>
          <w:tcPr>
            <w:tcW w:w="2484" w:type="dxa"/>
            <w:tcMar>
              <w:top w:w="90" w:type="dxa"/>
              <w:left w:w="100" w:type="dxa"/>
              <w:bottom w:w="90" w:type="dxa"/>
              <w:right w:w="100" w:type="dxa"/>
            </w:tcMar>
            <w:vAlign w:val="center"/>
          </w:tcPr>
          <w:p w14:paraId="35B7F2B1" w14:textId="77777777" w:rsidR="0084721C" w:rsidRDefault="009B07FB">
            <w:pPr>
              <w:spacing w:line="252" w:lineRule="auto"/>
              <w:rPr>
                <w:lang w:eastAsia="zh-TW"/>
              </w:rPr>
            </w:pPr>
            <w:r>
              <w:rPr>
                <w:sz w:val="17"/>
                <w:lang w:eastAsia="zh-TW"/>
              </w:rPr>
              <w:t>可橫跨數位、智財、採購、經貿與外交，適合統整事實、時程與對外說明。</w:t>
            </w:r>
          </w:p>
        </w:tc>
        <w:tc>
          <w:tcPr>
            <w:tcW w:w="2484" w:type="dxa"/>
            <w:tcMar>
              <w:top w:w="90" w:type="dxa"/>
              <w:left w:w="100" w:type="dxa"/>
              <w:bottom w:w="90" w:type="dxa"/>
              <w:right w:w="100" w:type="dxa"/>
            </w:tcMar>
            <w:vAlign w:val="center"/>
          </w:tcPr>
          <w:p w14:paraId="6CE63981" w14:textId="77777777" w:rsidR="0084721C" w:rsidRDefault="009B07FB">
            <w:pPr>
              <w:spacing w:line="252" w:lineRule="auto"/>
              <w:rPr>
                <w:lang w:eastAsia="zh-TW"/>
              </w:rPr>
            </w:pPr>
            <w:proofErr w:type="gramStart"/>
            <w:r>
              <w:rPr>
                <w:sz w:val="17"/>
                <w:lang w:eastAsia="zh-TW"/>
              </w:rPr>
              <w:t>不</w:t>
            </w:r>
            <w:proofErr w:type="gramEnd"/>
            <w:r>
              <w:rPr>
                <w:sz w:val="17"/>
                <w:lang w:eastAsia="zh-TW"/>
              </w:rPr>
              <w:t>當然具有對機關或供應商的直接命令權，須由既有權責機關或法律授權補足。</w:t>
            </w:r>
          </w:p>
        </w:tc>
        <w:tc>
          <w:tcPr>
            <w:tcW w:w="2484" w:type="dxa"/>
            <w:tcMar>
              <w:top w:w="90" w:type="dxa"/>
              <w:left w:w="100" w:type="dxa"/>
              <w:bottom w:w="90" w:type="dxa"/>
              <w:right w:w="100" w:type="dxa"/>
            </w:tcMar>
            <w:vAlign w:val="center"/>
          </w:tcPr>
          <w:p w14:paraId="5738F576" w14:textId="77777777" w:rsidR="0084721C" w:rsidRDefault="009B07FB">
            <w:pPr>
              <w:spacing w:line="252" w:lineRule="auto"/>
              <w:rPr>
                <w:lang w:eastAsia="zh-TW"/>
              </w:rPr>
            </w:pPr>
            <w:r>
              <w:rPr>
                <w:sz w:val="17"/>
                <w:lang w:eastAsia="zh-TW"/>
              </w:rPr>
              <w:t>適合作為重大跨境事件的統籌者。</w:t>
            </w:r>
          </w:p>
        </w:tc>
      </w:tr>
      <w:tr w:rsidR="0084721C" w14:paraId="181D696F" w14:textId="77777777">
        <w:trPr>
          <w:jc w:val="center"/>
        </w:trPr>
        <w:tc>
          <w:tcPr>
            <w:tcW w:w="2484" w:type="dxa"/>
            <w:tcMar>
              <w:top w:w="90" w:type="dxa"/>
              <w:left w:w="100" w:type="dxa"/>
              <w:bottom w:w="90" w:type="dxa"/>
              <w:right w:w="100" w:type="dxa"/>
            </w:tcMar>
            <w:vAlign w:val="center"/>
          </w:tcPr>
          <w:p w14:paraId="5017414A" w14:textId="77777777" w:rsidR="0084721C" w:rsidRDefault="009B07FB">
            <w:pPr>
              <w:spacing w:line="252" w:lineRule="auto"/>
              <w:rPr>
                <w:lang w:eastAsia="zh-TW"/>
              </w:rPr>
            </w:pPr>
            <w:r>
              <w:rPr>
                <w:sz w:val="17"/>
                <w:lang w:eastAsia="zh-TW"/>
              </w:rPr>
              <w:t>數</w:t>
            </w:r>
            <w:proofErr w:type="gramStart"/>
            <w:r>
              <w:rPr>
                <w:sz w:val="17"/>
                <w:lang w:eastAsia="zh-TW"/>
              </w:rPr>
              <w:t>發部主責</w:t>
            </w:r>
            <w:proofErr w:type="gramEnd"/>
            <w:r>
              <w:rPr>
                <w:sz w:val="17"/>
                <w:lang w:eastAsia="zh-TW"/>
              </w:rPr>
              <w:t>、行政院授權協調</w:t>
            </w:r>
          </w:p>
        </w:tc>
        <w:tc>
          <w:tcPr>
            <w:tcW w:w="2484" w:type="dxa"/>
            <w:tcMar>
              <w:top w:w="90" w:type="dxa"/>
              <w:left w:w="100" w:type="dxa"/>
              <w:bottom w:w="90" w:type="dxa"/>
              <w:right w:w="100" w:type="dxa"/>
            </w:tcMar>
            <w:vAlign w:val="center"/>
          </w:tcPr>
          <w:p w14:paraId="27308E2C" w14:textId="77777777" w:rsidR="0084721C" w:rsidRDefault="009B07FB">
            <w:pPr>
              <w:spacing w:line="252" w:lineRule="auto"/>
              <w:rPr>
                <w:lang w:eastAsia="zh-TW"/>
              </w:rPr>
            </w:pPr>
            <w:r>
              <w:rPr>
                <w:sz w:val="17"/>
                <w:lang w:eastAsia="zh-TW"/>
              </w:rPr>
              <w:t>技術與政府</w:t>
            </w:r>
            <w:r>
              <w:rPr>
                <w:sz w:val="17"/>
                <w:lang w:eastAsia="zh-TW"/>
              </w:rPr>
              <w:t>AI</w:t>
            </w:r>
            <w:r>
              <w:rPr>
                <w:sz w:val="17"/>
                <w:lang w:eastAsia="zh-TW"/>
              </w:rPr>
              <w:t>導入經驗較集中，日常案件可迅速接軌。</w:t>
            </w:r>
          </w:p>
        </w:tc>
        <w:tc>
          <w:tcPr>
            <w:tcW w:w="2484" w:type="dxa"/>
            <w:tcMar>
              <w:top w:w="90" w:type="dxa"/>
              <w:left w:w="100" w:type="dxa"/>
              <w:bottom w:w="90" w:type="dxa"/>
              <w:right w:w="100" w:type="dxa"/>
            </w:tcMar>
            <w:vAlign w:val="center"/>
          </w:tcPr>
          <w:p w14:paraId="0CCB031B" w14:textId="77777777" w:rsidR="0084721C" w:rsidRDefault="009B07FB">
            <w:pPr>
              <w:spacing w:line="252" w:lineRule="auto"/>
              <w:rPr>
                <w:lang w:eastAsia="zh-TW"/>
              </w:rPr>
            </w:pPr>
            <w:r>
              <w:rPr>
                <w:sz w:val="17"/>
                <w:lang w:eastAsia="zh-TW"/>
              </w:rPr>
              <w:t>智財、經貿、外交與國安權限不足。</w:t>
            </w:r>
          </w:p>
        </w:tc>
        <w:tc>
          <w:tcPr>
            <w:tcW w:w="2484" w:type="dxa"/>
            <w:tcMar>
              <w:top w:w="90" w:type="dxa"/>
              <w:left w:w="100" w:type="dxa"/>
              <w:bottom w:w="90" w:type="dxa"/>
              <w:right w:w="100" w:type="dxa"/>
            </w:tcMar>
            <w:vAlign w:val="center"/>
          </w:tcPr>
          <w:p w14:paraId="6342E378" w14:textId="77777777" w:rsidR="0084721C" w:rsidRDefault="009B07FB">
            <w:pPr>
              <w:spacing w:line="252" w:lineRule="auto"/>
              <w:rPr>
                <w:lang w:eastAsia="zh-TW"/>
              </w:rPr>
            </w:pPr>
            <w:r>
              <w:rPr>
                <w:sz w:val="17"/>
                <w:lang w:eastAsia="zh-TW"/>
              </w:rPr>
              <w:t>可作平時標準與技術窗口，不宜單獨承擔重大事件最終統籌。</w:t>
            </w:r>
          </w:p>
        </w:tc>
      </w:tr>
      <w:tr w:rsidR="0084721C" w14:paraId="49A6608F" w14:textId="77777777">
        <w:trPr>
          <w:jc w:val="center"/>
        </w:trPr>
        <w:tc>
          <w:tcPr>
            <w:tcW w:w="2484" w:type="dxa"/>
            <w:tcMar>
              <w:top w:w="90" w:type="dxa"/>
              <w:left w:w="100" w:type="dxa"/>
              <w:bottom w:w="90" w:type="dxa"/>
              <w:right w:w="100" w:type="dxa"/>
            </w:tcMar>
            <w:vAlign w:val="center"/>
          </w:tcPr>
          <w:p w14:paraId="3B627DF3" w14:textId="77777777" w:rsidR="0084721C" w:rsidRDefault="009B07FB">
            <w:pPr>
              <w:spacing w:line="252" w:lineRule="auto"/>
              <w:rPr>
                <w:lang w:eastAsia="zh-TW"/>
              </w:rPr>
            </w:pPr>
            <w:r>
              <w:rPr>
                <w:sz w:val="17"/>
                <w:lang w:eastAsia="zh-TW"/>
              </w:rPr>
              <w:t>個案專案編組／臨時跨部會會議</w:t>
            </w:r>
          </w:p>
        </w:tc>
        <w:tc>
          <w:tcPr>
            <w:tcW w:w="2484" w:type="dxa"/>
            <w:tcMar>
              <w:top w:w="90" w:type="dxa"/>
              <w:left w:w="100" w:type="dxa"/>
              <w:bottom w:w="90" w:type="dxa"/>
              <w:right w:w="100" w:type="dxa"/>
            </w:tcMar>
            <w:vAlign w:val="center"/>
          </w:tcPr>
          <w:p w14:paraId="4C8696B6" w14:textId="77777777" w:rsidR="0084721C" w:rsidRDefault="009B07FB">
            <w:pPr>
              <w:spacing w:line="252" w:lineRule="auto"/>
              <w:rPr>
                <w:lang w:eastAsia="zh-TW"/>
              </w:rPr>
            </w:pPr>
            <w:r>
              <w:rPr>
                <w:sz w:val="17"/>
                <w:lang w:eastAsia="zh-TW"/>
              </w:rPr>
              <w:t>設置成本低，易因應少數突發案件。</w:t>
            </w:r>
          </w:p>
        </w:tc>
        <w:tc>
          <w:tcPr>
            <w:tcW w:w="2484" w:type="dxa"/>
            <w:tcMar>
              <w:top w:w="90" w:type="dxa"/>
              <w:left w:w="100" w:type="dxa"/>
              <w:bottom w:w="90" w:type="dxa"/>
              <w:right w:w="100" w:type="dxa"/>
            </w:tcMar>
            <w:vAlign w:val="center"/>
          </w:tcPr>
          <w:p w14:paraId="6250B03D" w14:textId="77777777" w:rsidR="0084721C" w:rsidRDefault="009B07FB">
            <w:pPr>
              <w:spacing w:line="252" w:lineRule="auto"/>
              <w:rPr>
                <w:lang w:eastAsia="zh-TW"/>
              </w:rPr>
            </w:pPr>
            <w:r>
              <w:rPr>
                <w:sz w:val="17"/>
                <w:lang w:eastAsia="zh-TW"/>
              </w:rPr>
              <w:t>最容易重回多手政府：無固定窗口、無既</w:t>
            </w:r>
            <w:proofErr w:type="gramStart"/>
            <w:r>
              <w:rPr>
                <w:sz w:val="17"/>
                <w:lang w:eastAsia="zh-TW"/>
              </w:rPr>
              <w:t>存證據包</w:t>
            </w:r>
            <w:proofErr w:type="gramEnd"/>
            <w:r>
              <w:rPr>
                <w:sz w:val="17"/>
                <w:lang w:eastAsia="zh-TW"/>
              </w:rPr>
              <w:t>、無法即時停止。</w:t>
            </w:r>
          </w:p>
        </w:tc>
        <w:tc>
          <w:tcPr>
            <w:tcW w:w="2484" w:type="dxa"/>
            <w:tcMar>
              <w:top w:w="90" w:type="dxa"/>
              <w:left w:w="100" w:type="dxa"/>
              <w:bottom w:w="90" w:type="dxa"/>
              <w:right w:w="100" w:type="dxa"/>
            </w:tcMar>
            <w:vAlign w:val="center"/>
          </w:tcPr>
          <w:p w14:paraId="4C85F21F" w14:textId="77777777" w:rsidR="0084721C" w:rsidRDefault="009B07FB">
            <w:pPr>
              <w:spacing w:line="252" w:lineRule="auto"/>
              <w:rPr>
                <w:lang w:eastAsia="zh-TW"/>
              </w:rPr>
            </w:pPr>
            <w:r>
              <w:rPr>
                <w:sz w:val="17"/>
                <w:lang w:eastAsia="zh-TW"/>
              </w:rPr>
              <w:t>僅能作專業支援，不得取代單一統籌責任者。</w:t>
            </w:r>
          </w:p>
        </w:tc>
      </w:tr>
    </w:tbl>
    <w:p w14:paraId="0ED32ADD" w14:textId="77777777" w:rsidR="0084721C" w:rsidRDefault="0084721C">
      <w:pPr>
        <w:spacing w:after="40"/>
        <w:rPr>
          <w:lang w:eastAsia="zh-TW"/>
        </w:rPr>
      </w:pPr>
    </w:p>
    <w:p w14:paraId="56201CC0" w14:textId="77777777" w:rsidR="0084721C" w:rsidRDefault="009B07FB">
      <w:pPr>
        <w:spacing w:after="120" w:line="324" w:lineRule="auto"/>
        <w:rPr>
          <w:lang w:eastAsia="zh-TW"/>
        </w:rPr>
      </w:pPr>
      <w:r>
        <w:rPr>
          <w:lang w:eastAsia="zh-TW"/>
        </w:rPr>
        <w:t>外國權利人與合作方的入口至少應提供中、英文</w:t>
      </w:r>
      <w:proofErr w:type="gramStart"/>
      <w:r>
        <w:rPr>
          <w:lang w:eastAsia="zh-TW"/>
        </w:rPr>
        <w:t>雙語頁面</w:t>
      </w:r>
      <w:proofErr w:type="gramEnd"/>
      <w:r>
        <w:rPr>
          <w:lang w:eastAsia="zh-TW"/>
        </w:rPr>
        <w:t>與指定對外聯絡窗口，載明收件確認、預防性暫停、補件、理由回覆與升級的基本時程；時差、語言</w:t>
      </w:r>
      <w:proofErr w:type="gramStart"/>
      <w:r>
        <w:rPr>
          <w:lang w:eastAsia="zh-TW"/>
        </w:rPr>
        <w:t>與法域差異</w:t>
      </w:r>
      <w:proofErr w:type="gramEnd"/>
      <w:r>
        <w:rPr>
          <w:lang w:eastAsia="zh-TW"/>
        </w:rPr>
        <w:t>不能成為拖延第一回應的理由。</w:t>
      </w:r>
    </w:p>
    <w:p w14:paraId="28FBE1FF" w14:textId="77777777" w:rsidR="0084721C" w:rsidRDefault="009B07FB">
      <w:pPr>
        <w:spacing w:after="100" w:line="324" w:lineRule="auto"/>
        <w:rPr>
          <w:lang w:eastAsia="zh-TW"/>
        </w:rPr>
      </w:pPr>
      <w:r>
        <w:rPr>
          <w:b/>
          <w:sz w:val="23"/>
          <w:lang w:eastAsia="zh-TW"/>
        </w:rPr>
        <w:t>日誌的遮蔽、受限閱覽與可驗證說明</w:t>
      </w:r>
    </w:p>
    <w:p w14:paraId="6219AADB" w14:textId="77777777" w:rsidR="0084721C" w:rsidRDefault="009B07FB">
      <w:pPr>
        <w:spacing w:after="120" w:line="324" w:lineRule="auto"/>
        <w:rPr>
          <w:lang w:eastAsia="zh-TW"/>
        </w:rPr>
      </w:pPr>
      <w:r>
        <w:rPr>
          <w:lang w:eastAsia="zh-TW"/>
        </w:rPr>
        <w:t>RAG</w:t>
      </w:r>
      <w:r>
        <w:rPr>
          <w:lang w:eastAsia="zh-TW"/>
        </w:rPr>
        <w:t>與</w:t>
      </w:r>
      <w:r>
        <w:rPr>
          <w:lang w:eastAsia="zh-TW"/>
        </w:rPr>
        <w:t>API</w:t>
      </w:r>
      <w:r>
        <w:rPr>
          <w:lang w:eastAsia="zh-TW"/>
        </w:rPr>
        <w:t>日誌可能含有個人資料、公務機密、營業秘密</w:t>
      </w:r>
      <w:proofErr w:type="gramStart"/>
      <w:r>
        <w:rPr>
          <w:lang w:eastAsia="zh-TW"/>
        </w:rPr>
        <w:t>或資安防護</w:t>
      </w:r>
      <w:proofErr w:type="gramEnd"/>
      <w:r>
        <w:rPr>
          <w:lang w:eastAsia="zh-TW"/>
        </w:rPr>
        <w:t>資訊。故第十九篇主張的日誌保全，必須搭配「先保全、再分層閱覽」而非「一律公開」：完整原始日誌封存於受控環境；對境外權利人提供經</w:t>
      </w:r>
      <w:r>
        <w:rPr>
          <w:lang w:eastAsia="zh-TW"/>
        </w:rPr>
        <w:lastRenderedPageBreak/>
        <w:t>遮</w:t>
      </w:r>
      <w:r>
        <w:rPr>
          <w:lang w:eastAsia="zh-TW"/>
        </w:rPr>
        <w:t>蔽後、足以核對其作品是否被匯入、檢索、輸出或停止的摘要；必要時由依法具權限的調查、司法、仲裁或保密程序受限閱覽原始資料。遮蔽應刪除不必要的</w:t>
      </w:r>
      <w:proofErr w:type="gramStart"/>
      <w:r>
        <w:rPr>
          <w:lang w:eastAsia="zh-TW"/>
        </w:rPr>
        <w:t>個</w:t>
      </w:r>
      <w:proofErr w:type="gramEnd"/>
      <w:r>
        <w:rPr>
          <w:lang w:eastAsia="zh-TW"/>
        </w:rPr>
        <w:t>資、機密內容</w:t>
      </w:r>
      <w:proofErr w:type="gramStart"/>
      <w:r>
        <w:rPr>
          <w:lang w:eastAsia="zh-TW"/>
        </w:rPr>
        <w:t>與資安細</w:t>
      </w:r>
      <w:proofErr w:type="gramEnd"/>
      <w:r>
        <w:rPr>
          <w:lang w:eastAsia="zh-TW"/>
        </w:rPr>
        <w:t>節，但須保留時間戳記、來源識別碼、處理動作、版本、責任者與雜湊等可驗證要素。</w:t>
      </w:r>
    </w:p>
    <w:p w14:paraId="0DBC8EBE" w14:textId="77777777" w:rsidR="0084721C" w:rsidRDefault="009B07FB">
      <w:pPr>
        <w:spacing w:after="140" w:line="324" w:lineRule="auto"/>
      </w:pPr>
      <w:r>
        <w:rPr>
          <w:b/>
          <w:sz w:val="26"/>
        </w:rPr>
        <w:t>（</w:t>
      </w:r>
      <w:proofErr w:type="spellStart"/>
      <w:r>
        <w:rPr>
          <w:b/>
          <w:sz w:val="26"/>
        </w:rPr>
        <w:t>六）跨境政府</w:t>
      </w:r>
      <w:r>
        <w:rPr>
          <w:b/>
          <w:sz w:val="26"/>
        </w:rPr>
        <w:t>AI</w:t>
      </w:r>
      <w:r>
        <w:rPr>
          <w:b/>
          <w:sz w:val="26"/>
        </w:rPr>
        <w:t>事件的最低程序</w:t>
      </w:r>
      <w:proofErr w:type="spellEnd"/>
    </w:p>
    <w:p w14:paraId="15BCDA2E" w14:textId="77777777" w:rsidR="0084721C" w:rsidRDefault="009B07FB">
      <w:pPr>
        <w:spacing w:after="120" w:line="324" w:lineRule="auto"/>
        <w:rPr>
          <w:lang w:eastAsia="zh-TW"/>
        </w:rPr>
      </w:pPr>
      <w:r>
        <w:rPr>
          <w:lang w:eastAsia="zh-TW"/>
        </w:rPr>
        <w:t xml:space="preserve">1. </w:t>
      </w:r>
      <w:r>
        <w:rPr>
          <w:lang w:eastAsia="zh-TW"/>
        </w:rPr>
        <w:t>收件：境外權利人、合作方或主管機關提出具體異議時，目的機關確認收件並指定第一回應窗口。</w:t>
      </w:r>
    </w:p>
    <w:p w14:paraId="090AD14F" w14:textId="77777777" w:rsidR="0084721C" w:rsidRDefault="009B07FB">
      <w:pPr>
        <w:spacing w:after="120" w:line="324" w:lineRule="auto"/>
        <w:rPr>
          <w:lang w:eastAsia="zh-TW"/>
        </w:rPr>
      </w:pPr>
      <w:r>
        <w:rPr>
          <w:lang w:eastAsia="zh-TW"/>
        </w:rPr>
        <w:t xml:space="preserve">2. </w:t>
      </w:r>
      <w:r>
        <w:rPr>
          <w:lang w:eastAsia="zh-TW"/>
        </w:rPr>
        <w:t>保全：立即保全來源清冊、資料處理紀錄、檢索、輸出、</w:t>
      </w:r>
      <w:r>
        <w:rPr>
          <w:lang w:eastAsia="zh-TW"/>
        </w:rPr>
        <w:t>API</w:t>
      </w:r>
      <w:r>
        <w:rPr>
          <w:lang w:eastAsia="zh-TW"/>
        </w:rPr>
        <w:t>與模型版本資訊。</w:t>
      </w:r>
    </w:p>
    <w:p w14:paraId="7F0C78D2" w14:textId="77777777" w:rsidR="0084721C" w:rsidRDefault="009B07FB">
      <w:pPr>
        <w:spacing w:after="120" w:line="324" w:lineRule="auto"/>
        <w:rPr>
          <w:lang w:eastAsia="zh-TW"/>
        </w:rPr>
      </w:pPr>
      <w:r>
        <w:rPr>
          <w:lang w:eastAsia="zh-TW"/>
        </w:rPr>
        <w:t xml:space="preserve">3. </w:t>
      </w:r>
      <w:r>
        <w:rPr>
          <w:lang w:eastAsia="zh-TW"/>
        </w:rPr>
        <w:t>最小暫停：依機關管理權或契約，暫停爭議來源的新增匯入、檢索、輸出或跨境傳送；不必先讓整個系統全面停機。</w:t>
      </w:r>
    </w:p>
    <w:p w14:paraId="1C84082D" w14:textId="77777777" w:rsidR="0084721C" w:rsidRDefault="009B07FB">
      <w:pPr>
        <w:spacing w:after="120" w:line="324" w:lineRule="auto"/>
        <w:rPr>
          <w:lang w:eastAsia="zh-TW"/>
        </w:rPr>
      </w:pPr>
      <w:r>
        <w:rPr>
          <w:lang w:eastAsia="zh-TW"/>
        </w:rPr>
        <w:t xml:space="preserve">4. </w:t>
      </w:r>
      <w:r>
        <w:rPr>
          <w:lang w:eastAsia="zh-TW"/>
        </w:rPr>
        <w:t>事實包：在固定期限內完成來源、契約、</w:t>
      </w:r>
      <w:proofErr w:type="gramStart"/>
      <w:r>
        <w:rPr>
          <w:lang w:eastAsia="zh-TW"/>
        </w:rPr>
        <w:t>法域、</w:t>
      </w:r>
      <w:proofErr w:type="gramEnd"/>
      <w:r>
        <w:rPr>
          <w:lang w:eastAsia="zh-TW"/>
        </w:rPr>
        <w:t>供應鏈、資料流與控制權盤點。</w:t>
      </w:r>
    </w:p>
    <w:p w14:paraId="103A71CE" w14:textId="77777777" w:rsidR="0084721C" w:rsidRDefault="009B07FB">
      <w:pPr>
        <w:spacing w:after="120" w:line="324" w:lineRule="auto"/>
        <w:rPr>
          <w:lang w:eastAsia="zh-TW"/>
        </w:rPr>
      </w:pPr>
      <w:r>
        <w:rPr>
          <w:lang w:eastAsia="zh-TW"/>
        </w:rPr>
        <w:t xml:space="preserve">5. </w:t>
      </w:r>
      <w:r>
        <w:rPr>
          <w:lang w:eastAsia="zh-TW"/>
        </w:rPr>
        <w:t>升級：涉及跨機關、重大公共服務、敏感技術、出口管制或對外經貿影響時，啟動行政院指定統籌程序。</w:t>
      </w:r>
    </w:p>
    <w:p w14:paraId="2D2C9BF1" w14:textId="77777777" w:rsidR="0084721C" w:rsidRDefault="009B07FB">
      <w:pPr>
        <w:spacing w:after="120" w:line="324" w:lineRule="auto"/>
        <w:rPr>
          <w:lang w:eastAsia="zh-TW"/>
        </w:rPr>
      </w:pPr>
      <w:r>
        <w:rPr>
          <w:lang w:eastAsia="zh-TW"/>
        </w:rPr>
        <w:t xml:space="preserve">6. </w:t>
      </w:r>
      <w:r>
        <w:rPr>
          <w:lang w:eastAsia="zh-TW"/>
        </w:rPr>
        <w:t>說明：以可核對但適度遮蔽的方式，說明已採取的保全、暫停、查核與補救措施。</w:t>
      </w:r>
    </w:p>
    <w:p w14:paraId="2367378E" w14:textId="77777777" w:rsidR="0084721C" w:rsidRDefault="009B07FB">
      <w:pPr>
        <w:spacing w:after="120" w:line="324" w:lineRule="auto"/>
        <w:rPr>
          <w:lang w:eastAsia="zh-TW"/>
        </w:rPr>
      </w:pPr>
      <w:r>
        <w:rPr>
          <w:lang w:eastAsia="zh-TW"/>
        </w:rPr>
        <w:t xml:space="preserve">7. </w:t>
      </w:r>
      <w:r>
        <w:rPr>
          <w:lang w:eastAsia="zh-TW"/>
        </w:rPr>
        <w:t>恢復或禁止：依補證結果，由有權機關作成</w:t>
      </w:r>
      <w:r>
        <w:rPr>
          <w:lang w:eastAsia="zh-TW"/>
        </w:rPr>
        <w:t>Go</w:t>
      </w:r>
      <w:r>
        <w:rPr>
          <w:lang w:eastAsia="zh-TW"/>
        </w:rPr>
        <w:t>、</w:t>
      </w:r>
      <w:r>
        <w:rPr>
          <w:lang w:eastAsia="zh-TW"/>
        </w:rPr>
        <w:t>Conditional</w:t>
      </w:r>
      <w:r>
        <w:rPr>
          <w:lang w:eastAsia="zh-TW"/>
        </w:rPr>
        <w:t>、</w:t>
      </w:r>
      <w:r>
        <w:rPr>
          <w:lang w:eastAsia="zh-TW"/>
        </w:rPr>
        <w:t>No-Go</w:t>
      </w:r>
      <w:r>
        <w:rPr>
          <w:lang w:eastAsia="zh-TW"/>
        </w:rPr>
        <w:t>或</w:t>
      </w:r>
      <w:r>
        <w:rPr>
          <w:lang w:eastAsia="zh-TW"/>
        </w:rPr>
        <w:t>Stop</w:t>
      </w:r>
      <w:r>
        <w:rPr>
          <w:lang w:eastAsia="zh-TW"/>
        </w:rPr>
        <w:t>決定，並保留理由與覆核紀錄。</w:t>
      </w:r>
    </w:p>
    <w:p w14:paraId="49CB159B" w14:textId="77777777" w:rsidR="0084721C" w:rsidRDefault="009B07FB">
      <w:pPr>
        <w:spacing w:after="60" w:line="324" w:lineRule="auto"/>
        <w:jc w:val="center"/>
        <w:rPr>
          <w:lang w:eastAsia="zh-TW"/>
        </w:rPr>
      </w:pPr>
      <w:r>
        <w:rPr>
          <w:b/>
          <w:sz w:val="20"/>
          <w:lang w:eastAsia="zh-TW"/>
        </w:rPr>
        <w:t>圖</w:t>
      </w:r>
      <w:r>
        <w:rPr>
          <w:b/>
          <w:sz w:val="20"/>
          <w:lang w:eastAsia="zh-TW"/>
        </w:rPr>
        <w:t>2</w:t>
      </w:r>
      <w:r>
        <w:rPr>
          <w:b/>
          <w:sz w:val="20"/>
          <w:lang w:eastAsia="zh-TW"/>
        </w:rPr>
        <w:t xml:space="preserve">　跨境政府</w:t>
      </w:r>
      <w:r>
        <w:rPr>
          <w:b/>
          <w:sz w:val="20"/>
          <w:lang w:eastAsia="zh-TW"/>
        </w:rPr>
        <w:t>AI</w:t>
      </w:r>
      <w:r>
        <w:rPr>
          <w:b/>
          <w:sz w:val="20"/>
          <w:lang w:eastAsia="zh-TW"/>
        </w:rPr>
        <w:t>事件處理的最低程序：七步驟流程</w:t>
      </w:r>
    </w:p>
    <w:p w14:paraId="0F08BF0B" w14:textId="77777777" w:rsidR="0084721C" w:rsidRDefault="009B07FB">
      <w:pPr>
        <w:spacing w:after="120" w:line="324" w:lineRule="auto"/>
        <w:jc w:val="center"/>
      </w:pPr>
      <w:r>
        <w:rPr>
          <w:noProof/>
        </w:rPr>
        <w:lastRenderedPageBreak/>
        <w:drawing>
          <wp:inline distT="0" distB="0" distL="0" distR="0" wp14:anchorId="4622EE82" wp14:editId="4524DBC7">
            <wp:extent cx="5212080" cy="8005326"/>
            <wp:effectExtent l="0" t="0" r="0" b="0"/>
            <wp:docPr id="100" name="Figure2" descr="圖2 跨境政府 AI 事件處理的最低程序：七步驟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igure2.png"/>
                    <pic:cNvPicPr/>
                  </pic:nvPicPr>
                  <pic:blipFill>
                    <a:blip r:embed="rId6"/>
                    <a:stretch>
                      <a:fillRect/>
                    </a:stretch>
                  </pic:blipFill>
                  <pic:spPr>
                    <a:xfrm>
                      <a:off x="0" y="0"/>
                      <a:ext cx="5212080" cy="8005326"/>
                    </a:xfrm>
                    <a:prstGeom prst="rect">
                      <a:avLst/>
                    </a:prstGeom>
                  </pic:spPr>
                </pic:pic>
              </a:graphicData>
            </a:graphic>
          </wp:inline>
        </w:drawing>
      </w:r>
    </w:p>
    <w:p w14:paraId="5D95B367" w14:textId="77777777" w:rsidR="0084721C" w:rsidRDefault="009B07FB">
      <w:pPr>
        <w:spacing w:after="160" w:line="324" w:lineRule="auto"/>
        <w:jc w:val="center"/>
        <w:rPr>
          <w:lang w:eastAsia="zh-TW"/>
        </w:rPr>
      </w:pPr>
      <w:r>
        <w:rPr>
          <w:sz w:val="19"/>
          <w:lang w:eastAsia="zh-TW"/>
        </w:rPr>
        <w:t>先保全、</w:t>
      </w:r>
      <w:proofErr w:type="gramStart"/>
      <w:r>
        <w:rPr>
          <w:sz w:val="19"/>
          <w:lang w:eastAsia="zh-TW"/>
        </w:rPr>
        <w:t>採</w:t>
      </w:r>
      <w:proofErr w:type="gramEnd"/>
      <w:r>
        <w:rPr>
          <w:sz w:val="19"/>
          <w:lang w:eastAsia="zh-TW"/>
        </w:rPr>
        <w:t>最小必要暫停；是否恢復或禁止，須由有權機關依補證結果作成並保留覆核紀錄。</w:t>
      </w:r>
    </w:p>
    <w:p w14:paraId="53106F47" w14:textId="77777777" w:rsidR="0084721C" w:rsidRDefault="009B07FB">
      <w:pPr>
        <w:spacing w:after="140" w:line="324" w:lineRule="auto"/>
        <w:rPr>
          <w:lang w:eastAsia="zh-TW"/>
        </w:rPr>
      </w:pPr>
      <w:r>
        <w:rPr>
          <w:b/>
          <w:sz w:val="26"/>
          <w:lang w:eastAsia="zh-TW"/>
        </w:rPr>
        <w:lastRenderedPageBreak/>
        <w:t>（七）三案的國家回應能力評估總表</w:t>
      </w:r>
    </w:p>
    <w:tbl>
      <w:tblPr>
        <w:tblStyle w:val="aff2"/>
        <w:tblW w:w="0" w:type="auto"/>
        <w:jc w:val="center"/>
        <w:tblLook w:val="04A0" w:firstRow="1" w:lastRow="0" w:firstColumn="1" w:lastColumn="0" w:noHBand="0" w:noVBand="1"/>
      </w:tblPr>
      <w:tblGrid>
        <w:gridCol w:w="2484"/>
        <w:gridCol w:w="2484"/>
        <w:gridCol w:w="2484"/>
        <w:gridCol w:w="2484"/>
      </w:tblGrid>
      <w:tr w:rsidR="0084721C" w14:paraId="22A2ED60" w14:textId="77777777">
        <w:trPr>
          <w:jc w:val="center"/>
        </w:trPr>
        <w:tc>
          <w:tcPr>
            <w:tcW w:w="2484" w:type="dxa"/>
            <w:shd w:val="clear" w:color="auto" w:fill="DCE6F2"/>
            <w:tcMar>
              <w:top w:w="90" w:type="dxa"/>
              <w:left w:w="100" w:type="dxa"/>
              <w:bottom w:w="90" w:type="dxa"/>
              <w:right w:w="100" w:type="dxa"/>
            </w:tcMar>
            <w:vAlign w:val="center"/>
          </w:tcPr>
          <w:p w14:paraId="3889D01C" w14:textId="77777777" w:rsidR="0084721C" w:rsidRDefault="009B07FB">
            <w:pPr>
              <w:spacing w:line="252" w:lineRule="auto"/>
            </w:pPr>
            <w:proofErr w:type="spellStart"/>
            <w:r>
              <w:rPr>
                <w:b/>
                <w:sz w:val="17"/>
              </w:rPr>
              <w:t>能力構面</w:t>
            </w:r>
            <w:proofErr w:type="spellEnd"/>
          </w:p>
        </w:tc>
        <w:tc>
          <w:tcPr>
            <w:tcW w:w="2484" w:type="dxa"/>
            <w:shd w:val="clear" w:color="auto" w:fill="DCE6F2"/>
            <w:tcMar>
              <w:top w:w="90" w:type="dxa"/>
              <w:left w:w="100" w:type="dxa"/>
              <w:bottom w:w="90" w:type="dxa"/>
              <w:right w:w="100" w:type="dxa"/>
            </w:tcMar>
            <w:vAlign w:val="center"/>
          </w:tcPr>
          <w:p w14:paraId="1A01896E" w14:textId="77777777" w:rsidR="0084721C" w:rsidRDefault="009B07FB">
            <w:pPr>
              <w:spacing w:line="252" w:lineRule="auto"/>
            </w:pPr>
            <w:r>
              <w:rPr>
                <w:b/>
                <w:sz w:val="17"/>
              </w:rPr>
              <w:t>建築設計</w:t>
            </w:r>
            <w:r>
              <w:rPr>
                <w:b/>
                <w:sz w:val="17"/>
              </w:rPr>
              <w:t>RAG</w:t>
            </w:r>
          </w:p>
        </w:tc>
        <w:tc>
          <w:tcPr>
            <w:tcW w:w="2484" w:type="dxa"/>
            <w:shd w:val="clear" w:color="auto" w:fill="DCE6F2"/>
            <w:tcMar>
              <w:top w:w="90" w:type="dxa"/>
              <w:left w:w="100" w:type="dxa"/>
              <w:bottom w:w="90" w:type="dxa"/>
              <w:right w:w="100" w:type="dxa"/>
            </w:tcMar>
            <w:vAlign w:val="center"/>
          </w:tcPr>
          <w:p w14:paraId="480210D6" w14:textId="77777777" w:rsidR="0084721C" w:rsidRDefault="009B07FB">
            <w:pPr>
              <w:spacing w:line="252" w:lineRule="auto"/>
            </w:pPr>
            <w:r>
              <w:rPr>
                <w:b/>
                <w:sz w:val="17"/>
              </w:rPr>
              <w:t>模型／資料集／</w:t>
            </w:r>
            <w:r>
              <w:rPr>
                <w:b/>
                <w:sz w:val="17"/>
              </w:rPr>
              <w:t>API</w:t>
            </w:r>
          </w:p>
        </w:tc>
        <w:tc>
          <w:tcPr>
            <w:tcW w:w="2484" w:type="dxa"/>
            <w:shd w:val="clear" w:color="auto" w:fill="DCE6F2"/>
            <w:tcMar>
              <w:top w:w="90" w:type="dxa"/>
              <w:left w:w="100" w:type="dxa"/>
              <w:bottom w:w="90" w:type="dxa"/>
              <w:right w:w="100" w:type="dxa"/>
            </w:tcMar>
            <w:vAlign w:val="center"/>
          </w:tcPr>
          <w:p w14:paraId="124CAD59" w14:textId="77777777" w:rsidR="0084721C" w:rsidRDefault="009B07FB">
            <w:pPr>
              <w:spacing w:line="252" w:lineRule="auto"/>
            </w:pPr>
            <w:r>
              <w:rPr>
                <w:b/>
                <w:sz w:val="17"/>
              </w:rPr>
              <w:t>敏感技術合作</w:t>
            </w:r>
          </w:p>
        </w:tc>
      </w:tr>
      <w:tr w:rsidR="0084721C" w14:paraId="24BCCC74" w14:textId="77777777">
        <w:trPr>
          <w:jc w:val="center"/>
        </w:trPr>
        <w:tc>
          <w:tcPr>
            <w:tcW w:w="2484" w:type="dxa"/>
            <w:tcMar>
              <w:top w:w="90" w:type="dxa"/>
              <w:left w:w="100" w:type="dxa"/>
              <w:bottom w:w="90" w:type="dxa"/>
              <w:right w:w="100" w:type="dxa"/>
            </w:tcMar>
            <w:vAlign w:val="center"/>
          </w:tcPr>
          <w:p w14:paraId="5F793EA2" w14:textId="77777777" w:rsidR="0084721C" w:rsidRDefault="009B07FB">
            <w:pPr>
              <w:spacing w:line="252" w:lineRule="auto"/>
            </w:pPr>
            <w:r>
              <w:rPr>
                <w:sz w:val="17"/>
              </w:rPr>
              <w:t>辨識</w:t>
            </w:r>
          </w:p>
        </w:tc>
        <w:tc>
          <w:tcPr>
            <w:tcW w:w="2484" w:type="dxa"/>
            <w:tcMar>
              <w:top w:w="90" w:type="dxa"/>
              <w:left w:w="100" w:type="dxa"/>
              <w:bottom w:w="90" w:type="dxa"/>
              <w:right w:w="100" w:type="dxa"/>
            </w:tcMar>
            <w:vAlign w:val="center"/>
          </w:tcPr>
          <w:p w14:paraId="4964C6FC" w14:textId="77777777" w:rsidR="0084721C" w:rsidRDefault="009B07FB">
            <w:pPr>
              <w:spacing w:line="252" w:lineRule="auto"/>
              <w:rPr>
                <w:lang w:eastAsia="zh-TW"/>
              </w:rPr>
            </w:pPr>
            <w:r>
              <w:rPr>
                <w:sz w:val="17"/>
                <w:lang w:eastAsia="zh-TW"/>
              </w:rPr>
              <w:t>核對資料庫條款、切塊、檢索與評選使用。</w:t>
            </w:r>
          </w:p>
        </w:tc>
        <w:tc>
          <w:tcPr>
            <w:tcW w:w="2484" w:type="dxa"/>
            <w:tcMar>
              <w:top w:w="90" w:type="dxa"/>
              <w:left w:w="100" w:type="dxa"/>
              <w:bottom w:w="90" w:type="dxa"/>
              <w:right w:w="100" w:type="dxa"/>
            </w:tcMar>
            <w:vAlign w:val="center"/>
          </w:tcPr>
          <w:p w14:paraId="3A328E3C" w14:textId="77777777" w:rsidR="0084721C" w:rsidRDefault="009B07FB">
            <w:pPr>
              <w:spacing w:line="252" w:lineRule="auto"/>
              <w:rPr>
                <w:lang w:eastAsia="zh-TW"/>
              </w:rPr>
            </w:pPr>
            <w:r>
              <w:rPr>
                <w:sz w:val="17"/>
                <w:lang w:eastAsia="zh-TW"/>
              </w:rPr>
              <w:t>重建資料集、再授權、次處理者、部署與跨境傳輸鏈。</w:t>
            </w:r>
          </w:p>
        </w:tc>
        <w:tc>
          <w:tcPr>
            <w:tcW w:w="2484" w:type="dxa"/>
            <w:tcMar>
              <w:top w:w="90" w:type="dxa"/>
              <w:left w:w="100" w:type="dxa"/>
              <w:bottom w:w="90" w:type="dxa"/>
              <w:right w:w="100" w:type="dxa"/>
            </w:tcMar>
            <w:vAlign w:val="center"/>
          </w:tcPr>
          <w:p w14:paraId="408761B9" w14:textId="77777777" w:rsidR="0084721C" w:rsidRDefault="009B07FB">
            <w:pPr>
              <w:spacing w:line="252" w:lineRule="auto"/>
              <w:rPr>
                <w:lang w:eastAsia="zh-TW"/>
              </w:rPr>
            </w:pPr>
            <w:r>
              <w:rPr>
                <w:sz w:val="17"/>
                <w:lang w:eastAsia="zh-TW"/>
              </w:rPr>
              <w:t>確認技術資料分級、受控環境、授權使用者與再移轉條件。</w:t>
            </w:r>
          </w:p>
        </w:tc>
      </w:tr>
      <w:tr w:rsidR="0084721C" w14:paraId="58333E7F" w14:textId="77777777">
        <w:trPr>
          <w:jc w:val="center"/>
        </w:trPr>
        <w:tc>
          <w:tcPr>
            <w:tcW w:w="2484" w:type="dxa"/>
            <w:tcMar>
              <w:top w:w="90" w:type="dxa"/>
              <w:left w:w="100" w:type="dxa"/>
              <w:bottom w:w="90" w:type="dxa"/>
              <w:right w:w="100" w:type="dxa"/>
            </w:tcMar>
            <w:vAlign w:val="center"/>
          </w:tcPr>
          <w:p w14:paraId="79FC343C" w14:textId="77777777" w:rsidR="0084721C" w:rsidRDefault="009B07FB">
            <w:pPr>
              <w:spacing w:line="252" w:lineRule="auto"/>
            </w:pPr>
            <w:proofErr w:type="spellStart"/>
            <w:r>
              <w:rPr>
                <w:sz w:val="17"/>
              </w:rPr>
              <w:t>決策</w:t>
            </w:r>
            <w:proofErr w:type="spellEnd"/>
          </w:p>
        </w:tc>
        <w:tc>
          <w:tcPr>
            <w:tcW w:w="2484" w:type="dxa"/>
            <w:tcMar>
              <w:top w:w="90" w:type="dxa"/>
              <w:left w:w="100" w:type="dxa"/>
              <w:bottom w:w="90" w:type="dxa"/>
              <w:right w:w="100" w:type="dxa"/>
            </w:tcMar>
            <w:vAlign w:val="center"/>
          </w:tcPr>
          <w:p w14:paraId="5B6CE78B" w14:textId="77777777" w:rsidR="0084721C" w:rsidRDefault="009B07FB">
            <w:pPr>
              <w:spacing w:line="252" w:lineRule="auto"/>
              <w:rPr>
                <w:lang w:eastAsia="zh-TW"/>
              </w:rPr>
            </w:pPr>
            <w:r>
              <w:rPr>
                <w:sz w:val="17"/>
                <w:lang w:eastAsia="zh-TW"/>
              </w:rPr>
              <w:t>決定是否暫停爭議來源及評選採納。</w:t>
            </w:r>
          </w:p>
        </w:tc>
        <w:tc>
          <w:tcPr>
            <w:tcW w:w="2484" w:type="dxa"/>
            <w:tcMar>
              <w:top w:w="90" w:type="dxa"/>
              <w:left w:w="100" w:type="dxa"/>
              <w:bottom w:w="90" w:type="dxa"/>
              <w:right w:w="100" w:type="dxa"/>
            </w:tcMar>
            <w:vAlign w:val="center"/>
          </w:tcPr>
          <w:p w14:paraId="7BFBA22C" w14:textId="77777777" w:rsidR="0084721C" w:rsidRDefault="009B07FB">
            <w:pPr>
              <w:spacing w:line="252" w:lineRule="auto"/>
            </w:pPr>
            <w:proofErr w:type="spellStart"/>
            <w:r>
              <w:rPr>
                <w:sz w:val="17"/>
              </w:rPr>
              <w:t>決定</w:t>
            </w:r>
            <w:r>
              <w:rPr>
                <w:sz w:val="17"/>
              </w:rPr>
              <w:t>Conditional</w:t>
            </w:r>
            <w:r>
              <w:rPr>
                <w:sz w:val="17"/>
              </w:rPr>
              <w:t>補證、退出特定</w:t>
            </w:r>
            <w:r>
              <w:rPr>
                <w:sz w:val="17"/>
              </w:rPr>
              <w:t>API</w:t>
            </w:r>
            <w:r>
              <w:rPr>
                <w:sz w:val="17"/>
              </w:rPr>
              <w:t>或</w:t>
            </w:r>
            <w:r>
              <w:rPr>
                <w:sz w:val="17"/>
              </w:rPr>
              <w:t>No-Go</w:t>
            </w:r>
            <w:proofErr w:type="spellEnd"/>
            <w:r>
              <w:rPr>
                <w:sz w:val="17"/>
              </w:rPr>
              <w:t>。</w:t>
            </w:r>
          </w:p>
        </w:tc>
        <w:tc>
          <w:tcPr>
            <w:tcW w:w="2484" w:type="dxa"/>
            <w:tcMar>
              <w:top w:w="90" w:type="dxa"/>
              <w:left w:w="100" w:type="dxa"/>
              <w:bottom w:w="90" w:type="dxa"/>
              <w:right w:w="100" w:type="dxa"/>
            </w:tcMar>
            <w:vAlign w:val="center"/>
          </w:tcPr>
          <w:p w14:paraId="7F897AA6" w14:textId="77777777" w:rsidR="0084721C" w:rsidRDefault="009B07FB">
            <w:pPr>
              <w:spacing w:line="252" w:lineRule="auto"/>
              <w:rPr>
                <w:lang w:eastAsia="zh-TW"/>
              </w:rPr>
            </w:pPr>
            <w:r>
              <w:rPr>
                <w:sz w:val="17"/>
                <w:lang w:eastAsia="zh-TW"/>
              </w:rPr>
              <w:t>決定隔離、停止特定存取／</w:t>
            </w:r>
            <w:proofErr w:type="gramStart"/>
            <w:r>
              <w:rPr>
                <w:sz w:val="17"/>
                <w:lang w:eastAsia="zh-TW"/>
              </w:rPr>
              <w:t>分包並啟動</w:t>
            </w:r>
            <w:proofErr w:type="gramEnd"/>
            <w:r>
              <w:rPr>
                <w:sz w:val="17"/>
                <w:lang w:eastAsia="zh-TW"/>
              </w:rPr>
              <w:t>保密或管制程序。</w:t>
            </w:r>
          </w:p>
        </w:tc>
      </w:tr>
      <w:tr w:rsidR="0084721C" w14:paraId="3ABFD7C2" w14:textId="77777777">
        <w:trPr>
          <w:jc w:val="center"/>
        </w:trPr>
        <w:tc>
          <w:tcPr>
            <w:tcW w:w="2484" w:type="dxa"/>
            <w:tcMar>
              <w:top w:w="90" w:type="dxa"/>
              <w:left w:w="100" w:type="dxa"/>
              <w:bottom w:w="90" w:type="dxa"/>
              <w:right w:w="100" w:type="dxa"/>
            </w:tcMar>
            <w:vAlign w:val="center"/>
          </w:tcPr>
          <w:p w14:paraId="40F16248" w14:textId="77777777" w:rsidR="0084721C" w:rsidRDefault="009B07FB">
            <w:pPr>
              <w:spacing w:line="252" w:lineRule="auto"/>
            </w:pPr>
            <w:proofErr w:type="spellStart"/>
            <w:r>
              <w:rPr>
                <w:sz w:val="17"/>
              </w:rPr>
              <w:t>執行</w:t>
            </w:r>
            <w:proofErr w:type="spellEnd"/>
          </w:p>
        </w:tc>
        <w:tc>
          <w:tcPr>
            <w:tcW w:w="2484" w:type="dxa"/>
            <w:tcMar>
              <w:top w:w="90" w:type="dxa"/>
              <w:left w:w="100" w:type="dxa"/>
              <w:bottom w:w="90" w:type="dxa"/>
              <w:right w:w="100" w:type="dxa"/>
            </w:tcMar>
            <w:vAlign w:val="center"/>
          </w:tcPr>
          <w:p w14:paraId="07543D53" w14:textId="77777777" w:rsidR="0084721C" w:rsidRDefault="009B07FB">
            <w:pPr>
              <w:spacing w:line="252" w:lineRule="auto"/>
              <w:rPr>
                <w:lang w:eastAsia="zh-TW"/>
              </w:rPr>
            </w:pPr>
            <w:r>
              <w:rPr>
                <w:sz w:val="17"/>
                <w:lang w:eastAsia="zh-TW"/>
              </w:rPr>
              <w:t>停止來源索引、快取與輸出，保全評選紀錄。</w:t>
            </w:r>
          </w:p>
        </w:tc>
        <w:tc>
          <w:tcPr>
            <w:tcW w:w="2484" w:type="dxa"/>
            <w:tcMar>
              <w:top w:w="90" w:type="dxa"/>
              <w:left w:w="100" w:type="dxa"/>
              <w:bottom w:w="90" w:type="dxa"/>
              <w:right w:w="100" w:type="dxa"/>
            </w:tcMar>
            <w:vAlign w:val="center"/>
          </w:tcPr>
          <w:p w14:paraId="45C15279" w14:textId="77777777" w:rsidR="0084721C" w:rsidRDefault="009B07FB">
            <w:pPr>
              <w:spacing w:line="252" w:lineRule="auto"/>
              <w:rPr>
                <w:lang w:eastAsia="zh-TW"/>
              </w:rPr>
            </w:pPr>
            <w:r>
              <w:rPr>
                <w:sz w:val="17"/>
                <w:lang w:eastAsia="zh-TW"/>
              </w:rPr>
              <w:t>停止新增匯入、</w:t>
            </w:r>
            <w:r>
              <w:rPr>
                <w:sz w:val="17"/>
                <w:lang w:eastAsia="zh-TW"/>
              </w:rPr>
              <w:t>API</w:t>
            </w:r>
            <w:r>
              <w:rPr>
                <w:sz w:val="17"/>
                <w:lang w:eastAsia="zh-TW"/>
              </w:rPr>
              <w:t>傳送或特定模型版本，驗證移除。</w:t>
            </w:r>
          </w:p>
        </w:tc>
        <w:tc>
          <w:tcPr>
            <w:tcW w:w="2484" w:type="dxa"/>
            <w:tcMar>
              <w:top w:w="90" w:type="dxa"/>
              <w:left w:w="100" w:type="dxa"/>
              <w:bottom w:w="90" w:type="dxa"/>
              <w:right w:w="100" w:type="dxa"/>
            </w:tcMar>
            <w:vAlign w:val="center"/>
          </w:tcPr>
          <w:p w14:paraId="2485C413" w14:textId="77777777" w:rsidR="0084721C" w:rsidRDefault="009B07FB">
            <w:pPr>
              <w:spacing w:line="252" w:lineRule="auto"/>
              <w:rPr>
                <w:lang w:eastAsia="zh-TW"/>
              </w:rPr>
            </w:pPr>
            <w:r>
              <w:rPr>
                <w:sz w:val="17"/>
                <w:lang w:eastAsia="zh-TW"/>
              </w:rPr>
              <w:t>隔離資料與帳號、凍結再移轉、保存交付及存取紀錄。</w:t>
            </w:r>
          </w:p>
        </w:tc>
      </w:tr>
      <w:tr w:rsidR="0084721C" w14:paraId="1FFE3F82" w14:textId="77777777">
        <w:trPr>
          <w:jc w:val="center"/>
        </w:trPr>
        <w:tc>
          <w:tcPr>
            <w:tcW w:w="2484" w:type="dxa"/>
            <w:tcMar>
              <w:top w:w="90" w:type="dxa"/>
              <w:left w:w="100" w:type="dxa"/>
              <w:bottom w:w="90" w:type="dxa"/>
              <w:right w:w="100" w:type="dxa"/>
            </w:tcMar>
            <w:vAlign w:val="center"/>
          </w:tcPr>
          <w:p w14:paraId="6CC4F28F" w14:textId="77777777" w:rsidR="0084721C" w:rsidRDefault="009B07FB">
            <w:pPr>
              <w:spacing w:line="252" w:lineRule="auto"/>
            </w:pPr>
            <w:proofErr w:type="spellStart"/>
            <w:r>
              <w:rPr>
                <w:sz w:val="17"/>
              </w:rPr>
              <w:t>說明</w:t>
            </w:r>
            <w:proofErr w:type="spellEnd"/>
          </w:p>
        </w:tc>
        <w:tc>
          <w:tcPr>
            <w:tcW w:w="2484" w:type="dxa"/>
            <w:tcMar>
              <w:top w:w="90" w:type="dxa"/>
              <w:left w:w="100" w:type="dxa"/>
              <w:bottom w:w="90" w:type="dxa"/>
              <w:right w:w="100" w:type="dxa"/>
            </w:tcMar>
            <w:vAlign w:val="center"/>
          </w:tcPr>
          <w:p w14:paraId="5A9A43EB" w14:textId="77777777" w:rsidR="0084721C" w:rsidRDefault="009B07FB">
            <w:pPr>
              <w:spacing w:line="252" w:lineRule="auto"/>
              <w:rPr>
                <w:lang w:eastAsia="zh-TW"/>
              </w:rPr>
            </w:pPr>
            <w:r>
              <w:rPr>
                <w:sz w:val="17"/>
                <w:lang w:eastAsia="zh-TW"/>
              </w:rPr>
              <w:t>說明資料用途、檢索範圍與暫停措施。</w:t>
            </w:r>
          </w:p>
        </w:tc>
        <w:tc>
          <w:tcPr>
            <w:tcW w:w="2484" w:type="dxa"/>
            <w:tcMar>
              <w:top w:w="90" w:type="dxa"/>
              <w:left w:w="100" w:type="dxa"/>
              <w:bottom w:w="90" w:type="dxa"/>
              <w:right w:w="100" w:type="dxa"/>
            </w:tcMar>
            <w:vAlign w:val="center"/>
          </w:tcPr>
          <w:p w14:paraId="6B2C84D5" w14:textId="77777777" w:rsidR="0084721C" w:rsidRDefault="009B07FB">
            <w:pPr>
              <w:spacing w:line="252" w:lineRule="auto"/>
              <w:rPr>
                <w:lang w:eastAsia="zh-TW"/>
              </w:rPr>
            </w:pPr>
            <w:r>
              <w:rPr>
                <w:sz w:val="17"/>
                <w:lang w:eastAsia="zh-TW"/>
              </w:rPr>
              <w:t>說明已能與不能追溯的來源、</w:t>
            </w:r>
            <w:proofErr w:type="gramStart"/>
            <w:r>
              <w:rPr>
                <w:sz w:val="17"/>
                <w:lang w:eastAsia="zh-TW"/>
              </w:rPr>
              <w:t>法域與</w:t>
            </w:r>
            <w:proofErr w:type="gramEnd"/>
            <w:r>
              <w:rPr>
                <w:sz w:val="17"/>
                <w:lang w:eastAsia="zh-TW"/>
              </w:rPr>
              <w:t>補證計畫。</w:t>
            </w:r>
          </w:p>
        </w:tc>
        <w:tc>
          <w:tcPr>
            <w:tcW w:w="2484" w:type="dxa"/>
            <w:tcMar>
              <w:top w:w="90" w:type="dxa"/>
              <w:left w:w="100" w:type="dxa"/>
              <w:bottom w:w="90" w:type="dxa"/>
              <w:right w:w="100" w:type="dxa"/>
            </w:tcMar>
            <w:vAlign w:val="center"/>
          </w:tcPr>
          <w:p w14:paraId="25F0BFE3" w14:textId="77777777" w:rsidR="0084721C" w:rsidRDefault="009B07FB">
            <w:pPr>
              <w:spacing w:line="252" w:lineRule="auto"/>
              <w:rPr>
                <w:lang w:eastAsia="zh-TW"/>
              </w:rPr>
            </w:pPr>
            <w:r>
              <w:rPr>
                <w:sz w:val="17"/>
                <w:lang w:eastAsia="zh-TW"/>
              </w:rPr>
              <w:t>在保密限制下說明已採取的隔離、通知與協調措施。</w:t>
            </w:r>
          </w:p>
        </w:tc>
      </w:tr>
      <w:tr w:rsidR="0084721C" w14:paraId="0967D65B" w14:textId="77777777">
        <w:trPr>
          <w:jc w:val="center"/>
        </w:trPr>
        <w:tc>
          <w:tcPr>
            <w:tcW w:w="2484" w:type="dxa"/>
            <w:tcMar>
              <w:top w:w="90" w:type="dxa"/>
              <w:left w:w="100" w:type="dxa"/>
              <w:bottom w:w="90" w:type="dxa"/>
              <w:right w:w="100" w:type="dxa"/>
            </w:tcMar>
            <w:vAlign w:val="center"/>
          </w:tcPr>
          <w:p w14:paraId="77D7221C" w14:textId="77777777" w:rsidR="0084721C" w:rsidRDefault="009B07FB">
            <w:pPr>
              <w:spacing w:line="252" w:lineRule="auto"/>
            </w:pPr>
            <w:proofErr w:type="spellStart"/>
            <w:r>
              <w:rPr>
                <w:sz w:val="17"/>
              </w:rPr>
              <w:t>補救</w:t>
            </w:r>
            <w:proofErr w:type="spellEnd"/>
          </w:p>
        </w:tc>
        <w:tc>
          <w:tcPr>
            <w:tcW w:w="2484" w:type="dxa"/>
            <w:tcMar>
              <w:top w:w="90" w:type="dxa"/>
              <w:left w:w="100" w:type="dxa"/>
              <w:bottom w:w="90" w:type="dxa"/>
              <w:right w:w="100" w:type="dxa"/>
            </w:tcMar>
            <w:vAlign w:val="center"/>
          </w:tcPr>
          <w:p w14:paraId="13447BBE" w14:textId="77777777" w:rsidR="0084721C" w:rsidRDefault="009B07FB">
            <w:pPr>
              <w:spacing w:line="252" w:lineRule="auto"/>
              <w:rPr>
                <w:lang w:eastAsia="zh-TW"/>
              </w:rPr>
            </w:pPr>
            <w:r>
              <w:rPr>
                <w:sz w:val="17"/>
                <w:lang w:eastAsia="zh-TW"/>
              </w:rPr>
              <w:t>移除、重新評選或改用可授權來源。</w:t>
            </w:r>
          </w:p>
        </w:tc>
        <w:tc>
          <w:tcPr>
            <w:tcW w:w="2484" w:type="dxa"/>
            <w:tcMar>
              <w:top w:w="90" w:type="dxa"/>
              <w:left w:w="100" w:type="dxa"/>
              <w:bottom w:w="90" w:type="dxa"/>
              <w:right w:w="100" w:type="dxa"/>
            </w:tcMar>
            <w:vAlign w:val="center"/>
          </w:tcPr>
          <w:p w14:paraId="454BED55" w14:textId="77777777" w:rsidR="0084721C" w:rsidRDefault="009B07FB">
            <w:pPr>
              <w:spacing w:line="252" w:lineRule="auto"/>
              <w:rPr>
                <w:lang w:eastAsia="zh-TW"/>
              </w:rPr>
            </w:pPr>
            <w:r>
              <w:rPr>
                <w:sz w:val="17"/>
                <w:lang w:eastAsia="zh-TW"/>
              </w:rPr>
              <w:t>修正供應鏈、重建索引／模型部署或終止服務。</w:t>
            </w:r>
          </w:p>
        </w:tc>
        <w:tc>
          <w:tcPr>
            <w:tcW w:w="2484" w:type="dxa"/>
            <w:tcMar>
              <w:top w:w="90" w:type="dxa"/>
              <w:left w:w="100" w:type="dxa"/>
              <w:bottom w:w="90" w:type="dxa"/>
              <w:right w:w="100" w:type="dxa"/>
            </w:tcMar>
            <w:vAlign w:val="center"/>
          </w:tcPr>
          <w:p w14:paraId="0CDCB065" w14:textId="77777777" w:rsidR="0084721C" w:rsidRDefault="009B07FB">
            <w:pPr>
              <w:spacing w:line="252" w:lineRule="auto"/>
              <w:rPr>
                <w:lang w:eastAsia="zh-TW"/>
              </w:rPr>
            </w:pPr>
            <w:r>
              <w:rPr>
                <w:sz w:val="17"/>
                <w:lang w:eastAsia="zh-TW"/>
              </w:rPr>
              <w:t>矯正存取、通知合作方、重新界定用途與分包條件。</w:t>
            </w:r>
          </w:p>
        </w:tc>
      </w:tr>
    </w:tbl>
    <w:p w14:paraId="6F97155B" w14:textId="77777777" w:rsidR="0084721C" w:rsidRDefault="0084721C">
      <w:pPr>
        <w:spacing w:after="40"/>
        <w:rPr>
          <w:lang w:eastAsia="zh-TW"/>
        </w:rPr>
      </w:pPr>
    </w:p>
    <w:p w14:paraId="121B3C06" w14:textId="77777777" w:rsidR="0084721C" w:rsidRDefault="009B07FB">
      <w:pPr>
        <w:spacing w:after="120" w:line="324" w:lineRule="auto"/>
        <w:rPr>
          <w:lang w:eastAsia="zh-TW"/>
        </w:rPr>
      </w:pPr>
      <w:proofErr w:type="gramStart"/>
      <w:r>
        <w:rPr>
          <w:lang w:eastAsia="zh-TW"/>
        </w:rPr>
        <w:t>此表不是</w:t>
      </w:r>
      <w:proofErr w:type="gramEnd"/>
      <w:r>
        <w:rPr>
          <w:lang w:eastAsia="zh-TW"/>
        </w:rPr>
        <w:t>判定三案必然違法，而是指出各案最易斷裂的能力位置：第一案偏向採購與可說明性，第二案偏向追溯與可移除性，第三案偏向不可回復損害前的用途控制與隔離。它使「國家回應能力」成為可被反證與比較的分析架構，而不只是結論性標籤。</w:t>
      </w:r>
    </w:p>
    <w:p w14:paraId="39DA5E50" w14:textId="77777777" w:rsidR="0084721C" w:rsidRDefault="009B07FB">
      <w:pPr>
        <w:spacing w:after="140" w:line="324" w:lineRule="auto"/>
        <w:rPr>
          <w:lang w:eastAsia="zh-TW"/>
        </w:rPr>
      </w:pPr>
      <w:r>
        <w:rPr>
          <w:b/>
          <w:sz w:val="26"/>
          <w:lang w:eastAsia="zh-TW"/>
        </w:rPr>
        <w:t>八、結論：從多手政府到單一責任鏈</w:t>
      </w:r>
    </w:p>
    <w:p w14:paraId="0960FC61" w14:textId="77777777" w:rsidR="0084721C" w:rsidRDefault="009B07FB">
      <w:pPr>
        <w:spacing w:after="120" w:line="324" w:lineRule="auto"/>
        <w:rPr>
          <w:lang w:eastAsia="zh-TW"/>
        </w:rPr>
      </w:pPr>
      <w:r>
        <w:t>《人工智慧基本法》已於</w:t>
      </w:r>
      <w:r>
        <w:t>2026</w:t>
      </w:r>
      <w:r>
        <w:t>年</w:t>
      </w:r>
      <w:r>
        <w:t>1</w:t>
      </w:r>
      <w:r>
        <w:t>月</w:t>
      </w:r>
      <w:r>
        <w:t>14</w:t>
      </w:r>
      <w:r>
        <w:t>日公布施行。</w:t>
      </w:r>
      <w:r>
        <w:rPr>
          <w:lang w:eastAsia="zh-TW"/>
        </w:rPr>
        <w:t>該法以國科會為中央主管機關（第</w:t>
      </w:r>
      <w:r>
        <w:rPr>
          <w:lang w:eastAsia="zh-TW"/>
        </w:rPr>
        <w:t>2</w:t>
      </w:r>
      <w:r>
        <w:rPr>
          <w:lang w:eastAsia="zh-TW"/>
        </w:rPr>
        <w:t>條）、規定行政院設國家人工智慧戰略特別委員會（第</w:t>
      </w:r>
      <w:r>
        <w:rPr>
          <w:lang w:eastAsia="zh-TW"/>
        </w:rPr>
        <w:t>6</w:t>
      </w:r>
      <w:r>
        <w:rPr>
          <w:lang w:eastAsia="zh-TW"/>
        </w:rPr>
        <w:t>條）、由數發部推動與國際介接的</w:t>
      </w:r>
      <w:r>
        <w:rPr>
          <w:lang w:eastAsia="zh-TW"/>
        </w:rPr>
        <w:t>AI</w:t>
      </w:r>
      <w:r>
        <w:rPr>
          <w:lang w:eastAsia="zh-TW"/>
        </w:rPr>
        <w:t>風險分類及評估框架（第</w:t>
      </w:r>
      <w:r>
        <w:rPr>
          <w:lang w:eastAsia="zh-TW"/>
        </w:rPr>
        <w:t>16</w:t>
      </w:r>
      <w:r>
        <w:rPr>
          <w:lang w:eastAsia="zh-TW"/>
        </w:rPr>
        <w:t>條），並要求政府使用</w:t>
      </w:r>
      <w:r>
        <w:rPr>
          <w:lang w:eastAsia="zh-TW"/>
        </w:rPr>
        <w:t>AI</w:t>
      </w:r>
      <w:r>
        <w:rPr>
          <w:lang w:eastAsia="zh-TW"/>
        </w:rPr>
        <w:t>執行職務或提供服務時進行風險評估及建立使用指引、規範或內控機制（第</w:t>
      </w:r>
      <w:r>
        <w:rPr>
          <w:lang w:eastAsia="zh-TW"/>
        </w:rPr>
        <w:t>19</w:t>
      </w:r>
      <w:r>
        <w:rPr>
          <w:lang w:eastAsia="zh-TW"/>
        </w:rPr>
        <w:t>條）。這些是本文制度建議的現行法介面；權利來源、可追溯紀錄、停止與異議處理的最低義務，以及跨境事件的升級程序，仍須在後續行政規則、採購文件或立法中具體化。</w:t>
      </w:r>
    </w:p>
    <w:p w14:paraId="68BEDC7E" w14:textId="77777777" w:rsidR="0084721C" w:rsidRDefault="009B07FB">
      <w:pPr>
        <w:spacing w:after="120" w:line="324" w:lineRule="auto"/>
        <w:rPr>
          <w:lang w:eastAsia="zh-TW"/>
        </w:rPr>
      </w:pPr>
      <w:r>
        <w:rPr>
          <w:lang w:eastAsia="zh-TW"/>
        </w:rPr>
        <w:t>本文不以「加強跨部會協調」</w:t>
      </w:r>
      <w:proofErr w:type="gramStart"/>
      <w:r>
        <w:rPr>
          <w:lang w:eastAsia="zh-TW"/>
        </w:rPr>
        <w:t>作結</w:t>
      </w:r>
      <w:proofErr w:type="gramEnd"/>
      <w:r>
        <w:rPr>
          <w:lang w:eastAsia="zh-TW"/>
        </w:rPr>
        <w:t>。那種語言正是多手政府得以延續的方式。</w:t>
      </w:r>
      <w:r>
        <w:rPr>
          <w:lang w:eastAsia="zh-TW"/>
        </w:rPr>
        <w:t>應以法律、採購與行政院升級程序，將第十八篇的機關層權利</w:t>
      </w:r>
      <w:proofErr w:type="gramStart"/>
      <w:r>
        <w:rPr>
          <w:lang w:eastAsia="zh-TW"/>
        </w:rPr>
        <w:t>責任鏈推到</w:t>
      </w:r>
      <w:proofErr w:type="gramEnd"/>
      <w:r>
        <w:rPr>
          <w:lang w:eastAsia="zh-TW"/>
        </w:rPr>
        <w:t>國家層級：專業可以分工，最終責任不能分享；爭議可以救濟，政府不能把停止決定外包給法院、仲裁庭、盟友壓力或</w:t>
      </w:r>
      <w:r>
        <w:rPr>
          <w:lang w:eastAsia="zh-TW"/>
        </w:rPr>
        <w:t>Special 301</w:t>
      </w:r>
      <w:r>
        <w:rPr>
          <w:lang w:eastAsia="zh-TW"/>
        </w:rPr>
        <w:t>。</w:t>
      </w:r>
    </w:p>
    <w:tbl>
      <w:tblPr>
        <w:tblStyle w:val="aff2"/>
        <w:tblW w:w="0" w:type="auto"/>
        <w:jc w:val="center"/>
        <w:tblLook w:val="04A0" w:firstRow="1" w:lastRow="0" w:firstColumn="1" w:lastColumn="0" w:noHBand="0" w:noVBand="1"/>
      </w:tblPr>
      <w:tblGrid>
        <w:gridCol w:w="3312"/>
        <w:gridCol w:w="3312"/>
        <w:gridCol w:w="3312"/>
      </w:tblGrid>
      <w:tr w:rsidR="0084721C" w14:paraId="5718C676" w14:textId="77777777">
        <w:trPr>
          <w:jc w:val="center"/>
        </w:trPr>
        <w:tc>
          <w:tcPr>
            <w:tcW w:w="3312" w:type="dxa"/>
            <w:shd w:val="clear" w:color="auto" w:fill="DCE6F2"/>
            <w:tcMar>
              <w:top w:w="90" w:type="dxa"/>
              <w:left w:w="100" w:type="dxa"/>
              <w:bottom w:w="90" w:type="dxa"/>
              <w:right w:w="100" w:type="dxa"/>
            </w:tcMar>
            <w:vAlign w:val="center"/>
          </w:tcPr>
          <w:p w14:paraId="7D1DC402" w14:textId="77777777" w:rsidR="0084721C" w:rsidRDefault="009B07FB">
            <w:pPr>
              <w:spacing w:line="252" w:lineRule="auto"/>
            </w:pPr>
            <w:proofErr w:type="spellStart"/>
            <w:r>
              <w:rPr>
                <w:b/>
                <w:sz w:val="17"/>
              </w:rPr>
              <w:t>制度層次</w:t>
            </w:r>
            <w:proofErr w:type="spellEnd"/>
          </w:p>
        </w:tc>
        <w:tc>
          <w:tcPr>
            <w:tcW w:w="3312" w:type="dxa"/>
            <w:shd w:val="clear" w:color="auto" w:fill="DCE6F2"/>
            <w:tcMar>
              <w:top w:w="90" w:type="dxa"/>
              <w:left w:w="100" w:type="dxa"/>
              <w:bottom w:w="90" w:type="dxa"/>
              <w:right w:w="100" w:type="dxa"/>
            </w:tcMar>
            <w:vAlign w:val="center"/>
          </w:tcPr>
          <w:p w14:paraId="79F572B0" w14:textId="77777777" w:rsidR="0084721C" w:rsidRDefault="009B07FB">
            <w:pPr>
              <w:spacing w:line="252" w:lineRule="auto"/>
            </w:pPr>
            <w:r>
              <w:rPr>
                <w:b/>
                <w:sz w:val="17"/>
              </w:rPr>
              <w:t>應建立的規則</w:t>
            </w:r>
          </w:p>
        </w:tc>
        <w:tc>
          <w:tcPr>
            <w:tcW w:w="3312" w:type="dxa"/>
            <w:shd w:val="clear" w:color="auto" w:fill="DCE6F2"/>
            <w:tcMar>
              <w:top w:w="90" w:type="dxa"/>
              <w:left w:w="100" w:type="dxa"/>
              <w:bottom w:w="90" w:type="dxa"/>
              <w:right w:w="100" w:type="dxa"/>
            </w:tcMar>
            <w:vAlign w:val="center"/>
          </w:tcPr>
          <w:p w14:paraId="583DD4C7" w14:textId="77777777" w:rsidR="0084721C" w:rsidRDefault="009B07FB">
            <w:pPr>
              <w:spacing w:line="252" w:lineRule="auto"/>
            </w:pPr>
            <w:r>
              <w:rPr>
                <w:b/>
                <w:sz w:val="17"/>
              </w:rPr>
              <w:t>在跨境事件中的法律／行政效果</w:t>
            </w:r>
          </w:p>
        </w:tc>
      </w:tr>
      <w:tr w:rsidR="0084721C" w14:paraId="26D75C4A" w14:textId="77777777">
        <w:trPr>
          <w:jc w:val="center"/>
        </w:trPr>
        <w:tc>
          <w:tcPr>
            <w:tcW w:w="3312" w:type="dxa"/>
            <w:tcMar>
              <w:top w:w="90" w:type="dxa"/>
              <w:left w:w="100" w:type="dxa"/>
              <w:bottom w:w="90" w:type="dxa"/>
              <w:right w:w="100" w:type="dxa"/>
            </w:tcMar>
            <w:vAlign w:val="center"/>
          </w:tcPr>
          <w:p w14:paraId="6C82737B" w14:textId="77777777" w:rsidR="0084721C" w:rsidRDefault="009B07FB">
            <w:pPr>
              <w:spacing w:line="252" w:lineRule="auto"/>
            </w:pPr>
            <w:r>
              <w:rPr>
                <w:sz w:val="17"/>
              </w:rPr>
              <w:t>立即可做：採購</w:t>
            </w:r>
          </w:p>
        </w:tc>
        <w:tc>
          <w:tcPr>
            <w:tcW w:w="3312" w:type="dxa"/>
            <w:tcMar>
              <w:top w:w="90" w:type="dxa"/>
              <w:left w:w="100" w:type="dxa"/>
              <w:bottom w:w="90" w:type="dxa"/>
              <w:right w:w="100" w:type="dxa"/>
            </w:tcMar>
            <w:vAlign w:val="center"/>
          </w:tcPr>
          <w:p w14:paraId="639534FC" w14:textId="77777777" w:rsidR="0084721C" w:rsidRDefault="009B07FB">
            <w:pPr>
              <w:spacing w:line="252" w:lineRule="auto"/>
              <w:rPr>
                <w:lang w:eastAsia="zh-TW"/>
              </w:rPr>
            </w:pPr>
            <w:r>
              <w:rPr>
                <w:sz w:val="17"/>
                <w:lang w:eastAsia="zh-TW"/>
              </w:rPr>
              <w:t>要求供應商交付權利來源清冊、</w:t>
            </w:r>
            <w:proofErr w:type="gramStart"/>
            <w:r>
              <w:rPr>
                <w:sz w:val="17"/>
                <w:lang w:eastAsia="zh-TW"/>
              </w:rPr>
              <w:t>法域、</w:t>
            </w:r>
            <w:proofErr w:type="gramEnd"/>
            <w:r>
              <w:rPr>
                <w:sz w:val="17"/>
                <w:lang w:eastAsia="zh-TW"/>
              </w:rPr>
              <w:t>資</w:t>
            </w:r>
            <w:r>
              <w:rPr>
                <w:sz w:val="17"/>
                <w:lang w:eastAsia="zh-TW"/>
              </w:rPr>
              <w:lastRenderedPageBreak/>
              <w:t>料流、分包、部署地與可移除能力；納入預防性暫停、日誌保全與次處理者揭露條款。</w:t>
            </w:r>
          </w:p>
        </w:tc>
        <w:tc>
          <w:tcPr>
            <w:tcW w:w="3312" w:type="dxa"/>
            <w:tcMar>
              <w:top w:w="90" w:type="dxa"/>
              <w:left w:w="100" w:type="dxa"/>
              <w:bottom w:w="90" w:type="dxa"/>
              <w:right w:w="100" w:type="dxa"/>
            </w:tcMar>
            <w:vAlign w:val="center"/>
          </w:tcPr>
          <w:p w14:paraId="6E1E98C3" w14:textId="77777777" w:rsidR="0084721C" w:rsidRDefault="009B07FB">
            <w:pPr>
              <w:spacing w:line="252" w:lineRule="auto"/>
              <w:rPr>
                <w:lang w:eastAsia="zh-TW"/>
              </w:rPr>
            </w:pPr>
            <w:r>
              <w:rPr>
                <w:sz w:val="17"/>
                <w:lang w:eastAsia="zh-TW"/>
              </w:rPr>
              <w:lastRenderedPageBreak/>
              <w:t>政府得依契約要求保全、隔離、停止與補</w:t>
            </w:r>
            <w:r>
              <w:rPr>
                <w:sz w:val="17"/>
                <w:lang w:eastAsia="zh-TW"/>
              </w:rPr>
              <w:lastRenderedPageBreak/>
              <w:t>證。</w:t>
            </w:r>
          </w:p>
        </w:tc>
      </w:tr>
      <w:tr w:rsidR="0084721C" w14:paraId="0E229CE0" w14:textId="77777777">
        <w:trPr>
          <w:jc w:val="center"/>
        </w:trPr>
        <w:tc>
          <w:tcPr>
            <w:tcW w:w="3312" w:type="dxa"/>
            <w:tcMar>
              <w:top w:w="90" w:type="dxa"/>
              <w:left w:w="100" w:type="dxa"/>
              <w:bottom w:w="90" w:type="dxa"/>
              <w:right w:w="100" w:type="dxa"/>
            </w:tcMar>
            <w:vAlign w:val="center"/>
          </w:tcPr>
          <w:p w14:paraId="2EFC48A4" w14:textId="77777777" w:rsidR="0084721C" w:rsidRDefault="009B07FB">
            <w:pPr>
              <w:spacing w:line="252" w:lineRule="auto"/>
            </w:pPr>
            <w:proofErr w:type="spellStart"/>
            <w:r>
              <w:rPr>
                <w:sz w:val="17"/>
              </w:rPr>
              <w:lastRenderedPageBreak/>
              <w:t>行政規則可做</w:t>
            </w:r>
            <w:proofErr w:type="spellEnd"/>
          </w:p>
        </w:tc>
        <w:tc>
          <w:tcPr>
            <w:tcW w:w="3312" w:type="dxa"/>
            <w:tcMar>
              <w:top w:w="90" w:type="dxa"/>
              <w:left w:w="100" w:type="dxa"/>
              <w:bottom w:w="90" w:type="dxa"/>
              <w:right w:w="100" w:type="dxa"/>
            </w:tcMar>
            <w:vAlign w:val="center"/>
          </w:tcPr>
          <w:p w14:paraId="1F7B998A" w14:textId="77777777" w:rsidR="0084721C" w:rsidRDefault="009B07FB">
            <w:pPr>
              <w:spacing w:line="252" w:lineRule="auto"/>
              <w:rPr>
                <w:lang w:eastAsia="zh-TW"/>
              </w:rPr>
            </w:pPr>
            <w:r>
              <w:rPr>
                <w:sz w:val="17"/>
                <w:lang w:eastAsia="zh-TW"/>
              </w:rPr>
              <w:t>由主管機關建立風險分級、標準證據包、跨機關升級與雙語異議程序。</w:t>
            </w:r>
          </w:p>
        </w:tc>
        <w:tc>
          <w:tcPr>
            <w:tcW w:w="3312" w:type="dxa"/>
            <w:tcMar>
              <w:top w:w="90" w:type="dxa"/>
              <w:left w:w="100" w:type="dxa"/>
              <w:bottom w:w="90" w:type="dxa"/>
              <w:right w:w="100" w:type="dxa"/>
            </w:tcMar>
            <w:vAlign w:val="center"/>
          </w:tcPr>
          <w:p w14:paraId="63BE146E" w14:textId="77777777" w:rsidR="0084721C" w:rsidRDefault="009B07FB">
            <w:pPr>
              <w:spacing w:line="252" w:lineRule="auto"/>
              <w:rPr>
                <w:lang w:eastAsia="zh-TW"/>
              </w:rPr>
            </w:pPr>
            <w:r>
              <w:rPr>
                <w:sz w:val="17"/>
                <w:lang w:eastAsia="zh-TW"/>
              </w:rPr>
              <w:t>目的機關有一致的第一回應與事實盤點流程。</w:t>
            </w:r>
          </w:p>
        </w:tc>
      </w:tr>
      <w:tr w:rsidR="0084721C" w14:paraId="7E57D830" w14:textId="77777777">
        <w:trPr>
          <w:jc w:val="center"/>
        </w:trPr>
        <w:tc>
          <w:tcPr>
            <w:tcW w:w="3312" w:type="dxa"/>
            <w:tcMar>
              <w:top w:w="90" w:type="dxa"/>
              <w:left w:w="100" w:type="dxa"/>
              <w:bottom w:w="90" w:type="dxa"/>
              <w:right w:w="100" w:type="dxa"/>
            </w:tcMar>
            <w:vAlign w:val="center"/>
          </w:tcPr>
          <w:p w14:paraId="60E8F9D7" w14:textId="77777777" w:rsidR="0084721C" w:rsidRDefault="009B07FB">
            <w:pPr>
              <w:spacing w:line="252" w:lineRule="auto"/>
            </w:pPr>
            <w:proofErr w:type="spellStart"/>
            <w:r>
              <w:rPr>
                <w:sz w:val="17"/>
              </w:rPr>
              <w:t>需要法律配套</w:t>
            </w:r>
            <w:proofErr w:type="spellEnd"/>
          </w:p>
        </w:tc>
        <w:tc>
          <w:tcPr>
            <w:tcW w:w="3312" w:type="dxa"/>
            <w:tcMar>
              <w:top w:w="90" w:type="dxa"/>
              <w:left w:w="100" w:type="dxa"/>
              <w:bottom w:w="90" w:type="dxa"/>
              <w:right w:w="100" w:type="dxa"/>
            </w:tcMar>
            <w:vAlign w:val="center"/>
          </w:tcPr>
          <w:p w14:paraId="64C59D59" w14:textId="77777777" w:rsidR="0084721C" w:rsidRDefault="009B07FB">
            <w:pPr>
              <w:spacing w:line="252" w:lineRule="auto"/>
              <w:rPr>
                <w:lang w:eastAsia="zh-TW"/>
              </w:rPr>
            </w:pPr>
            <w:r>
              <w:rPr>
                <w:sz w:val="17"/>
                <w:lang w:eastAsia="zh-TW"/>
              </w:rPr>
              <w:t>增訂跨境權利事件的資料交付、法定停止命令、對外程序、責任與救濟依據。</w:t>
            </w:r>
          </w:p>
        </w:tc>
        <w:tc>
          <w:tcPr>
            <w:tcW w:w="3312" w:type="dxa"/>
            <w:tcMar>
              <w:top w:w="90" w:type="dxa"/>
              <w:left w:w="100" w:type="dxa"/>
              <w:bottom w:w="90" w:type="dxa"/>
              <w:right w:w="100" w:type="dxa"/>
            </w:tcMar>
            <w:vAlign w:val="center"/>
          </w:tcPr>
          <w:p w14:paraId="0C323CEC" w14:textId="77777777" w:rsidR="0084721C" w:rsidRDefault="009B07FB">
            <w:pPr>
              <w:spacing w:line="252" w:lineRule="auto"/>
              <w:rPr>
                <w:lang w:eastAsia="zh-TW"/>
              </w:rPr>
            </w:pPr>
            <w:r>
              <w:rPr>
                <w:sz w:val="17"/>
                <w:lang w:eastAsia="zh-TW"/>
              </w:rPr>
              <w:t>在法律授權範圍內，對特定機關或業者形成拘束力。</w:t>
            </w:r>
          </w:p>
        </w:tc>
      </w:tr>
      <w:tr w:rsidR="0084721C" w14:paraId="23FEADF4" w14:textId="77777777">
        <w:trPr>
          <w:jc w:val="center"/>
        </w:trPr>
        <w:tc>
          <w:tcPr>
            <w:tcW w:w="3312" w:type="dxa"/>
            <w:tcMar>
              <w:top w:w="90" w:type="dxa"/>
              <w:left w:w="100" w:type="dxa"/>
              <w:bottom w:w="90" w:type="dxa"/>
              <w:right w:w="100" w:type="dxa"/>
            </w:tcMar>
            <w:vAlign w:val="center"/>
          </w:tcPr>
          <w:p w14:paraId="0B0D9AF5" w14:textId="77777777" w:rsidR="0084721C" w:rsidRDefault="009B07FB">
            <w:pPr>
              <w:spacing w:line="252" w:lineRule="auto"/>
            </w:pPr>
            <w:proofErr w:type="spellStart"/>
            <w:r>
              <w:rPr>
                <w:sz w:val="17"/>
              </w:rPr>
              <w:t>國家統籌</w:t>
            </w:r>
            <w:proofErr w:type="spellEnd"/>
          </w:p>
        </w:tc>
        <w:tc>
          <w:tcPr>
            <w:tcW w:w="3312" w:type="dxa"/>
            <w:tcMar>
              <w:top w:w="90" w:type="dxa"/>
              <w:left w:w="100" w:type="dxa"/>
              <w:bottom w:w="90" w:type="dxa"/>
              <w:right w:w="100" w:type="dxa"/>
            </w:tcMar>
            <w:vAlign w:val="center"/>
          </w:tcPr>
          <w:p w14:paraId="23FE63AD" w14:textId="77777777" w:rsidR="0084721C" w:rsidRDefault="009B07FB">
            <w:pPr>
              <w:spacing w:line="252" w:lineRule="auto"/>
              <w:rPr>
                <w:lang w:eastAsia="zh-TW"/>
              </w:rPr>
            </w:pPr>
            <w:proofErr w:type="gramStart"/>
            <w:r>
              <w:rPr>
                <w:sz w:val="17"/>
                <w:lang w:eastAsia="zh-TW"/>
              </w:rPr>
              <w:t>達跨機關</w:t>
            </w:r>
            <w:proofErr w:type="gramEnd"/>
            <w:r>
              <w:rPr>
                <w:sz w:val="17"/>
                <w:lang w:eastAsia="zh-TW"/>
              </w:rPr>
              <w:t>、重大供應鏈、國安、出口管制或對外經貿風險門檻時，行政院指定統籌責任者。</w:t>
            </w:r>
          </w:p>
        </w:tc>
        <w:tc>
          <w:tcPr>
            <w:tcW w:w="3312" w:type="dxa"/>
            <w:tcMar>
              <w:top w:w="90" w:type="dxa"/>
              <w:left w:w="100" w:type="dxa"/>
              <w:bottom w:w="90" w:type="dxa"/>
              <w:right w:w="100" w:type="dxa"/>
            </w:tcMar>
            <w:vAlign w:val="center"/>
          </w:tcPr>
          <w:p w14:paraId="71429FF0" w14:textId="77777777" w:rsidR="0084721C" w:rsidRDefault="009B07FB">
            <w:pPr>
              <w:spacing w:line="252" w:lineRule="auto"/>
              <w:rPr>
                <w:lang w:eastAsia="zh-TW"/>
              </w:rPr>
            </w:pPr>
            <w:r>
              <w:rPr>
                <w:sz w:val="17"/>
                <w:lang w:eastAsia="zh-TW"/>
              </w:rPr>
              <w:t>各部會提供可追溯的專業判斷；統籌者整合為一致的國家說明。</w:t>
            </w:r>
          </w:p>
        </w:tc>
      </w:tr>
      <w:tr w:rsidR="0084721C" w14:paraId="15C95F4A" w14:textId="77777777">
        <w:trPr>
          <w:jc w:val="center"/>
        </w:trPr>
        <w:tc>
          <w:tcPr>
            <w:tcW w:w="3312" w:type="dxa"/>
            <w:tcMar>
              <w:top w:w="90" w:type="dxa"/>
              <w:left w:w="100" w:type="dxa"/>
              <w:bottom w:w="90" w:type="dxa"/>
              <w:right w:w="100" w:type="dxa"/>
            </w:tcMar>
            <w:vAlign w:val="center"/>
          </w:tcPr>
          <w:p w14:paraId="7C64358A" w14:textId="77777777" w:rsidR="0084721C" w:rsidRDefault="009B07FB">
            <w:pPr>
              <w:spacing w:line="252" w:lineRule="auto"/>
            </w:pPr>
            <w:proofErr w:type="spellStart"/>
            <w:r>
              <w:rPr>
                <w:sz w:val="17"/>
              </w:rPr>
              <w:t>對外回應</w:t>
            </w:r>
            <w:proofErr w:type="spellEnd"/>
          </w:p>
        </w:tc>
        <w:tc>
          <w:tcPr>
            <w:tcW w:w="3312" w:type="dxa"/>
            <w:tcMar>
              <w:top w:w="90" w:type="dxa"/>
              <w:left w:w="100" w:type="dxa"/>
              <w:bottom w:w="90" w:type="dxa"/>
              <w:right w:w="100" w:type="dxa"/>
            </w:tcMar>
            <w:vAlign w:val="center"/>
          </w:tcPr>
          <w:p w14:paraId="2B66EF69" w14:textId="77777777" w:rsidR="0084721C" w:rsidRDefault="009B07FB">
            <w:pPr>
              <w:spacing w:line="252" w:lineRule="auto"/>
              <w:rPr>
                <w:lang w:eastAsia="zh-TW"/>
              </w:rPr>
            </w:pPr>
            <w:r>
              <w:rPr>
                <w:sz w:val="17"/>
                <w:lang w:eastAsia="zh-TW"/>
              </w:rPr>
              <w:t>建立外國權利人、企業與合作政府可使用的聯絡與補救程序（至少中英雙語入口）。</w:t>
            </w:r>
          </w:p>
        </w:tc>
        <w:tc>
          <w:tcPr>
            <w:tcW w:w="3312" w:type="dxa"/>
            <w:tcMar>
              <w:top w:w="90" w:type="dxa"/>
              <w:left w:w="100" w:type="dxa"/>
              <w:bottom w:w="90" w:type="dxa"/>
              <w:right w:w="100" w:type="dxa"/>
            </w:tcMar>
            <w:vAlign w:val="center"/>
          </w:tcPr>
          <w:p w14:paraId="26FB67C9" w14:textId="77777777" w:rsidR="0084721C" w:rsidRDefault="009B07FB">
            <w:pPr>
              <w:spacing w:line="252" w:lineRule="auto"/>
              <w:rPr>
                <w:lang w:eastAsia="zh-TW"/>
              </w:rPr>
            </w:pPr>
            <w:r>
              <w:rPr>
                <w:sz w:val="17"/>
                <w:lang w:eastAsia="zh-TW"/>
              </w:rPr>
              <w:t>臺灣能提出已保存的證據與已執行的停止紀錄，而非事後危機公關。</w:t>
            </w:r>
          </w:p>
        </w:tc>
      </w:tr>
    </w:tbl>
    <w:p w14:paraId="6959687B" w14:textId="77777777" w:rsidR="0084721C" w:rsidRDefault="0084721C">
      <w:pPr>
        <w:spacing w:after="40"/>
        <w:rPr>
          <w:lang w:eastAsia="zh-TW"/>
        </w:rPr>
      </w:pPr>
    </w:p>
    <w:p w14:paraId="260A2548" w14:textId="77777777" w:rsidR="0084721C" w:rsidRDefault="009B07FB">
      <w:pPr>
        <w:spacing w:after="120" w:line="324" w:lineRule="auto"/>
        <w:rPr>
          <w:lang w:eastAsia="zh-TW"/>
        </w:rPr>
      </w:pPr>
      <w:r>
        <w:rPr>
          <w:lang w:eastAsia="zh-TW"/>
        </w:rPr>
        <w:t>這不是主張消滅數發部、智財局、</w:t>
      </w:r>
      <w:r>
        <w:rPr>
          <w:lang w:eastAsia="zh-TW"/>
        </w:rPr>
        <w:t>資策會科法所或其他專業單位；應撤除的是它們以「參考手冊、研究報告或意見提供」取代個案責任的制度位置。研究機構仍可提出企業治理與比較法知識，數</w:t>
      </w:r>
      <w:proofErr w:type="gramStart"/>
      <w:r>
        <w:rPr>
          <w:lang w:eastAsia="zh-TW"/>
        </w:rPr>
        <w:t>發部仍可</w:t>
      </w:r>
      <w:proofErr w:type="gramEnd"/>
      <w:r>
        <w:rPr>
          <w:lang w:eastAsia="zh-TW"/>
        </w:rPr>
        <w:t>制定技術標準，智財局仍可處理權利法制；但任何單位均不得再以自己「僅供參考」為由，讓目的機關、供應商與國家統籌者之間的責任消失。</w:t>
      </w:r>
    </w:p>
    <w:p w14:paraId="6E44F287" w14:textId="77777777" w:rsidR="0084721C" w:rsidRDefault="009B07FB">
      <w:pPr>
        <w:spacing w:after="120" w:line="324" w:lineRule="auto"/>
        <w:rPr>
          <w:lang w:eastAsia="zh-TW"/>
        </w:rPr>
      </w:pPr>
      <w:r>
        <w:rPr>
          <w:lang w:eastAsia="zh-TW"/>
        </w:rPr>
        <w:t>比較視野進一步確認：臺灣並非缺乏原則或機關，而是缺乏能在跨境權利主張出現時，立即提出「可被世界檢驗的行政證據」的制度裝置。中國大陸以提供者為中心的閘門、歐盟的透明度義務、美國的訴訟與安全雙軌，各有其脈絡與限制。臺灣若能把第十八篇的機關層</w:t>
      </w:r>
      <w:r>
        <w:rPr>
          <w:lang w:eastAsia="zh-TW"/>
        </w:rPr>
        <w:t>權利責任鏈，透過法律最低義務、採購契約工具與行政院指定統籌，推到國家層級，就能在「出事後才開始治理」與「事前保留可驗證證據」</w:t>
      </w:r>
      <w:proofErr w:type="gramStart"/>
      <w:r>
        <w:rPr>
          <w:lang w:eastAsia="zh-TW"/>
        </w:rPr>
        <w:t>之間，做出清楚的</w:t>
      </w:r>
      <w:proofErr w:type="gramEnd"/>
      <w:r>
        <w:rPr>
          <w:lang w:eastAsia="zh-TW"/>
        </w:rPr>
        <w:t>選擇。</w:t>
      </w:r>
    </w:p>
    <w:p w14:paraId="661907CC" w14:textId="77777777" w:rsidR="0084721C" w:rsidRDefault="009B07FB">
      <w:pPr>
        <w:spacing w:after="120" w:line="324" w:lineRule="auto"/>
        <w:rPr>
          <w:lang w:eastAsia="zh-TW"/>
        </w:rPr>
      </w:pPr>
      <w:r>
        <w:rPr>
          <w:lang w:eastAsia="zh-TW"/>
        </w:rPr>
        <w:t>因此，最低要求只有三項，並與第十八篇呼應：</w:t>
      </w:r>
    </w:p>
    <w:p w14:paraId="694D0688" w14:textId="77777777" w:rsidR="0084721C" w:rsidRDefault="009B07FB">
      <w:pPr>
        <w:spacing w:after="120" w:line="324" w:lineRule="auto"/>
        <w:rPr>
          <w:lang w:eastAsia="zh-TW"/>
        </w:rPr>
      </w:pPr>
      <w:r>
        <w:rPr>
          <w:lang w:eastAsia="zh-TW"/>
        </w:rPr>
        <w:t xml:space="preserve">1. </w:t>
      </w:r>
      <w:r>
        <w:rPr>
          <w:lang w:eastAsia="zh-TW"/>
        </w:rPr>
        <w:t>政府</w:t>
      </w:r>
      <w:r>
        <w:rPr>
          <w:lang w:eastAsia="zh-TW"/>
        </w:rPr>
        <w:t>AI</w:t>
      </w:r>
      <w:r>
        <w:rPr>
          <w:lang w:eastAsia="zh-TW"/>
        </w:rPr>
        <w:t>使用的每一項第三人內容（含跨境來源），應能說明權利從哪裡來、用到哪一步。</w:t>
      </w:r>
    </w:p>
    <w:p w14:paraId="4B007F0D" w14:textId="77777777" w:rsidR="0084721C" w:rsidRDefault="009B07FB">
      <w:pPr>
        <w:spacing w:after="120" w:line="324" w:lineRule="auto"/>
        <w:rPr>
          <w:lang w:eastAsia="zh-TW"/>
        </w:rPr>
      </w:pPr>
      <w:r>
        <w:rPr>
          <w:lang w:eastAsia="zh-TW"/>
        </w:rPr>
        <w:t xml:space="preserve">2. </w:t>
      </w:r>
      <w:r>
        <w:rPr>
          <w:lang w:eastAsia="zh-TW"/>
        </w:rPr>
        <w:t>出現疑義時，應有一位能實際停止使用、保全證據並啟動升級的人。</w:t>
      </w:r>
    </w:p>
    <w:p w14:paraId="6D16E1EC" w14:textId="77777777" w:rsidR="0084721C" w:rsidRDefault="009B07FB">
      <w:pPr>
        <w:spacing w:after="120" w:line="324" w:lineRule="auto"/>
        <w:rPr>
          <w:lang w:eastAsia="zh-TW"/>
        </w:rPr>
      </w:pPr>
      <w:r>
        <w:rPr>
          <w:lang w:eastAsia="zh-TW"/>
        </w:rPr>
        <w:t xml:space="preserve">3. </w:t>
      </w:r>
      <w:r>
        <w:rPr>
          <w:lang w:eastAsia="zh-TW"/>
        </w:rPr>
        <w:t>權利人（含境外）應能在不先提告的情況下，找到一個必須回應的入口。</w:t>
      </w:r>
    </w:p>
    <w:p w14:paraId="21E61086" w14:textId="77777777" w:rsidR="0084721C" w:rsidRDefault="009B07FB">
      <w:pPr>
        <w:spacing w:after="120" w:line="324" w:lineRule="auto"/>
        <w:rPr>
          <w:lang w:eastAsia="zh-TW"/>
        </w:rPr>
      </w:pPr>
      <w:r>
        <w:rPr>
          <w:lang w:eastAsia="zh-TW"/>
        </w:rPr>
        <w:lastRenderedPageBreak/>
        <w:t>若這三題沒有制度上的答案，臺灣</w:t>
      </w:r>
      <w:r>
        <w:rPr>
          <w:lang w:eastAsia="zh-TW"/>
        </w:rPr>
        <w:t>AI</w:t>
      </w:r>
      <w:r>
        <w:rPr>
          <w:lang w:eastAsia="zh-TW"/>
        </w:rPr>
        <w:t>治理在跨</w:t>
      </w:r>
      <w:proofErr w:type="gramStart"/>
      <w:r>
        <w:rPr>
          <w:lang w:eastAsia="zh-TW"/>
        </w:rPr>
        <w:t>境場域仍</w:t>
      </w:r>
      <w:proofErr w:type="gramEnd"/>
      <w:r>
        <w:rPr>
          <w:lang w:eastAsia="zh-TW"/>
        </w:rPr>
        <w:t>將是「出事後才開始治理」。而這正是本文要測試、也要避免的治理失效。國家能力不在於事後是否能辯護，而在於事前能否保留可被世界檢驗的行政證據</w:t>
      </w:r>
      <w:proofErr w:type="gramStart"/>
      <w:r>
        <w:rPr>
          <w:lang w:eastAsia="zh-TW"/>
        </w:rPr>
        <w:t>—</w:t>
      </w:r>
      <w:proofErr w:type="gramEnd"/>
      <w:r>
        <w:rPr>
          <w:lang w:eastAsia="zh-TW"/>
        </w:rPr>
        <w:t>—</w:t>
      </w:r>
      <w:r>
        <w:rPr>
          <w:lang w:eastAsia="zh-TW"/>
        </w:rPr>
        <w:t>無論權利人來自臺灣、中國大陸、歐盟、美國或其他</w:t>
      </w:r>
      <w:proofErr w:type="gramStart"/>
      <w:r>
        <w:rPr>
          <w:lang w:eastAsia="zh-TW"/>
        </w:rPr>
        <w:t>法域</w:t>
      </w:r>
      <w:proofErr w:type="gramEnd"/>
      <w:r>
        <w:rPr>
          <w:lang w:eastAsia="zh-TW"/>
        </w:rPr>
        <w:t>。</w:t>
      </w:r>
    </w:p>
    <w:p w14:paraId="1214ACD7" w14:textId="77777777" w:rsidR="0084721C" w:rsidRDefault="009B07FB">
      <w:pPr>
        <w:spacing w:after="140" w:line="324" w:lineRule="auto"/>
        <w:rPr>
          <w:lang w:eastAsia="zh-TW"/>
        </w:rPr>
      </w:pPr>
      <w:r>
        <w:rPr>
          <w:b/>
          <w:sz w:val="26"/>
          <w:lang w:eastAsia="zh-TW"/>
        </w:rPr>
        <w:t>附表：法律主張、原始來源與本文用途核對表</w:t>
      </w:r>
    </w:p>
    <w:tbl>
      <w:tblPr>
        <w:tblStyle w:val="aff2"/>
        <w:tblW w:w="0" w:type="auto"/>
        <w:jc w:val="center"/>
        <w:tblLook w:val="04A0" w:firstRow="1" w:lastRow="0" w:firstColumn="1" w:lastColumn="0" w:noHBand="0" w:noVBand="1"/>
      </w:tblPr>
      <w:tblGrid>
        <w:gridCol w:w="3312"/>
        <w:gridCol w:w="3312"/>
        <w:gridCol w:w="3312"/>
      </w:tblGrid>
      <w:tr w:rsidR="0084721C" w14:paraId="2AC4D133" w14:textId="77777777">
        <w:trPr>
          <w:jc w:val="center"/>
        </w:trPr>
        <w:tc>
          <w:tcPr>
            <w:tcW w:w="3312" w:type="dxa"/>
            <w:shd w:val="clear" w:color="auto" w:fill="DCE6F2"/>
            <w:tcMar>
              <w:top w:w="90" w:type="dxa"/>
              <w:left w:w="100" w:type="dxa"/>
              <w:bottom w:w="90" w:type="dxa"/>
              <w:right w:w="100" w:type="dxa"/>
            </w:tcMar>
            <w:vAlign w:val="center"/>
          </w:tcPr>
          <w:p w14:paraId="3E376482" w14:textId="77777777" w:rsidR="0084721C" w:rsidRDefault="009B07FB">
            <w:pPr>
              <w:spacing w:line="252" w:lineRule="auto"/>
            </w:pPr>
            <w:proofErr w:type="spellStart"/>
            <w:r>
              <w:rPr>
                <w:b/>
                <w:sz w:val="17"/>
              </w:rPr>
              <w:t>正文主張</w:t>
            </w:r>
            <w:proofErr w:type="spellEnd"/>
          </w:p>
        </w:tc>
        <w:tc>
          <w:tcPr>
            <w:tcW w:w="3312" w:type="dxa"/>
            <w:shd w:val="clear" w:color="auto" w:fill="DCE6F2"/>
            <w:tcMar>
              <w:top w:w="90" w:type="dxa"/>
              <w:left w:w="100" w:type="dxa"/>
              <w:bottom w:w="90" w:type="dxa"/>
              <w:right w:w="100" w:type="dxa"/>
            </w:tcMar>
            <w:vAlign w:val="center"/>
          </w:tcPr>
          <w:p w14:paraId="6E17B61A" w14:textId="77777777" w:rsidR="0084721C" w:rsidRDefault="009B07FB">
            <w:pPr>
              <w:spacing w:line="252" w:lineRule="auto"/>
            </w:pPr>
            <w:r>
              <w:rPr>
                <w:b/>
                <w:sz w:val="17"/>
              </w:rPr>
              <w:t>原始來源與條文</w:t>
            </w:r>
          </w:p>
        </w:tc>
        <w:tc>
          <w:tcPr>
            <w:tcW w:w="3312" w:type="dxa"/>
            <w:shd w:val="clear" w:color="auto" w:fill="DCE6F2"/>
            <w:tcMar>
              <w:top w:w="90" w:type="dxa"/>
              <w:left w:w="100" w:type="dxa"/>
              <w:bottom w:w="90" w:type="dxa"/>
              <w:right w:w="100" w:type="dxa"/>
            </w:tcMar>
            <w:vAlign w:val="center"/>
          </w:tcPr>
          <w:p w14:paraId="1EB1EC59" w14:textId="77777777" w:rsidR="0084721C" w:rsidRDefault="009B07FB">
            <w:pPr>
              <w:spacing w:line="252" w:lineRule="auto"/>
            </w:pPr>
            <w:r>
              <w:rPr>
                <w:b/>
                <w:sz w:val="17"/>
              </w:rPr>
              <w:t>本文用途與界線</w:t>
            </w:r>
          </w:p>
        </w:tc>
      </w:tr>
      <w:tr w:rsidR="0084721C" w14:paraId="2F6FF5C8" w14:textId="77777777">
        <w:trPr>
          <w:jc w:val="center"/>
        </w:trPr>
        <w:tc>
          <w:tcPr>
            <w:tcW w:w="3312" w:type="dxa"/>
            <w:tcMar>
              <w:top w:w="90" w:type="dxa"/>
              <w:left w:w="100" w:type="dxa"/>
              <w:bottom w:w="90" w:type="dxa"/>
              <w:right w:w="100" w:type="dxa"/>
            </w:tcMar>
            <w:vAlign w:val="center"/>
          </w:tcPr>
          <w:p w14:paraId="5B9A5436" w14:textId="77777777" w:rsidR="0084721C" w:rsidRDefault="009B07FB">
            <w:pPr>
              <w:spacing w:line="252" w:lineRule="auto"/>
              <w:rPr>
                <w:lang w:eastAsia="zh-TW"/>
              </w:rPr>
            </w:pPr>
            <w:r>
              <w:rPr>
                <w:sz w:val="17"/>
                <w:lang w:eastAsia="zh-TW"/>
              </w:rPr>
              <w:t>臺灣政府使用</w:t>
            </w:r>
            <w:r>
              <w:rPr>
                <w:sz w:val="17"/>
                <w:lang w:eastAsia="zh-TW"/>
              </w:rPr>
              <w:t>AI</w:t>
            </w:r>
            <w:r>
              <w:rPr>
                <w:sz w:val="17"/>
                <w:lang w:eastAsia="zh-TW"/>
              </w:rPr>
              <w:t>時應進行風險評估並建立內控或使用規範。</w:t>
            </w:r>
          </w:p>
        </w:tc>
        <w:tc>
          <w:tcPr>
            <w:tcW w:w="3312" w:type="dxa"/>
            <w:tcMar>
              <w:top w:w="90" w:type="dxa"/>
              <w:left w:w="100" w:type="dxa"/>
              <w:bottom w:w="90" w:type="dxa"/>
              <w:right w:w="100" w:type="dxa"/>
            </w:tcMar>
            <w:vAlign w:val="center"/>
          </w:tcPr>
          <w:p w14:paraId="4A9D8EC8" w14:textId="77777777" w:rsidR="0084721C" w:rsidRDefault="009B07FB">
            <w:pPr>
              <w:spacing w:line="252" w:lineRule="auto"/>
              <w:rPr>
                <w:lang w:eastAsia="zh-TW"/>
              </w:rPr>
            </w:pPr>
            <w:r>
              <w:rPr>
                <w:sz w:val="17"/>
                <w:lang w:eastAsia="zh-TW"/>
              </w:rPr>
              <w:t>《人工智慧基本法》第</w:t>
            </w:r>
            <w:r>
              <w:rPr>
                <w:sz w:val="17"/>
                <w:lang w:eastAsia="zh-TW"/>
              </w:rPr>
              <w:t>19</w:t>
            </w:r>
            <w:r>
              <w:rPr>
                <w:sz w:val="17"/>
                <w:lang w:eastAsia="zh-TW"/>
              </w:rPr>
              <w:t>條。</w:t>
            </w:r>
          </w:p>
        </w:tc>
        <w:tc>
          <w:tcPr>
            <w:tcW w:w="3312" w:type="dxa"/>
            <w:tcMar>
              <w:top w:w="90" w:type="dxa"/>
              <w:left w:w="100" w:type="dxa"/>
              <w:bottom w:w="90" w:type="dxa"/>
              <w:right w:w="100" w:type="dxa"/>
            </w:tcMar>
            <w:vAlign w:val="center"/>
          </w:tcPr>
          <w:p w14:paraId="197B6F77" w14:textId="77777777" w:rsidR="0084721C" w:rsidRDefault="009B07FB">
            <w:pPr>
              <w:spacing w:line="252" w:lineRule="auto"/>
              <w:rPr>
                <w:lang w:eastAsia="zh-TW"/>
              </w:rPr>
            </w:pPr>
            <w:r>
              <w:rPr>
                <w:sz w:val="17"/>
                <w:lang w:eastAsia="zh-TW"/>
              </w:rPr>
              <w:t>現行法介面；不等於已有跨境權利事件的停止命令制度。</w:t>
            </w:r>
          </w:p>
        </w:tc>
      </w:tr>
      <w:tr w:rsidR="0084721C" w14:paraId="27D424C0" w14:textId="77777777">
        <w:trPr>
          <w:jc w:val="center"/>
        </w:trPr>
        <w:tc>
          <w:tcPr>
            <w:tcW w:w="3312" w:type="dxa"/>
            <w:tcMar>
              <w:top w:w="90" w:type="dxa"/>
              <w:left w:w="100" w:type="dxa"/>
              <w:bottom w:w="90" w:type="dxa"/>
              <w:right w:w="100" w:type="dxa"/>
            </w:tcMar>
            <w:vAlign w:val="center"/>
          </w:tcPr>
          <w:p w14:paraId="7534D36B" w14:textId="77777777" w:rsidR="0084721C" w:rsidRDefault="009B07FB">
            <w:pPr>
              <w:spacing w:line="252" w:lineRule="auto"/>
              <w:rPr>
                <w:lang w:eastAsia="zh-TW"/>
              </w:rPr>
            </w:pPr>
            <w:r>
              <w:rPr>
                <w:sz w:val="17"/>
                <w:lang w:eastAsia="zh-TW"/>
              </w:rPr>
              <w:t>國科會、行政院特別委員會與數發部風險框架各</w:t>
            </w:r>
            <w:r>
              <w:rPr>
                <w:sz w:val="17"/>
                <w:lang w:eastAsia="zh-TW"/>
              </w:rPr>
              <w:t>有定位。</w:t>
            </w:r>
          </w:p>
        </w:tc>
        <w:tc>
          <w:tcPr>
            <w:tcW w:w="3312" w:type="dxa"/>
            <w:tcMar>
              <w:top w:w="90" w:type="dxa"/>
              <w:left w:w="100" w:type="dxa"/>
              <w:bottom w:w="90" w:type="dxa"/>
              <w:right w:w="100" w:type="dxa"/>
            </w:tcMar>
            <w:vAlign w:val="center"/>
          </w:tcPr>
          <w:p w14:paraId="069FA0F1" w14:textId="77777777" w:rsidR="0084721C" w:rsidRDefault="009B07FB">
            <w:pPr>
              <w:spacing w:line="252" w:lineRule="auto"/>
              <w:rPr>
                <w:lang w:eastAsia="zh-TW"/>
              </w:rPr>
            </w:pPr>
            <w:r>
              <w:rPr>
                <w:sz w:val="17"/>
                <w:lang w:eastAsia="zh-TW"/>
              </w:rPr>
              <w:t>《人工智慧基本法》第</w:t>
            </w:r>
            <w:r>
              <w:rPr>
                <w:sz w:val="17"/>
                <w:lang w:eastAsia="zh-TW"/>
              </w:rPr>
              <w:t>2</w:t>
            </w:r>
            <w:r>
              <w:rPr>
                <w:sz w:val="17"/>
                <w:lang w:eastAsia="zh-TW"/>
              </w:rPr>
              <w:t>、</w:t>
            </w:r>
            <w:r>
              <w:rPr>
                <w:sz w:val="17"/>
                <w:lang w:eastAsia="zh-TW"/>
              </w:rPr>
              <w:t>6</w:t>
            </w:r>
            <w:r>
              <w:rPr>
                <w:sz w:val="17"/>
                <w:lang w:eastAsia="zh-TW"/>
              </w:rPr>
              <w:t>、</w:t>
            </w:r>
            <w:r>
              <w:rPr>
                <w:sz w:val="17"/>
                <w:lang w:eastAsia="zh-TW"/>
              </w:rPr>
              <w:t>16</w:t>
            </w:r>
            <w:r>
              <w:rPr>
                <w:sz w:val="17"/>
                <w:lang w:eastAsia="zh-TW"/>
              </w:rPr>
              <w:t>條。</w:t>
            </w:r>
          </w:p>
        </w:tc>
        <w:tc>
          <w:tcPr>
            <w:tcW w:w="3312" w:type="dxa"/>
            <w:tcMar>
              <w:top w:w="90" w:type="dxa"/>
              <w:left w:w="100" w:type="dxa"/>
              <w:bottom w:w="90" w:type="dxa"/>
              <w:right w:w="100" w:type="dxa"/>
            </w:tcMar>
            <w:vAlign w:val="center"/>
          </w:tcPr>
          <w:p w14:paraId="34EDF4C6" w14:textId="77777777" w:rsidR="0084721C" w:rsidRDefault="009B07FB">
            <w:pPr>
              <w:spacing w:line="252" w:lineRule="auto"/>
              <w:rPr>
                <w:lang w:eastAsia="zh-TW"/>
              </w:rPr>
            </w:pPr>
            <w:r>
              <w:rPr>
                <w:sz w:val="17"/>
                <w:lang w:eastAsia="zh-TW"/>
              </w:rPr>
              <w:t>說明既有制度零件；本文的跨境升級程序屬規範主張。</w:t>
            </w:r>
          </w:p>
        </w:tc>
      </w:tr>
      <w:tr w:rsidR="0084721C" w14:paraId="58604DCE" w14:textId="77777777">
        <w:trPr>
          <w:jc w:val="center"/>
        </w:trPr>
        <w:tc>
          <w:tcPr>
            <w:tcW w:w="3312" w:type="dxa"/>
            <w:tcMar>
              <w:top w:w="90" w:type="dxa"/>
              <w:left w:w="100" w:type="dxa"/>
              <w:bottom w:w="90" w:type="dxa"/>
              <w:right w:w="100" w:type="dxa"/>
            </w:tcMar>
            <w:vAlign w:val="center"/>
          </w:tcPr>
          <w:p w14:paraId="1092A4E8" w14:textId="77777777" w:rsidR="0084721C" w:rsidRDefault="009B07FB">
            <w:pPr>
              <w:spacing w:line="252" w:lineRule="auto"/>
              <w:rPr>
                <w:lang w:eastAsia="zh-TW"/>
              </w:rPr>
            </w:pPr>
            <w:r>
              <w:rPr>
                <w:sz w:val="17"/>
                <w:lang w:eastAsia="zh-TW"/>
              </w:rPr>
              <w:t>中國大陸暫行辦法主要適用於向境內公眾提供服務，並課提供者資料、投訴與說明義務。</w:t>
            </w:r>
          </w:p>
        </w:tc>
        <w:tc>
          <w:tcPr>
            <w:tcW w:w="3312" w:type="dxa"/>
            <w:tcMar>
              <w:top w:w="90" w:type="dxa"/>
              <w:left w:w="100" w:type="dxa"/>
              <w:bottom w:w="90" w:type="dxa"/>
              <w:right w:w="100" w:type="dxa"/>
            </w:tcMar>
            <w:vAlign w:val="center"/>
          </w:tcPr>
          <w:p w14:paraId="64CD12E0" w14:textId="77777777" w:rsidR="0084721C" w:rsidRDefault="009B07FB">
            <w:pPr>
              <w:spacing w:line="252" w:lineRule="auto"/>
              <w:rPr>
                <w:lang w:eastAsia="zh-TW"/>
              </w:rPr>
            </w:pPr>
            <w:proofErr w:type="gramStart"/>
            <w:r>
              <w:rPr>
                <w:sz w:val="17"/>
                <w:lang w:eastAsia="zh-TW"/>
              </w:rPr>
              <w:t>《</w:t>
            </w:r>
            <w:proofErr w:type="gramEnd"/>
            <w:r>
              <w:rPr>
                <w:sz w:val="17"/>
                <w:lang w:eastAsia="zh-TW"/>
              </w:rPr>
              <w:t>生成式人工智能服务管理暂行办法》第</w:t>
            </w:r>
            <w:r>
              <w:rPr>
                <w:sz w:val="17"/>
                <w:lang w:eastAsia="zh-TW"/>
              </w:rPr>
              <w:t>2</w:t>
            </w:r>
            <w:r>
              <w:rPr>
                <w:sz w:val="17"/>
                <w:lang w:eastAsia="zh-TW"/>
              </w:rPr>
              <w:t>、</w:t>
            </w:r>
            <w:r>
              <w:rPr>
                <w:sz w:val="17"/>
                <w:lang w:eastAsia="zh-TW"/>
              </w:rPr>
              <w:t>7</w:t>
            </w:r>
            <w:r>
              <w:rPr>
                <w:sz w:val="17"/>
                <w:lang w:eastAsia="zh-TW"/>
              </w:rPr>
              <w:t>、</w:t>
            </w:r>
            <w:r>
              <w:rPr>
                <w:sz w:val="17"/>
                <w:lang w:eastAsia="zh-TW"/>
              </w:rPr>
              <w:t>15</w:t>
            </w:r>
            <w:r>
              <w:rPr>
                <w:sz w:val="17"/>
                <w:lang w:eastAsia="zh-TW"/>
              </w:rPr>
              <w:t>、</w:t>
            </w:r>
            <w:r>
              <w:rPr>
                <w:sz w:val="17"/>
                <w:lang w:eastAsia="zh-TW"/>
              </w:rPr>
              <w:t>19</w:t>
            </w:r>
            <w:r>
              <w:rPr>
                <w:sz w:val="17"/>
                <w:lang w:eastAsia="zh-TW"/>
              </w:rPr>
              <w:t>條。</w:t>
            </w:r>
          </w:p>
        </w:tc>
        <w:tc>
          <w:tcPr>
            <w:tcW w:w="3312" w:type="dxa"/>
            <w:tcMar>
              <w:top w:w="90" w:type="dxa"/>
              <w:left w:w="100" w:type="dxa"/>
              <w:bottom w:w="90" w:type="dxa"/>
              <w:right w:w="100" w:type="dxa"/>
            </w:tcMar>
            <w:vAlign w:val="center"/>
          </w:tcPr>
          <w:p w14:paraId="2A59F6DD" w14:textId="77777777" w:rsidR="0084721C" w:rsidRDefault="009B07FB">
            <w:pPr>
              <w:spacing w:line="252" w:lineRule="auto"/>
              <w:rPr>
                <w:lang w:eastAsia="zh-TW"/>
              </w:rPr>
            </w:pPr>
            <w:r>
              <w:rPr>
                <w:sz w:val="17"/>
                <w:lang w:eastAsia="zh-TW"/>
              </w:rPr>
              <w:t>比較提供者閘門；不推論其完整涵蓋政府內部</w:t>
            </w:r>
            <w:r>
              <w:rPr>
                <w:sz w:val="17"/>
                <w:lang w:eastAsia="zh-TW"/>
              </w:rPr>
              <w:t>RAG</w:t>
            </w:r>
            <w:r>
              <w:rPr>
                <w:sz w:val="17"/>
                <w:lang w:eastAsia="zh-TW"/>
              </w:rPr>
              <w:t>。</w:t>
            </w:r>
          </w:p>
        </w:tc>
      </w:tr>
      <w:tr w:rsidR="0084721C" w14:paraId="7DE42853" w14:textId="77777777">
        <w:trPr>
          <w:jc w:val="center"/>
        </w:trPr>
        <w:tc>
          <w:tcPr>
            <w:tcW w:w="3312" w:type="dxa"/>
            <w:tcMar>
              <w:top w:w="90" w:type="dxa"/>
              <w:left w:w="100" w:type="dxa"/>
              <w:bottom w:w="90" w:type="dxa"/>
              <w:right w:w="100" w:type="dxa"/>
            </w:tcMar>
            <w:vAlign w:val="center"/>
          </w:tcPr>
          <w:p w14:paraId="0195C9A8" w14:textId="77777777" w:rsidR="0084721C" w:rsidRDefault="009B07FB">
            <w:pPr>
              <w:spacing w:line="252" w:lineRule="auto"/>
              <w:rPr>
                <w:lang w:eastAsia="zh-TW"/>
              </w:rPr>
            </w:pPr>
            <w:r>
              <w:rPr>
                <w:sz w:val="17"/>
                <w:lang w:eastAsia="zh-TW"/>
              </w:rPr>
              <w:t>歐盟</w:t>
            </w:r>
            <w:r>
              <w:rPr>
                <w:sz w:val="17"/>
                <w:lang w:eastAsia="zh-TW"/>
              </w:rPr>
              <w:t>GPAI</w:t>
            </w:r>
            <w:r>
              <w:rPr>
                <w:sz w:val="17"/>
                <w:lang w:eastAsia="zh-TW"/>
              </w:rPr>
              <w:t>提供者有著作權政策及訓練內容摘要義務。</w:t>
            </w:r>
          </w:p>
        </w:tc>
        <w:tc>
          <w:tcPr>
            <w:tcW w:w="3312" w:type="dxa"/>
            <w:tcMar>
              <w:top w:w="90" w:type="dxa"/>
              <w:left w:w="100" w:type="dxa"/>
              <w:bottom w:w="90" w:type="dxa"/>
              <w:right w:w="100" w:type="dxa"/>
            </w:tcMar>
            <w:vAlign w:val="center"/>
          </w:tcPr>
          <w:p w14:paraId="6A65E222" w14:textId="77777777" w:rsidR="0084721C" w:rsidRDefault="009B07FB">
            <w:pPr>
              <w:spacing w:line="252" w:lineRule="auto"/>
              <w:rPr>
                <w:lang w:eastAsia="zh-TW"/>
              </w:rPr>
            </w:pPr>
            <w:r>
              <w:rPr>
                <w:sz w:val="17"/>
                <w:lang w:eastAsia="zh-TW"/>
              </w:rPr>
              <w:t xml:space="preserve">AI Act </w:t>
            </w:r>
            <w:r>
              <w:rPr>
                <w:sz w:val="17"/>
                <w:lang w:eastAsia="zh-TW"/>
              </w:rPr>
              <w:t>第</w:t>
            </w:r>
            <w:r>
              <w:rPr>
                <w:sz w:val="17"/>
                <w:lang w:eastAsia="zh-TW"/>
              </w:rPr>
              <w:t>53</w:t>
            </w:r>
            <w:r>
              <w:rPr>
                <w:sz w:val="17"/>
                <w:lang w:eastAsia="zh-TW"/>
              </w:rPr>
              <w:t>條；第</w:t>
            </w:r>
            <w:r>
              <w:rPr>
                <w:sz w:val="17"/>
                <w:lang w:eastAsia="zh-TW"/>
              </w:rPr>
              <w:t>113</w:t>
            </w:r>
            <w:r>
              <w:rPr>
                <w:sz w:val="17"/>
                <w:lang w:eastAsia="zh-TW"/>
              </w:rPr>
              <w:t>條規定</w:t>
            </w:r>
            <w:r>
              <w:rPr>
                <w:sz w:val="17"/>
                <w:lang w:eastAsia="zh-TW"/>
              </w:rPr>
              <w:t>GPAI</w:t>
            </w:r>
            <w:r>
              <w:rPr>
                <w:sz w:val="17"/>
                <w:lang w:eastAsia="zh-TW"/>
              </w:rPr>
              <w:t>義務適用時點。</w:t>
            </w:r>
          </w:p>
        </w:tc>
        <w:tc>
          <w:tcPr>
            <w:tcW w:w="3312" w:type="dxa"/>
            <w:tcMar>
              <w:top w:w="90" w:type="dxa"/>
              <w:left w:w="100" w:type="dxa"/>
              <w:bottom w:w="90" w:type="dxa"/>
              <w:right w:w="100" w:type="dxa"/>
            </w:tcMar>
            <w:vAlign w:val="center"/>
          </w:tcPr>
          <w:p w14:paraId="61A123B8" w14:textId="77777777" w:rsidR="0084721C" w:rsidRDefault="009B07FB">
            <w:pPr>
              <w:spacing w:line="252" w:lineRule="auto"/>
              <w:rPr>
                <w:lang w:eastAsia="zh-TW"/>
              </w:rPr>
            </w:pPr>
            <w:r>
              <w:rPr>
                <w:sz w:val="17"/>
                <w:lang w:eastAsia="zh-TW"/>
              </w:rPr>
              <w:t>比較模型層透明度；不推論部署者</w:t>
            </w:r>
            <w:r>
              <w:rPr>
                <w:sz w:val="17"/>
                <w:lang w:eastAsia="zh-TW"/>
              </w:rPr>
              <w:t>RAG</w:t>
            </w:r>
            <w:r>
              <w:rPr>
                <w:sz w:val="17"/>
                <w:lang w:eastAsia="zh-TW"/>
              </w:rPr>
              <w:t>已自動取得授權。</w:t>
            </w:r>
          </w:p>
        </w:tc>
      </w:tr>
      <w:tr w:rsidR="0084721C" w14:paraId="02450273" w14:textId="77777777">
        <w:trPr>
          <w:jc w:val="center"/>
        </w:trPr>
        <w:tc>
          <w:tcPr>
            <w:tcW w:w="3312" w:type="dxa"/>
            <w:tcMar>
              <w:top w:w="90" w:type="dxa"/>
              <w:left w:w="100" w:type="dxa"/>
              <w:bottom w:w="90" w:type="dxa"/>
              <w:right w:w="100" w:type="dxa"/>
            </w:tcMar>
            <w:vAlign w:val="center"/>
          </w:tcPr>
          <w:p w14:paraId="34EBFA3B" w14:textId="77777777" w:rsidR="0084721C" w:rsidRDefault="009B07FB">
            <w:pPr>
              <w:spacing w:line="252" w:lineRule="auto"/>
              <w:rPr>
                <w:lang w:eastAsia="zh-TW"/>
              </w:rPr>
            </w:pPr>
            <w:r>
              <w:rPr>
                <w:sz w:val="17"/>
                <w:lang w:eastAsia="zh-TW"/>
              </w:rPr>
              <w:t>美國聯邦</w:t>
            </w:r>
            <w:r>
              <w:rPr>
                <w:sz w:val="17"/>
                <w:lang w:eastAsia="zh-TW"/>
              </w:rPr>
              <w:t>AI</w:t>
            </w:r>
            <w:r>
              <w:rPr>
                <w:sz w:val="17"/>
                <w:lang w:eastAsia="zh-TW"/>
              </w:rPr>
              <w:t>採購可將</w:t>
            </w:r>
            <w:r>
              <w:rPr>
                <w:sz w:val="17"/>
                <w:lang w:eastAsia="zh-TW"/>
              </w:rPr>
              <w:t>IP</w:t>
            </w:r>
            <w:r>
              <w:rPr>
                <w:sz w:val="17"/>
                <w:lang w:eastAsia="zh-TW"/>
              </w:rPr>
              <w:t>、資料處理、透明度與持續監測寫入契約。</w:t>
            </w:r>
          </w:p>
        </w:tc>
        <w:tc>
          <w:tcPr>
            <w:tcW w:w="3312" w:type="dxa"/>
            <w:tcMar>
              <w:top w:w="90" w:type="dxa"/>
              <w:left w:w="100" w:type="dxa"/>
              <w:bottom w:w="90" w:type="dxa"/>
              <w:right w:w="100" w:type="dxa"/>
            </w:tcMar>
            <w:vAlign w:val="center"/>
          </w:tcPr>
          <w:p w14:paraId="5BEB697F" w14:textId="77777777" w:rsidR="0084721C" w:rsidRDefault="009B07FB">
            <w:pPr>
              <w:spacing w:line="252" w:lineRule="auto"/>
            </w:pPr>
            <w:r>
              <w:rPr>
                <w:sz w:val="17"/>
              </w:rPr>
              <w:t>OMB M-25-22 §§3(d), 4</w:t>
            </w:r>
            <w:r>
              <w:rPr>
                <w:sz w:val="17"/>
              </w:rPr>
              <w:t>。</w:t>
            </w:r>
          </w:p>
        </w:tc>
        <w:tc>
          <w:tcPr>
            <w:tcW w:w="3312" w:type="dxa"/>
            <w:tcMar>
              <w:top w:w="90" w:type="dxa"/>
              <w:left w:w="100" w:type="dxa"/>
              <w:bottom w:w="90" w:type="dxa"/>
              <w:right w:w="100" w:type="dxa"/>
            </w:tcMar>
            <w:vAlign w:val="center"/>
          </w:tcPr>
          <w:p w14:paraId="713B1296" w14:textId="77777777" w:rsidR="0084721C" w:rsidRDefault="009B07FB">
            <w:pPr>
              <w:spacing w:line="252" w:lineRule="auto"/>
              <w:rPr>
                <w:lang w:eastAsia="zh-TW"/>
              </w:rPr>
            </w:pPr>
            <w:r>
              <w:rPr>
                <w:sz w:val="17"/>
                <w:lang w:eastAsia="zh-TW"/>
              </w:rPr>
              <w:t>提供採購設計參考；不作為臺灣機關命令境外供應商的法律依據。</w:t>
            </w:r>
          </w:p>
        </w:tc>
      </w:tr>
    </w:tbl>
    <w:p w14:paraId="2C7BB64B" w14:textId="77777777" w:rsidR="0084721C" w:rsidRDefault="0084721C">
      <w:pPr>
        <w:spacing w:after="40"/>
        <w:rPr>
          <w:lang w:eastAsia="zh-TW"/>
        </w:rPr>
      </w:pPr>
    </w:p>
    <w:p w14:paraId="210D1DC9" w14:textId="77777777" w:rsidR="0084721C" w:rsidRDefault="009B07FB">
      <w:pPr>
        <w:spacing w:after="140" w:line="324" w:lineRule="auto"/>
        <w:rPr>
          <w:lang w:eastAsia="zh-TW"/>
        </w:rPr>
      </w:pPr>
      <w:r>
        <w:rPr>
          <w:b/>
          <w:sz w:val="26"/>
          <w:lang w:eastAsia="zh-TW"/>
        </w:rPr>
        <w:t>參考資料與</w:t>
      </w:r>
      <w:proofErr w:type="gramStart"/>
      <w:r>
        <w:rPr>
          <w:b/>
          <w:sz w:val="26"/>
          <w:lang w:eastAsia="zh-TW"/>
        </w:rPr>
        <w:t>一</w:t>
      </w:r>
      <w:proofErr w:type="gramEnd"/>
      <w:r>
        <w:rPr>
          <w:b/>
          <w:sz w:val="26"/>
          <w:lang w:eastAsia="zh-TW"/>
        </w:rPr>
        <w:t>手法源</w:t>
      </w:r>
    </w:p>
    <w:p w14:paraId="0F3C7DE4" w14:textId="77777777" w:rsidR="0084721C" w:rsidRDefault="009B07FB">
      <w:pPr>
        <w:spacing w:after="120" w:line="324" w:lineRule="auto"/>
        <w:rPr>
          <w:lang w:eastAsia="zh-TW"/>
        </w:rPr>
      </w:pPr>
      <w:r>
        <w:rPr>
          <w:lang w:eastAsia="zh-TW"/>
        </w:rPr>
        <w:t>下列來源支撐正文中關於法規文本、施行時點與聯邦採購要求的敘述；本文的規範性制度建議另以本文明示，不</w:t>
      </w:r>
      <w:proofErr w:type="gramStart"/>
      <w:r>
        <w:rPr>
          <w:lang w:eastAsia="zh-TW"/>
        </w:rPr>
        <w:t>將其誤寫</w:t>
      </w:r>
      <w:proofErr w:type="gramEnd"/>
      <w:r>
        <w:rPr>
          <w:lang w:eastAsia="zh-TW"/>
        </w:rPr>
        <w:t>為現行法。</w:t>
      </w:r>
    </w:p>
    <w:p w14:paraId="1EB64D73" w14:textId="77777777" w:rsidR="0084721C" w:rsidRDefault="009B07FB">
      <w:pPr>
        <w:spacing w:after="120" w:line="324" w:lineRule="auto"/>
        <w:rPr>
          <w:lang w:eastAsia="zh-TW"/>
        </w:rPr>
      </w:pPr>
      <w:r>
        <w:rPr>
          <w:lang w:eastAsia="zh-TW"/>
        </w:rPr>
        <w:t xml:space="preserve">1. </w:t>
      </w:r>
      <w:r>
        <w:rPr>
          <w:lang w:eastAsia="zh-TW"/>
        </w:rPr>
        <w:t>法務部全國法規資料庫（</w:t>
      </w:r>
      <w:r>
        <w:rPr>
          <w:lang w:eastAsia="zh-TW"/>
        </w:rPr>
        <w:t>2026</w:t>
      </w:r>
      <w:r>
        <w:rPr>
          <w:lang w:eastAsia="zh-TW"/>
        </w:rPr>
        <w:t>）。《人工智慧基本法》，</w:t>
      </w:r>
      <w:r>
        <w:rPr>
          <w:lang w:eastAsia="zh-TW"/>
        </w:rPr>
        <w:t>2026</w:t>
      </w:r>
      <w:r>
        <w:rPr>
          <w:lang w:eastAsia="zh-TW"/>
        </w:rPr>
        <w:t>年</w:t>
      </w:r>
      <w:r>
        <w:rPr>
          <w:lang w:eastAsia="zh-TW"/>
        </w:rPr>
        <w:t>1</w:t>
      </w:r>
      <w:r>
        <w:rPr>
          <w:lang w:eastAsia="zh-TW"/>
        </w:rPr>
        <w:t>月</w:t>
      </w:r>
      <w:r>
        <w:rPr>
          <w:lang w:eastAsia="zh-TW"/>
        </w:rPr>
        <w:t>14</w:t>
      </w:r>
      <w:r>
        <w:rPr>
          <w:lang w:eastAsia="zh-TW"/>
        </w:rPr>
        <w:t>日公布，第</w:t>
      </w:r>
      <w:r>
        <w:rPr>
          <w:lang w:eastAsia="zh-TW"/>
        </w:rPr>
        <w:t>2</w:t>
      </w:r>
      <w:r>
        <w:rPr>
          <w:lang w:eastAsia="zh-TW"/>
        </w:rPr>
        <w:t>、</w:t>
      </w:r>
      <w:r>
        <w:rPr>
          <w:lang w:eastAsia="zh-TW"/>
        </w:rPr>
        <w:t>6</w:t>
      </w:r>
      <w:r>
        <w:rPr>
          <w:lang w:eastAsia="zh-TW"/>
        </w:rPr>
        <w:t>、</w:t>
      </w:r>
      <w:r>
        <w:rPr>
          <w:lang w:eastAsia="zh-TW"/>
        </w:rPr>
        <w:t>16</w:t>
      </w:r>
      <w:r>
        <w:rPr>
          <w:lang w:eastAsia="zh-TW"/>
        </w:rPr>
        <w:t>、</w:t>
      </w:r>
      <w:r>
        <w:rPr>
          <w:lang w:eastAsia="zh-TW"/>
        </w:rPr>
        <w:t>19</w:t>
      </w:r>
      <w:r>
        <w:rPr>
          <w:lang w:eastAsia="zh-TW"/>
        </w:rPr>
        <w:t>條。</w:t>
      </w:r>
      <w:r>
        <w:rPr>
          <w:lang w:eastAsia="zh-TW"/>
        </w:rPr>
        <w:t>https://law.moj.gov.tw/ENG/LawClass/LawAll.as</w:t>
      </w:r>
      <w:r>
        <w:rPr>
          <w:lang w:eastAsia="zh-TW"/>
        </w:rPr>
        <w:t>px?pcode=H0160093</w:t>
      </w:r>
    </w:p>
    <w:p w14:paraId="52C60267" w14:textId="77777777" w:rsidR="0084721C" w:rsidRDefault="009B07FB">
      <w:pPr>
        <w:spacing w:after="120" w:line="324" w:lineRule="auto"/>
        <w:rPr>
          <w:lang w:eastAsia="zh-TW"/>
        </w:rPr>
      </w:pPr>
      <w:r>
        <w:rPr>
          <w:lang w:eastAsia="zh-TW"/>
        </w:rPr>
        <w:t xml:space="preserve">2. </w:t>
      </w:r>
      <w:r>
        <w:rPr>
          <w:lang w:eastAsia="zh-TW"/>
        </w:rPr>
        <w:t>國家互聯網信息辦公室等（</w:t>
      </w:r>
      <w:r>
        <w:rPr>
          <w:lang w:eastAsia="zh-TW"/>
        </w:rPr>
        <w:t>2023</w:t>
      </w:r>
      <w:r>
        <w:rPr>
          <w:lang w:eastAsia="zh-TW"/>
        </w:rPr>
        <w:t>）。</w:t>
      </w:r>
      <w:proofErr w:type="gramStart"/>
      <w:r>
        <w:rPr>
          <w:lang w:eastAsia="zh-TW"/>
        </w:rPr>
        <w:t>《</w:t>
      </w:r>
      <w:proofErr w:type="gramEnd"/>
      <w:r>
        <w:rPr>
          <w:lang w:eastAsia="zh-TW"/>
        </w:rPr>
        <w:t>生成式人工智能服务管理暂行办法》，</w:t>
      </w:r>
      <w:r>
        <w:rPr>
          <w:lang w:eastAsia="zh-TW"/>
        </w:rPr>
        <w:t>2023</w:t>
      </w:r>
      <w:r>
        <w:rPr>
          <w:lang w:eastAsia="zh-TW"/>
        </w:rPr>
        <w:t>年</w:t>
      </w:r>
      <w:r>
        <w:rPr>
          <w:lang w:eastAsia="zh-TW"/>
        </w:rPr>
        <w:t>8</w:t>
      </w:r>
      <w:r>
        <w:rPr>
          <w:lang w:eastAsia="zh-TW"/>
        </w:rPr>
        <w:t>月</w:t>
      </w:r>
      <w:r>
        <w:rPr>
          <w:lang w:eastAsia="zh-TW"/>
        </w:rPr>
        <w:t>15</w:t>
      </w:r>
      <w:r>
        <w:rPr>
          <w:lang w:eastAsia="zh-TW"/>
        </w:rPr>
        <w:t>日施行，第</w:t>
      </w:r>
      <w:r>
        <w:rPr>
          <w:lang w:eastAsia="zh-TW"/>
        </w:rPr>
        <w:t>2</w:t>
      </w:r>
      <w:r>
        <w:rPr>
          <w:lang w:eastAsia="zh-TW"/>
        </w:rPr>
        <w:t>、</w:t>
      </w:r>
      <w:r>
        <w:rPr>
          <w:lang w:eastAsia="zh-TW"/>
        </w:rPr>
        <w:t>7</w:t>
      </w:r>
      <w:r>
        <w:rPr>
          <w:lang w:eastAsia="zh-TW"/>
        </w:rPr>
        <w:t>、</w:t>
      </w:r>
      <w:r>
        <w:rPr>
          <w:lang w:eastAsia="zh-TW"/>
        </w:rPr>
        <w:t>15</w:t>
      </w:r>
      <w:r>
        <w:rPr>
          <w:lang w:eastAsia="zh-TW"/>
        </w:rPr>
        <w:t>、</w:t>
      </w:r>
      <w:r>
        <w:rPr>
          <w:lang w:eastAsia="zh-TW"/>
        </w:rPr>
        <w:t>19</w:t>
      </w:r>
      <w:r>
        <w:rPr>
          <w:lang w:eastAsia="zh-TW"/>
        </w:rPr>
        <w:t>條。</w:t>
      </w:r>
      <w:r>
        <w:rPr>
          <w:lang w:eastAsia="zh-TW"/>
        </w:rPr>
        <w:t>https://www.cac.gov.cn/2023-07/13/c_1690898327029107.htm</w:t>
      </w:r>
    </w:p>
    <w:p w14:paraId="11570A27" w14:textId="77777777" w:rsidR="0084721C" w:rsidRDefault="009B07FB">
      <w:pPr>
        <w:spacing w:after="120" w:line="324" w:lineRule="auto"/>
      </w:pPr>
      <w:r>
        <w:t>3. European Parliament and Council (2024). *Regulation (EU) 2024/1689 (Artificial Intelligence Act)*, arts. 10, 53, 1</w:t>
      </w:r>
      <w:r>
        <w:t>13. https://eur-lex.europa.eu/legal-content/EN/TXT/PDF/?uri=OJ%3AL_202401689</w:t>
      </w:r>
    </w:p>
    <w:p w14:paraId="532D40C0" w14:textId="77777777" w:rsidR="0084721C" w:rsidRDefault="009B07FB">
      <w:pPr>
        <w:spacing w:after="120" w:line="324" w:lineRule="auto"/>
      </w:pPr>
      <w:r>
        <w:lastRenderedPageBreak/>
        <w:t>4. European Commission (2025). *Template for the public summary of training content for general-purpose AI models*. https://digital-strategy.ec.europa.eu/en/faqs/template-general-</w:t>
      </w:r>
      <w:r>
        <w:t>purpose-ai-model-providers-summarise-their-training-content</w:t>
      </w:r>
    </w:p>
    <w:p w14:paraId="0A19E3A4" w14:textId="77777777" w:rsidR="0084721C" w:rsidRDefault="009B07FB">
      <w:pPr>
        <w:spacing w:after="120" w:line="324" w:lineRule="auto"/>
      </w:pPr>
      <w:r>
        <w:t>5. Office of Management and Budget (2025). *M-25-22: Driving Efficient Acquisition of Artificial Intelligence in Government*, especially §§ 3(d), 4. https://www.whitehouse.gov/wp-content/uploads/2</w:t>
      </w:r>
      <w:r>
        <w:t>025/02/M-25-22-Driving-Efficient-Acquisition-of-Artificial-Intelligence-in-Government.pdf</w:t>
      </w:r>
    </w:p>
    <w:p w14:paraId="1E3EAE8C" w14:textId="77777777" w:rsidR="0084721C" w:rsidRDefault="009B07FB">
      <w:pPr>
        <w:spacing w:after="120" w:line="324" w:lineRule="auto"/>
      </w:pPr>
      <w:r>
        <w:t xml:space="preserve">6. Kroll, J. A., Huey, J., Barocas, S., Felten, E. W., Reidenberg, J. R., Robinson, D. G., &amp; Yu, H. (2017). Accountable algorithms. *University of Pennsylvania Law </w:t>
      </w:r>
      <w:r>
        <w:t>Review, 165*(3), 633–705.</w:t>
      </w:r>
    </w:p>
    <w:p w14:paraId="65BAEB87" w14:textId="77777777" w:rsidR="0084721C" w:rsidRDefault="009B07FB">
      <w:pPr>
        <w:spacing w:after="120" w:line="324" w:lineRule="auto"/>
      </w:pPr>
      <w:r>
        <w:t>7. Simmhan, Y. L., Plale, B., &amp; Gannon, D. (2005). A survey of data provenance in e-science. *SIGMOD Record, 34*(3), 31–36. https://doi.org/10.1145/1084805.1084812</w:t>
      </w:r>
    </w:p>
    <w:p w14:paraId="4EEA7C80" w14:textId="77777777" w:rsidR="0084721C" w:rsidRDefault="009B07FB">
      <w:pPr>
        <w:spacing w:after="120" w:line="324" w:lineRule="auto"/>
      </w:pPr>
      <w:r>
        <w:t>8. Thompson, D. F. (1980). Moral responsibility of public official</w:t>
      </w:r>
      <w:r>
        <w:t>s: The problem of many hands. *American Political Science Review, 74*(4), 905–916.</w:t>
      </w:r>
    </w:p>
    <w:p w14:paraId="14B707E7" w14:textId="77777777" w:rsidR="0084721C" w:rsidRDefault="009B07FB">
      <w:pPr>
        <w:spacing w:after="120" w:line="324" w:lineRule="auto"/>
      </w:pPr>
      <w:commentRangeStart w:id="1"/>
      <w:r>
        <w:rPr>
          <w:highlight w:val="yellow"/>
        </w:rPr>
        <w:t>9. Thomson Reuters Enterprise Centre GmbH v. ROSS Intelligence Inc., No. 1:20-cv-00613-SB, 2025 WL 458520 (D. Del. Feb. 11, 2025) (order on cross-motions for summary judgmen</w:t>
      </w:r>
      <w:r>
        <w:rPr>
          <w:highlight w:val="yellow"/>
        </w:rPr>
        <w:t>t). https://www.ded.uscourts.gov/opinion/thomson-reuters-enterprise-centre-gmbh-et-al-v-ross-intelligence-inc-5</w:t>
      </w:r>
    </w:p>
    <w:p w14:paraId="4CB6F4BF" w14:textId="77777777" w:rsidR="0084721C" w:rsidRDefault="009B07FB">
      <w:pPr>
        <w:spacing w:after="120" w:line="324" w:lineRule="auto"/>
      </w:pPr>
      <w:r>
        <w:rPr>
          <w:highlight w:val="yellow"/>
        </w:rPr>
        <w:t>10. National Institute of Standards and Technology (NIST). (2023). Artificial Intelligence Risk Management Framework (AI RMF 1.0) (NIST AI 100-1</w:t>
      </w:r>
      <w:r>
        <w:rPr>
          <w:highlight w:val="yellow"/>
        </w:rPr>
        <w:t>). U.S. Department of Commerce. https://nvlpubs.nist.gov/nistpubs/ai/nist.ai.100-1.pdf</w:t>
      </w:r>
      <w:commentRangeEnd w:id="1"/>
      <w:r>
        <w:commentReference w:id="1"/>
      </w:r>
    </w:p>
    <w:p w14:paraId="450F4379" w14:textId="77777777" w:rsidR="0084721C" w:rsidRDefault="009B07FB">
      <w:pPr>
        <w:spacing w:after="120" w:line="324" w:lineRule="auto"/>
        <w:rPr>
          <w:lang w:eastAsia="zh-TW"/>
        </w:rPr>
      </w:pPr>
      <w:r>
        <w:rPr>
          <w:lang w:eastAsia="zh-TW"/>
        </w:rPr>
        <w:t>本文不以未經核對的二手說法作法律結論；三個</w:t>
      </w:r>
      <w:proofErr w:type="gramStart"/>
      <w:r>
        <w:rPr>
          <w:lang w:eastAsia="zh-TW"/>
        </w:rPr>
        <w:t>情境均為合成</w:t>
      </w:r>
      <w:proofErr w:type="gramEnd"/>
      <w:r>
        <w:rPr>
          <w:lang w:eastAsia="zh-TW"/>
        </w:rPr>
        <w:t>壓力測試，而非對臺灣現實個案的事實指控。</w:t>
      </w:r>
    </w:p>
    <w:sectPr w:rsidR="0084721C" w:rsidSect="00034616">
      <w:pgSz w:w="12240" w:h="15840"/>
      <w:pgMar w:top="1080" w:right="1152" w:bottom="1080"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laude" w:date="2026-08-15T07:18:00Z" w:initials="C">
    <w:p w14:paraId="2E0E1750" w14:textId="77777777" w:rsidR="0084721C" w:rsidRDefault="009B07FB">
      <w:pPr>
        <w:rPr>
          <w:lang w:eastAsia="zh-TW"/>
        </w:rPr>
      </w:pPr>
      <w:r>
        <w:annotationRef/>
      </w:r>
      <w:r>
        <w:rPr>
          <w:color w:val="000000"/>
          <w:sz w:val="20"/>
          <w:szCs w:val="20"/>
        </w:rPr>
        <w:t>孤兒文獻修補：本文表格與第（三）美國比較段落中提到「</w:t>
      </w:r>
      <w:r>
        <w:rPr>
          <w:color w:val="000000"/>
          <w:sz w:val="20"/>
          <w:szCs w:val="20"/>
        </w:rPr>
        <w:t>Thomson Reuters v. Ross Intelligence</w:t>
      </w:r>
      <w:r>
        <w:rPr>
          <w:color w:val="000000"/>
          <w:sz w:val="20"/>
          <w:szCs w:val="20"/>
        </w:rPr>
        <w:t>」判決與「</w:t>
      </w:r>
      <w:r>
        <w:rPr>
          <w:color w:val="000000"/>
          <w:sz w:val="20"/>
          <w:szCs w:val="20"/>
        </w:rPr>
        <w:t>NIST AI Risk Management Framework</w:t>
      </w:r>
      <w:r>
        <w:rPr>
          <w:color w:val="000000"/>
          <w:sz w:val="20"/>
          <w:szCs w:val="20"/>
        </w:rPr>
        <w:t>」，但原參考資料清單未收錄，屬孤兒</w:t>
      </w:r>
      <w:r>
        <w:rPr>
          <w:color w:val="000000"/>
          <w:sz w:val="20"/>
          <w:szCs w:val="20"/>
        </w:rPr>
        <w:t>文獻（引用有出處但清單無對應項目）。</w:t>
      </w:r>
      <w:r>
        <w:rPr>
          <w:color w:val="000000"/>
          <w:sz w:val="20"/>
          <w:szCs w:val="20"/>
          <w:lang w:eastAsia="zh-TW"/>
        </w:rPr>
        <w:t>已查證兩者均為真實存在的文獻／判決，並依可查核之官方／法院來源補上第</w:t>
      </w:r>
      <w:r>
        <w:rPr>
          <w:color w:val="000000"/>
          <w:sz w:val="20"/>
          <w:szCs w:val="20"/>
          <w:lang w:eastAsia="zh-TW"/>
        </w:rPr>
        <w:t>9</w:t>
      </w:r>
      <w:r>
        <w:rPr>
          <w:color w:val="000000"/>
          <w:sz w:val="20"/>
          <w:szCs w:val="20"/>
          <w:lang w:eastAsia="zh-TW"/>
        </w:rPr>
        <w:t>、</w:t>
      </w:r>
      <w:r>
        <w:rPr>
          <w:color w:val="000000"/>
          <w:sz w:val="20"/>
          <w:szCs w:val="20"/>
          <w:lang w:eastAsia="zh-TW"/>
        </w:rPr>
        <w:t>10</w:t>
      </w:r>
      <w:r>
        <w:rPr>
          <w:color w:val="000000"/>
          <w:sz w:val="20"/>
          <w:szCs w:val="20"/>
          <w:lang w:eastAsia="zh-TW"/>
        </w:rPr>
        <w:t>項完整出處（以黃色標示，供作者核對後可移除標示）。清單中其餘</w:t>
      </w:r>
      <w:r>
        <w:rPr>
          <w:color w:val="000000"/>
          <w:sz w:val="20"/>
          <w:szCs w:val="20"/>
          <w:lang w:eastAsia="zh-TW"/>
        </w:rPr>
        <w:t>8</w:t>
      </w:r>
      <w:r>
        <w:rPr>
          <w:color w:val="000000"/>
          <w:sz w:val="20"/>
          <w:szCs w:val="20"/>
          <w:lang w:eastAsia="zh-TW"/>
        </w:rPr>
        <w:t>項文獻（人工智慧基本法、生成式人工智能服務管理暫行辦法、</w:t>
      </w:r>
      <w:r>
        <w:rPr>
          <w:color w:val="000000"/>
          <w:sz w:val="20"/>
          <w:szCs w:val="20"/>
          <w:lang w:eastAsia="zh-TW"/>
        </w:rPr>
        <w:t>AI Act</w:t>
      </w:r>
      <w:r>
        <w:rPr>
          <w:color w:val="000000"/>
          <w:sz w:val="20"/>
          <w:szCs w:val="20"/>
          <w:lang w:eastAsia="zh-TW"/>
        </w:rPr>
        <w:t>、</w:t>
      </w:r>
      <w:r>
        <w:rPr>
          <w:color w:val="000000"/>
          <w:sz w:val="20"/>
          <w:szCs w:val="20"/>
          <w:lang w:eastAsia="zh-TW"/>
        </w:rPr>
        <w:t>EU Commission</w:t>
      </w:r>
      <w:r>
        <w:rPr>
          <w:color w:val="000000"/>
          <w:sz w:val="20"/>
          <w:szCs w:val="20"/>
          <w:lang w:eastAsia="zh-TW"/>
        </w:rPr>
        <w:t>範本、</w:t>
      </w:r>
      <w:r>
        <w:rPr>
          <w:color w:val="000000"/>
          <w:sz w:val="20"/>
          <w:szCs w:val="20"/>
          <w:lang w:eastAsia="zh-TW"/>
        </w:rPr>
        <w:t>OMB M-25-22</w:t>
      </w:r>
      <w:r>
        <w:rPr>
          <w:color w:val="000000"/>
          <w:sz w:val="20"/>
          <w:szCs w:val="20"/>
          <w:lang w:eastAsia="zh-TW"/>
        </w:rPr>
        <w:t>、</w:t>
      </w:r>
      <w:r>
        <w:rPr>
          <w:color w:val="000000"/>
          <w:sz w:val="20"/>
          <w:szCs w:val="20"/>
          <w:lang w:eastAsia="zh-TW"/>
        </w:rPr>
        <w:t>Kroll et al. 2017</w:t>
      </w:r>
      <w:r>
        <w:rPr>
          <w:color w:val="000000"/>
          <w:sz w:val="20"/>
          <w:szCs w:val="20"/>
          <w:lang w:eastAsia="zh-TW"/>
        </w:rPr>
        <w:t>、</w:t>
      </w:r>
      <w:r>
        <w:rPr>
          <w:color w:val="000000"/>
          <w:sz w:val="20"/>
          <w:szCs w:val="20"/>
          <w:lang w:eastAsia="zh-TW"/>
        </w:rPr>
        <w:t>Simmhan et al. 2005</w:t>
      </w:r>
      <w:r>
        <w:rPr>
          <w:color w:val="000000"/>
          <w:sz w:val="20"/>
          <w:szCs w:val="20"/>
          <w:lang w:eastAsia="zh-TW"/>
        </w:rPr>
        <w:t>、</w:t>
      </w:r>
      <w:r>
        <w:rPr>
          <w:color w:val="000000"/>
          <w:sz w:val="20"/>
          <w:szCs w:val="20"/>
          <w:lang w:eastAsia="zh-TW"/>
        </w:rPr>
        <w:t>Thompson 1980</w:t>
      </w:r>
      <w:r>
        <w:rPr>
          <w:color w:val="000000"/>
          <w:sz w:val="20"/>
          <w:szCs w:val="20"/>
          <w:lang w:eastAsia="zh-TW"/>
        </w:rPr>
        <w:t>）均已逐一查核條號、日期與出處，未發現虛構或錯誤資訊。</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0E17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r="http://schemas.microsoft.com/office/comments/2020/reactions" mc:Ignorable="w14 w15 w16se w16cid w16 w16cex w16sdtdh w16sdtfl cr w16du wp14">
  <w16cex:commentExtensible w16cex:durableId="33B7AE76" w16cex:dateUtc="2026-08-15T07:18:04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0E1750" w16cid:durableId="33B7AE7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4721C"/>
    <w:rsid w:val="009B07F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D1CE54D-5899-4A00-B3A6-CDAA7BF0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微軟正黑體" w:eastAsia="微軟正黑體" w:hAnsi="微軟正黑體"/>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annotation text"/>
    <w:basedOn w:val="a1"/>
    <w:link w:val="affb"/>
    <w:uiPriority w:val="99"/>
    <w:semiHidden/>
    <w:unhideWhenUsed/>
  </w:style>
  <w:style w:type="character" w:customStyle="1" w:styleId="affb">
    <w:name w:val="註解文字 字元"/>
    <w:basedOn w:val="a2"/>
    <w:link w:val="affa"/>
    <w:uiPriority w:val="99"/>
    <w:semiHidden/>
    <w:rPr>
      <w:rFonts w:ascii="微軟正黑體" w:eastAsia="微軟正黑體" w:hAnsi="微軟正黑體"/>
      <w:sz w:val="21"/>
    </w:rPr>
  </w:style>
  <w:style w:type="character" w:styleId="affc">
    <w:name w:val="annotation reference"/>
    <w:basedOn w:val="a2"/>
    <w:uiPriority w:val="99"/>
    <w:semiHidden/>
    <w:unhideWhenUsed/>
    <w:rPr>
      <w:sz w:val="18"/>
      <w:szCs w:val="18"/>
    </w:rPr>
  </w:style>
  <w:style w:type="paragraph" w:styleId="affd">
    <w:name w:val="Balloon Text"/>
    <w:basedOn w:val="a1"/>
    <w:link w:val="affe"/>
    <w:uiPriority w:val="99"/>
    <w:semiHidden/>
    <w:unhideWhenUsed/>
    <w:rsid w:val="009B07FB"/>
    <w:pPr>
      <w:spacing w:after="0" w:line="240" w:lineRule="auto"/>
    </w:pPr>
    <w:rPr>
      <w:rFonts w:asciiTheme="majorHAnsi" w:eastAsiaTheme="majorEastAsia" w:hAnsiTheme="majorHAnsi" w:cstheme="majorBidi"/>
      <w:sz w:val="18"/>
      <w:szCs w:val="18"/>
    </w:rPr>
  </w:style>
  <w:style w:type="character" w:customStyle="1" w:styleId="affe">
    <w:name w:val="註解方塊文字 字元"/>
    <w:basedOn w:val="a2"/>
    <w:link w:val="affd"/>
    <w:uiPriority w:val="99"/>
    <w:semiHidden/>
    <w:rsid w:val="009B07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104" Type="http://schemas.microsoft.com/office/2018/08/relationships/commentsExtensible" Target="commentsExtensible.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F2040-9CA5-4959-B011-5DAC5A631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2861</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2026-08-15T11:34:00Z</dcterms:modified>
  <cp:category/>
</cp:coreProperties>
</file>