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240"/>
        <w:jc w:val="center"/>
      </w:pPr>
      <w:r>
        <w:rPr>
          <w:rFonts w:ascii="Microsoft JhengHei" w:hAnsi="Microsoft JhengHei" w:eastAsia="Microsoft JhengHei"/>
          <w:b/>
          <w:i w:val="0"/>
          <w:color w:val="0B2545"/>
          <w:sz w:val="48"/>
        </w:rPr>
        <w:t>誰有權把別人的研究餵給政府AI？</w:t>
      </w:r>
    </w:p>
    <w:p>
      <w:pPr>
        <w:spacing w:after="840"/>
        <w:jc w:val="center"/>
      </w:pPr>
      <w:r>
        <w:rPr>
          <w:rFonts w:ascii="Microsoft JhengHei" w:hAnsi="Microsoft JhengHei" w:eastAsia="Microsoft JhengHei"/>
          <w:b w:val="0"/>
          <w:i w:val="0"/>
          <w:color w:val="2F4F6E"/>
          <w:sz w:val="26"/>
        </w:rPr>
        <w:t>生成式AI、資料履歷與公共授權治理──臺灣事前治理能力的壓力測試</w:t>
        <w:br/>
        <w:t>第十八篇｜正文草稿第一版</w:t>
      </w:r>
    </w:p>
    <w:p>
      <w:pPr>
        <w:pStyle w:val="Heading1"/>
      </w:pPr>
      <w:r>
        <w:rPr>
          <w:rFonts w:ascii="Microsoft JhengHei" w:hAnsi="Microsoft JhengHei" w:eastAsia="Microsoft JhengHei"/>
          <w:b/>
          <w:i w:val="0"/>
          <w:color w:val="2E74B5"/>
          <w:sz w:val="32"/>
        </w:rPr>
        <w:t>摘要</w:t>
      </w:r>
    </w:p>
    <w:p>
      <w:pPr>
        <w:spacing w:line="319" w:lineRule="auto"/>
      </w:pPr>
      <w:r>
        <w:rPr>
          <w:rFonts w:ascii="Microsoft JhengHei" w:hAnsi="Microsoft JhengHei" w:eastAsia="Microsoft JhengHei"/>
          <w:b w:val="0"/>
          <w:i w:val="0"/>
          <w:sz w:val="22"/>
        </w:rPr>
        <w:t>地方政府導入生成式AI，往往從一個看似單純的行政需求開始：把既有報告、網頁文章、簡報、FAQ與開放資料整合起來，協助承辦人快速回覆民眾。然而，當這些內容被切塊、向量化並放入檢索增強生成（RAG）系統後，原本清楚的作者、來源、授權範圍與使用脈絡，可能逐步失去辨識性。等到作者發現自己的獨特論述被系統反覆改寫、卻未見姓名、連結或授權時，機關才第一次問：這些資料有權利人嗎？誰同意使用？誰可以把它停下來？</w:t>
      </w:r>
    </w:p>
    <w:p>
      <w:pPr>
        <w:spacing w:line="319" w:lineRule="auto"/>
      </w:pPr>
      <w:r>
        <w:rPr>
          <w:rFonts w:ascii="Microsoft JhengHei" w:hAnsi="Microsoft JhengHei" w:eastAsia="Microsoft JhengHei"/>
          <w:b w:val="0"/>
          <w:i w:val="0"/>
          <w:sz w:val="22"/>
        </w:rPr>
        <w:t>本文不將問題化約為「AI是否具有著作權」或「訓練資料是否合理使用」的抽象爭論，而以公共行政觀點，檢驗政府是否具備在爭議發生以前確認權利來源、限定使用範圍與指定停止責任人的能力。文章承接第十篇的資訊權、稽核權與停止權，以及第十七篇的鏈式營運驗收標準（OAC），提出「公共AI權利來源證據審查模組」。本文以地方政府政策研究與公共問答AI助理的模擬情境為壓力測試案例，並與中國大陸的生成式AI服務治理作比較。核心問題是：臺灣AI治理究竟有沒有能力避免「出事後才開始治理」？</w:t>
      </w:r>
    </w:p>
    <w:p>
      <w:pPr>
        <w:spacing w:line="319" w:lineRule="auto"/>
      </w:pPr>
      <w:r>
        <w:rPr>
          <w:rFonts w:ascii="Microsoft JhengHei" w:hAnsi="Microsoft JhengHei" w:eastAsia="Microsoft JhengHei"/>
          <w:b w:val="0"/>
          <w:i w:val="0"/>
          <w:sz w:val="22"/>
        </w:rPr>
        <w:t>關鍵詞：生成式AI、RAG、資料履歷、著作權、公共授權、事前治理、行政責任鏈</w:t>
      </w:r>
    </w:p>
    <w:p>
      <w:pPr>
        <w:pStyle w:val="Heading1"/>
      </w:pPr>
      <w:r>
        <w:rPr>
          <w:rFonts w:ascii="Microsoft JhengHei" w:hAnsi="Microsoft JhengHei" w:eastAsia="Microsoft JhengHei"/>
          <w:b/>
          <w:i w:val="0"/>
          <w:color w:val="2E74B5"/>
          <w:sz w:val="32"/>
        </w:rPr>
        <w:t>一、閱讀定位：本文處理的不是一般性的AI著作權問題</w:t>
      </w:r>
    </w:p>
    <w:p>
      <w:pPr>
        <w:spacing w:line="319" w:lineRule="auto"/>
      </w:pPr>
      <w:r>
        <w:rPr>
          <w:rFonts w:ascii="Microsoft JhengHei" w:hAnsi="Microsoft JhengHei" w:eastAsia="Microsoft JhengHei"/>
          <w:b w:val="0"/>
          <w:i w:val="0"/>
          <w:sz w:val="22"/>
        </w:rPr>
        <w:t>生成式AI引發的智慧財產權爭議很多：有人討論模型訓練是否構成合理使用，有人討論AI產出是否可受著作權保護，也有人關注專利、營業秘密與平台責任。這些問題都重要，但政府機關的困難另有一層。政府不是單純使用者；它以公共預算採購系統，以行政權力整合資料，並可能將AI輸出直接用於公共服務、政策說明甚至行政決定。</w:t>
      </w:r>
    </w:p>
    <w:p>
      <w:pPr>
        <w:spacing w:line="319" w:lineRule="auto"/>
      </w:pPr>
      <w:r>
        <w:rPr>
          <w:rFonts w:ascii="Microsoft JhengHei" w:hAnsi="Microsoft JhengHei" w:eastAsia="Microsoft JhengHei"/>
          <w:b w:val="0"/>
          <w:sz w:val="20"/>
        </w:rPr>
        <w:t>因此，本文的問題很窄，也很具體：當政府把第三人的研究成果、文章、簡報、圖像或資料放入生成式AI系統時，是否能提出足以支撐該使用的權利來源證據？本文所稱的「權利來源」，不是一張泛稱的授權同意書，而是能具體說明誰創作了什麼、誰有權決定使用、政府可把它用到哪一步，以及出現疑義時誰可停止的證據鏈。 對標題「誰有權」的直接回答是：沒有任何單位僅因看得到、持有或取得資料，就當然有權把它餵進政府AI；權限必須由可驗證的來源、用途與處理範圍共同構成。</w:t>
      </w:r>
    </w:p>
    <w:p>
      <w:pPr>
        <w:spacing w:line="319" w:lineRule="auto"/>
      </w:pPr>
      <w:r>
        <w:rPr>
          <w:rFonts w:ascii="Microsoft JhengHei" w:hAnsi="Microsoft JhengHei" w:eastAsia="Microsoft JhengHei"/>
          <w:b w:val="0"/>
          <w:i w:val="0"/>
          <w:sz w:val="22"/>
        </w:rPr>
        <w:t>本文承接第十篇與第十七篇，但不重建其全部架構。第十篇處理政府對供應商的資訊權、稽核權與停止權；第十七篇的OAC處理系統能否上線。本文則補上一個專門模組：當OAC評估「能不能上線」時，必須能回答「所用的這些內容，有沒有權利可以這樣用」。</w:t>
      </w:r>
    </w:p>
    <w:p>
      <w:pPr>
        <w:spacing w:line="319" w:lineRule="auto"/>
      </w:pPr>
      <w:r>
        <w:rPr>
          <w:rFonts w:ascii="Microsoft JhengHei" w:hAnsi="Microsoft JhengHei" w:eastAsia="Microsoft JhengHei"/>
          <w:b w:val="0"/>
          <w:i w:val="0"/>
          <w:sz w:val="22"/>
        </w:rPr>
        <w:t>本文也明確排除幾個範圍。它不是完整的著作權法教科書；不以疫苗分子、軍事技術或高危險生技作主案例；也不預設政府使用RAG即已侵權。本文測試的是治理能力，而不是先替個案作違法結論。</w:t>
      </w:r>
    </w:p>
    <w:p>
      <w:pPr>
        <w:pStyle w:val="Heading1"/>
      </w:pPr>
      <w:r>
        <w:rPr>
          <w:rFonts w:ascii="Microsoft JhengHei" w:hAnsi="Microsoft JhengHei" w:eastAsia="Microsoft JhengHei"/>
          <w:b/>
          <w:i w:val="0"/>
          <w:color w:val="2E74B5"/>
          <w:sz w:val="32"/>
        </w:rPr>
        <w:t>二、沒有受害者時，為何治理鏈不會啟動？</w:t>
      </w:r>
    </w:p>
    <w:p>
      <w:pPr>
        <w:spacing w:line="319" w:lineRule="auto"/>
      </w:pPr>
      <w:r>
        <w:rPr>
          <w:rFonts w:ascii="Microsoft JhengHei" w:hAnsi="Microsoft JhengHei" w:eastAsia="Microsoft JhengHei"/>
          <w:b w:val="0"/>
          <w:i w:val="0"/>
          <w:sz w:val="22"/>
        </w:rPr>
        <w:t>公部門最常見的誤解是：資料既然公開可見，似乎就可以被拿來使用。但「看得到」與「可以放進AI」是兩件不同的事。網站可被搜尋引擎索引，不等於網站作者已經授權政府把全文下載、切塊、向量化、持續檢索、改寫並對外回答。機關持有一份委託研究報告，也不必然表示每一個內部單位、每一家供應商，都可把它移作AI資料來源。</w:t>
      </w:r>
    </w:p>
    <w:p>
      <w:pPr>
        <w:spacing w:line="319" w:lineRule="auto"/>
      </w:pPr>
      <w:r>
        <w:rPr>
          <w:rFonts w:ascii="Microsoft JhengHei" w:hAnsi="Microsoft JhengHei" w:eastAsia="Microsoft JhengHei"/>
          <w:b w:val="0"/>
          <w:i w:val="0"/>
          <w:sz w:val="22"/>
        </w:rPr>
        <w:t>困難在於，這種風險在作者尚未抗議以前，通常不會被行政組織當成一個必須處理的工作。業務單位看見的是效率；資訊單位認為資料由業務提供；採購單位認為契約沒有寫到；法務單位認為事前未送審；供應商則認為機關已保證資料可用。研究機構、國科會、數發部與目的事業主管機關，也可能各自認為問題落在別人的業務邊界。</w:t>
      </w:r>
    </w:p>
    <w:p>
      <w:pPr>
        <w:spacing w:line="319" w:lineRule="auto"/>
      </w:pPr>
      <w:r>
        <w:rPr>
          <w:rFonts w:ascii="Microsoft JhengHei" w:hAnsi="Microsoft JhengHei" w:eastAsia="Microsoft JhengHei"/>
          <w:b w:val="0"/>
          <w:sz w:val="20"/>
        </w:rPr>
        <w:t>這不是任何單一機關特別怠惰，而是典型的「多手政府」（九頭蛇式責任推移僅為讀者比喻）：每一個頭都能說出部分正確的理由，卻沒有任何一個頭被要求在爭議發生前承擔完整的處理責任。於是，沒有受害者現身時，權利來源責任鏈在行政上便被視為「尚未有必要啟動」。</w:t>
      </w:r>
    </w:p>
    <w:p>
      <w:pPr>
        <w:spacing w:line="319" w:lineRule="auto"/>
      </w:pPr>
      <w:r>
        <w:rPr>
          <w:rFonts w:ascii="Microsoft JhengHei" w:hAnsi="Microsoft JhengHei" w:eastAsia="Microsoft JhengHei"/>
          <w:b w:val="0"/>
          <w:i w:val="0"/>
          <w:sz w:val="22"/>
        </w:rPr>
        <w:t>本文的核心命題因此是：若一套AI治理制度只能在作者提出侵權主張後，才第一次辨認資料有權利人、才開始尋找能停止的人，它不是事前治理；它只是事後爭議發生後的責任分配。</w:t>
      </w:r>
    </w:p>
    <w:p>
      <w:pPr>
        <w:spacing w:before="160" w:after="60"/>
      </w:pPr>
      <w:r>
        <w:rPr>
          <w:rFonts w:ascii="Microsoft JhengHei" w:hAnsi="Microsoft JhengHei" w:eastAsia="Microsoft JhengHei"/>
          <w:b/>
          <w:sz w:val="20"/>
        </w:rPr>
        <w:t>表1　既有討論的制度碎片與第十八篇所處理的接合缺口</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已被討論的問題</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主要討論者／材料</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尚未被接起來的部分</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AI訓練資料是否應授權、合理使用、透明、退出、補償</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智財局與著作權研究</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尚未推到「政府RAG採購上線前，誰應提出資料來源證據」。</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資料來源可追溯、第三方授權、資料生命週期與存取控制</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資策會科法所介紹的日本CAIO指引</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主要是企業資料治理，未指定公部門採購、驗收與救濟責任。</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政府資訊採購的需求規格、履約爭議與軟體IP歸屬</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資策會科法所長期討論</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原本處理資訊服務採購，尚未面對生成式AI資料來源、RAG與停止機制。</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跨部會AI治理、主管機關權責與升級處理</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AI基本法與數位治理討論</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大多停在制度架構，尚未形成可拒絕上線的共同證據門檻。</w:t>
            </w:r>
          </w:p>
        </w:tc>
      </w:tr>
    </w:tbl>
    <w:p>
      <w:pPr>
        <w:spacing w:before="60" w:after="120"/>
      </w:pPr>
      <w:r>
        <w:rPr>
          <w:rFonts w:ascii="Microsoft JhengHei" w:hAnsi="Microsoft JhengHei" w:eastAsia="Microsoft JhengHei"/>
          <w:sz w:val="20"/>
        </w:rPr>
        <w:t>本文的貢獻不是取代上述工具，而是要求它們在同一個政府AI上線節點被接合為可作成Go、Conditional或No-Go判定的證據。</w:t>
      </w:r>
    </w:p>
    <w:p>
      <w:pPr>
        <w:spacing w:before="160" w:after="60"/>
      </w:pPr>
      <w:r>
        <w:rPr>
          <w:rFonts w:ascii="Microsoft JhengHei" w:hAnsi="Microsoft JhengHei" w:eastAsia="Microsoft JhengHei"/>
          <w:b/>
          <w:sz w:val="20"/>
        </w:rPr>
        <w:t>表2　多手政府：政府AI權利來源責任鏈的既有位置與斷裂點</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行動者</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現有位置／工具</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典型推諉與斷裂點</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業務單位</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提出使用目的、提供資料與委託研究成果</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以效率或資料已取得為由，未確認AI處理及跨目的使用範圍。</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資訊單位</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建置、維運或協助採購系統</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有技術責任，卻通常無權判斷著作權、用途或拒絕業務需求。</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採購單位</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RFP、契約與驗收程序</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若需求文件未寫入授權、保存與停止義務，只能說契約未約定。</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法制／智財單位</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提供法律意見、協助爭議處理</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若未被提早送審，容易在爭議後才進入個案判斷。</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供應商</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切塊、向量化、檢索、快取與系統交付</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以機關提供資料或保證可用為由，不承接原始權利條件。</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中央政策與研究機構</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原則、手冊、研究成果規範與契約範本</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各自提供制度零件，卻通常不對單一地方採購案作Go／No-Go判定。</w:t>
            </w:r>
          </w:p>
        </w:tc>
      </w:tr>
    </w:tbl>
    <w:p>
      <w:pPr>
        <w:pStyle w:val="Heading1"/>
      </w:pPr>
      <w:r>
        <w:rPr>
          <w:rFonts w:ascii="Microsoft JhengHei" w:hAnsi="Microsoft JhengHei" w:eastAsia="Microsoft JhengHei"/>
          <w:b/>
          <w:i w:val="0"/>
          <w:color w:val="2E74B5"/>
          <w:sz w:val="32"/>
        </w:rPr>
        <w:t>三、壓力測試情境：當學者研究變成地方政府AI的背景知識</w:t>
      </w:r>
    </w:p>
    <w:p>
      <w:pPr>
        <w:spacing w:line="319" w:lineRule="auto"/>
      </w:pPr>
      <w:r>
        <w:rPr>
          <w:rFonts w:ascii="Microsoft JhengHei" w:hAnsi="Microsoft JhengHei" w:eastAsia="Microsoft JhengHei"/>
          <w:b w:val="0"/>
          <w:i w:val="0"/>
          <w:sz w:val="22"/>
        </w:rPr>
        <w:t>本文採用單一模擬案例一路推演，而不以大量零碎案例堆砌。某地方政府為因應政策研究資料分散、民眾問答耗時的困難，採購一套「政策研究與公共問答AI助理」。資料來源包括：本機關委託研究報告、學者公開網站的工作論文、研討會簡報、機關FAQ、政策文件與開放資料。供應商將文件切塊，轉為向量嵌入，建置可檢索的知識庫；系統先供內部摘要使用，試行成功後再對外回答民眾問題。</w:t>
      </w:r>
    </w:p>
    <w:p>
      <w:pPr>
        <w:spacing w:line="319" w:lineRule="auto"/>
      </w:pPr>
      <w:r>
        <w:rPr>
          <w:rFonts w:ascii="Microsoft JhengHei" w:hAnsi="Microsoft JhengHei" w:eastAsia="Microsoft JhengHei"/>
          <w:b w:val="0"/>
          <w:i w:val="0"/>
          <w:sz w:val="22"/>
        </w:rPr>
        <w:t>RAG的技術特質，使問題不再只是「有沒有下載一份PDF」。文件被切成片段後，作者姓名、書名、段落脈絡與原本的使用限制，往往不再隨每一個片段被保留；向量化與快取又使承辦人很難直觀看見內容仍保存於何處。這些行為在個別法制上是否必然構成重製、改作或其他著作權利用，仍須依事實與法律判斷；但從治理角度看，它已足以造成來源失落與責任難以追溯的風險。</w:t>
      </w:r>
    </w:p>
    <w:p>
      <w:pPr>
        <w:spacing w:line="319" w:lineRule="auto"/>
      </w:pPr>
      <w:r>
        <w:rPr>
          <w:rFonts w:ascii="Microsoft JhengHei" w:hAnsi="Microsoft JhengHei" w:eastAsia="Microsoft JhengHei"/>
          <w:b w:val="0"/>
          <w:sz w:val="20"/>
        </w:rPr>
        <w:t>數月後，一位學者發現系統多次產出與其研究架構高度相近的政策說明，卻沒有作者姓名、連結或出處。此時他甚至不容易指出「是哪一段」被使用：完整文章可能已被拆解，輸出內容也未逐字重現。機關於是展開追查，但每個環節都出現相同答覆：資料是公開的、資料是業務給的、系統由廠商做的、契約沒寫、法務未審。這正是壓力測試要呈現的斷裂。 這裡的高度相近只構成必須啟動來源查核、保全與說明的治理警訊；是否侵害著作權，仍須由法院依個案事實與法律認定。</w:t>
      </w:r>
    </w:p>
    <w:p>
      <w:pPr>
        <w:pStyle w:val="Heading1"/>
      </w:pPr>
      <w:r>
        <w:rPr>
          <w:rFonts w:ascii="Microsoft JhengHei" w:hAnsi="Microsoft JhengHei" w:eastAsia="Microsoft JhengHei"/>
          <w:b/>
          <w:i w:val="0"/>
          <w:color w:val="2E74B5"/>
          <w:sz w:val="32"/>
        </w:rPr>
        <w:t>四、公共AI權利來源證據審查模組</w:t>
      </w:r>
    </w:p>
    <w:p>
      <w:pPr>
        <w:pStyle w:val="Heading2"/>
      </w:pPr>
      <w:r>
        <w:rPr>
          <w:rFonts w:ascii="Microsoft JhengHei" w:hAnsi="Microsoft JhengHei" w:eastAsia="Microsoft JhengHei"/>
          <w:b/>
          <w:i w:val="0"/>
          <w:color w:val="2E74B5"/>
          <w:sz w:val="26"/>
        </w:rPr>
        <w:t>（一）從「誰創作什麼」開始</w:t>
      </w:r>
    </w:p>
    <w:p>
      <w:pPr>
        <w:spacing w:line="319" w:lineRule="auto"/>
      </w:pPr>
      <w:r>
        <w:rPr>
          <w:rFonts w:ascii="Microsoft JhengHei" w:hAnsi="Microsoft JhengHei" w:eastAsia="Microsoft JhengHei"/>
          <w:b w:val="0"/>
          <w:i w:val="0"/>
          <w:sz w:val="22"/>
        </w:rPr>
        <w:t>一個可運作的模組，首先不應問「這份資料是否可用」；它應問得更白話：誰創作或提供了什麼？誰對它具有何種權利？誰允許政府在AI系統中使用？使用可以走到哪一步？如果作者不同意，誰能停？這五句話是資料履歷的最小單位。</w:t>
      </w:r>
    </w:p>
    <w:p>
      <w:pPr>
        <w:pStyle w:val="Heading2"/>
      </w:pPr>
      <w:r>
        <w:rPr>
          <w:rFonts w:ascii="Microsoft JhengHei" w:hAnsi="Microsoft JhengHei" w:eastAsia="Microsoft JhengHei"/>
          <w:b/>
          <w:i w:val="0"/>
          <w:color w:val="2E74B5"/>
          <w:sz w:val="26"/>
        </w:rPr>
        <w:t>（二）四級授權層級</w:t>
      </w:r>
    </w:p>
    <w:p>
      <w:pPr>
        <w:spacing w:line="317" w:lineRule="auto" w:after="120"/>
      </w:pPr>
      <w:r>
        <w:rPr>
          <w:rFonts w:ascii="Microsoft JhengHei" w:hAnsi="Microsoft JhengHei" w:eastAsia="Microsoft JhengHei"/>
          <w:b/>
          <w:sz w:val="20"/>
        </w:rPr>
        <w:t>表3　政府AI資料使用的四級授權層級</w:t>
      </w:r>
    </w:p>
    <w:tbl>
      <w:tblPr>
        <w:tblStyle w:val="TableGrid"/>
        <w:tblW w:type="auto" w:w="0"/>
        <w:jc w:val="center"/>
        <w:tblLayout w:type="fixed"/>
        <w:tblLook w:firstColumn="1" w:firstRow="1" w:lastColumn="0" w:lastRow="0" w:noHBand="0" w:noVBand="1" w:val="04A0"/>
      </w:tblPr>
      <w:tblGrid>
        <w:gridCol w:w="3120"/>
        <w:gridCol w:w="3120"/>
        <w:gridCol w:w="3120"/>
      </w:tblGrid>
      <w:tr>
        <w:tc>
          <w:tcPr>
            <w:tcW w:type="dxa" w:w="1656"/>
            <w:shd w:fill="E8EEF5"/>
            <w:vAlign w:val="center"/>
          </w:tcPr>
          <w:p>
            <w:pPr>
              <w:spacing w:after="40"/>
            </w:pPr>
            <w:r>
              <w:rPr>
                <w:rFonts w:ascii="Microsoft JhengHei" w:hAnsi="Microsoft JhengHei" w:eastAsia="Microsoft JhengHei"/>
                <w:b/>
                <w:i w:val="0"/>
                <w:color w:val="0B2545"/>
                <w:sz w:val="20"/>
              </w:rPr>
              <w:t>層級</w:t>
            </w:r>
          </w:p>
        </w:tc>
        <w:tc>
          <w:tcPr>
            <w:tcW w:type="dxa" w:w="3528"/>
            <w:shd w:fill="E8EEF5"/>
            <w:vAlign w:val="center"/>
          </w:tcPr>
          <w:p>
            <w:pPr>
              <w:spacing w:after="40"/>
            </w:pPr>
            <w:r>
              <w:rPr>
                <w:rFonts w:ascii="Microsoft JhengHei" w:hAnsi="Microsoft JhengHei" w:eastAsia="Microsoft JhengHei"/>
                <w:b/>
                <w:i w:val="0"/>
                <w:color w:val="0B2545"/>
                <w:sz w:val="20"/>
              </w:rPr>
              <w:t>可做的事</w:t>
            </w:r>
          </w:p>
        </w:tc>
        <w:tc>
          <w:tcPr>
            <w:tcW w:type="dxa" w:w="4176"/>
            <w:shd w:fill="E8EEF5"/>
            <w:vAlign w:val="center"/>
          </w:tcPr>
          <w:p>
            <w:pPr>
              <w:spacing w:after="40"/>
            </w:pPr>
            <w:r>
              <w:rPr>
                <w:rFonts w:ascii="Microsoft JhengHei" w:hAnsi="Microsoft JhengHei" w:eastAsia="Microsoft JhengHei"/>
                <w:b/>
                <w:i w:val="0"/>
                <w:color w:val="0B2545"/>
                <w:sz w:val="20"/>
              </w:rPr>
              <w:t>治理意義</w:t>
            </w:r>
          </w:p>
        </w:tc>
      </w:tr>
      <w:tr>
        <w:tc>
          <w:tcPr>
            <w:tcW w:type="dxa" w:w="1656"/>
            <w:vAlign w:val="center"/>
          </w:tcPr>
          <w:p>
            <w:pPr>
              <w:spacing w:after="40" w:line="276" w:lineRule="auto"/>
            </w:pPr>
            <w:r>
              <w:rPr>
                <w:rFonts w:ascii="Microsoft JhengHei" w:hAnsi="Microsoft JhengHei" w:eastAsia="Microsoft JhengHei"/>
                <w:b w:val="0"/>
                <w:i w:val="0"/>
                <w:sz w:val="19"/>
              </w:rPr>
              <w:t>Level 0</w:t>
            </w:r>
          </w:p>
        </w:tc>
        <w:tc>
          <w:tcPr>
            <w:tcW w:type="dxa" w:w="3528"/>
            <w:vAlign w:val="center"/>
          </w:tcPr>
          <w:p>
            <w:pPr>
              <w:spacing w:after="40" w:line="276" w:lineRule="auto"/>
            </w:pPr>
            <w:r>
              <w:rPr>
                <w:rFonts w:ascii="Microsoft JhengHei" w:hAnsi="Microsoft JhengHei" w:eastAsia="Microsoft JhengHei"/>
                <w:b w:val="0"/>
                <w:i w:val="0"/>
                <w:sz w:val="19"/>
              </w:rPr>
              <w:t>機關內部閱覽或一般業務使用</w:t>
            </w:r>
          </w:p>
        </w:tc>
        <w:tc>
          <w:tcPr>
            <w:tcW w:type="dxa" w:w="4176"/>
            <w:vAlign w:val="center"/>
          </w:tcPr>
          <w:p>
            <w:pPr>
              <w:spacing w:after="40" w:line="276" w:lineRule="auto"/>
            </w:pPr>
            <w:r>
              <w:rPr>
                <w:rFonts w:ascii="Microsoft JhengHei" w:hAnsi="Microsoft JhengHei" w:eastAsia="Microsoft JhengHei"/>
                <w:b w:val="0"/>
                <w:i w:val="0"/>
                <w:sz w:val="19"/>
              </w:rPr>
              <w:t>取得文件不等於取得AI處理權。</w:t>
            </w:r>
          </w:p>
        </w:tc>
      </w:tr>
      <w:tr>
        <w:tc>
          <w:tcPr>
            <w:tcW w:type="dxa" w:w="1656"/>
            <w:vAlign w:val="center"/>
          </w:tcPr>
          <w:p>
            <w:pPr>
              <w:spacing w:after="40" w:line="276" w:lineRule="auto"/>
            </w:pPr>
            <w:r>
              <w:rPr>
                <w:rFonts w:ascii="Microsoft JhengHei" w:hAnsi="Microsoft JhengHei" w:eastAsia="Microsoft JhengHei"/>
                <w:b w:val="0"/>
                <w:i w:val="0"/>
                <w:sz w:val="19"/>
              </w:rPr>
              <w:t>Level 1</w:t>
            </w:r>
          </w:p>
        </w:tc>
        <w:tc>
          <w:tcPr>
            <w:tcW w:type="dxa" w:w="3528"/>
            <w:vAlign w:val="center"/>
          </w:tcPr>
          <w:p>
            <w:pPr>
              <w:spacing w:after="40" w:line="276" w:lineRule="auto"/>
            </w:pPr>
            <w:r>
              <w:rPr>
                <w:rFonts w:ascii="Microsoft JhengHei" w:hAnsi="Microsoft JhengHei" w:eastAsia="Microsoft JhengHei"/>
                <w:b w:val="0"/>
                <w:i w:val="0"/>
                <w:sz w:val="19"/>
              </w:rPr>
              <w:t>內部RAG切塊、向量化與檢索</w:t>
            </w:r>
          </w:p>
        </w:tc>
        <w:tc>
          <w:tcPr>
            <w:tcW w:type="dxa" w:w="4176"/>
            <w:vAlign w:val="center"/>
          </w:tcPr>
          <w:p>
            <w:pPr>
              <w:spacing w:after="40" w:line="276" w:lineRule="auto"/>
            </w:pPr>
            <w:r>
              <w:rPr>
                <w:rFonts w:ascii="Microsoft JhengHei" w:hAnsi="Microsoft JhengHei" w:eastAsia="Microsoft JhengHei"/>
                <w:b w:val="0"/>
                <w:i w:val="0"/>
                <w:sz w:val="19"/>
              </w:rPr>
              <w:t>需確認可否複製、保存、交由供應商處理。</w:t>
            </w:r>
          </w:p>
        </w:tc>
      </w:tr>
      <w:tr>
        <w:tc>
          <w:tcPr>
            <w:tcW w:type="dxa" w:w="1656"/>
            <w:vAlign w:val="center"/>
          </w:tcPr>
          <w:p>
            <w:pPr>
              <w:spacing w:after="40" w:line="276" w:lineRule="auto"/>
            </w:pPr>
            <w:r>
              <w:rPr>
                <w:rFonts w:ascii="Microsoft JhengHei" w:hAnsi="Microsoft JhengHei" w:eastAsia="Microsoft JhengHei"/>
                <w:b w:val="0"/>
                <w:i w:val="0"/>
                <w:sz w:val="19"/>
              </w:rPr>
              <w:t>Level 2</w:t>
            </w:r>
          </w:p>
        </w:tc>
        <w:tc>
          <w:tcPr>
            <w:tcW w:type="dxa" w:w="3528"/>
            <w:vAlign w:val="center"/>
          </w:tcPr>
          <w:p>
            <w:pPr>
              <w:spacing w:after="40" w:line="276" w:lineRule="auto"/>
            </w:pPr>
            <w:r>
              <w:rPr>
                <w:rFonts w:ascii="Microsoft JhengHei" w:hAnsi="Microsoft JhengHei" w:eastAsia="Microsoft JhengHei"/>
                <w:b w:val="0"/>
                <w:i w:val="0"/>
                <w:sz w:val="19"/>
              </w:rPr>
              <w:t>對外AI改寫與公共回答</w:t>
            </w:r>
          </w:p>
        </w:tc>
        <w:tc>
          <w:tcPr>
            <w:tcW w:type="dxa" w:w="4176"/>
            <w:vAlign w:val="center"/>
          </w:tcPr>
          <w:p>
            <w:pPr>
              <w:spacing w:after="40" w:line="276" w:lineRule="auto"/>
            </w:pPr>
            <w:r>
              <w:rPr>
                <w:rFonts w:ascii="Microsoft JhengHei" w:hAnsi="Microsoft JhengHei" w:eastAsia="Microsoft JhengHei"/>
                <w:b w:val="0"/>
                <w:i w:val="0"/>
                <w:sz w:val="19"/>
              </w:rPr>
              <w:t>需處理來源標示、姓名表示、輸出界線與誤導風險。</w:t>
            </w:r>
          </w:p>
        </w:tc>
      </w:tr>
      <w:tr>
        <w:tc>
          <w:tcPr>
            <w:tcW w:type="dxa" w:w="1656"/>
            <w:vAlign w:val="center"/>
          </w:tcPr>
          <w:p>
            <w:pPr>
              <w:spacing w:after="40" w:line="276" w:lineRule="auto"/>
            </w:pPr>
            <w:r>
              <w:rPr>
                <w:rFonts w:ascii="Microsoft JhengHei" w:hAnsi="Microsoft JhengHei" w:eastAsia="Microsoft JhengHei"/>
                <w:b w:val="0"/>
                <w:i w:val="0"/>
                <w:sz w:val="19"/>
              </w:rPr>
              <w:t>Level 3</w:t>
            </w:r>
          </w:p>
        </w:tc>
        <w:tc>
          <w:tcPr>
            <w:tcW w:type="dxa" w:w="3528"/>
            <w:vAlign w:val="center"/>
          </w:tcPr>
          <w:p>
            <w:pPr>
              <w:spacing w:after="40" w:line="276" w:lineRule="auto"/>
            </w:pPr>
            <w:r>
              <w:rPr>
                <w:rFonts w:ascii="Microsoft JhengHei" w:hAnsi="Microsoft JhengHei" w:eastAsia="Microsoft JhengHei"/>
                <w:b w:val="0"/>
                <w:i w:val="0"/>
                <w:sz w:val="19"/>
              </w:rPr>
              <w:t>模型訓練、微調或再利用</w:t>
            </w:r>
          </w:p>
        </w:tc>
        <w:tc>
          <w:tcPr>
            <w:tcW w:type="dxa" w:w="4176"/>
            <w:vAlign w:val="center"/>
          </w:tcPr>
          <w:p>
            <w:pPr>
              <w:spacing w:after="40" w:line="276" w:lineRule="auto"/>
            </w:pPr>
            <w:r>
              <w:rPr>
                <w:rFonts w:ascii="Microsoft JhengHei" w:hAnsi="Microsoft JhengHei" w:eastAsia="Microsoft JhengHei"/>
                <w:b w:val="0"/>
                <w:i w:val="0"/>
                <w:sz w:val="19"/>
              </w:rPr>
              <w:t>影響最深遠、最難逆轉，原則上需明確且獨立的授權。</w:t>
            </w:r>
          </w:p>
        </w:tc>
      </w:tr>
    </w:tbl>
    <w:p>
      <w:pPr>
        <w:spacing w:after="40"/>
      </w:pPr>
    </w:p>
    <w:p>
      <w:pPr>
        <w:spacing w:line="319" w:lineRule="auto"/>
      </w:pPr>
      <w:r>
        <w:rPr>
          <w:rFonts w:ascii="Microsoft JhengHei" w:hAnsi="Microsoft JhengHei" w:eastAsia="Microsoft JhengHei"/>
          <w:b w:val="0"/>
          <w:i w:val="0"/>
          <w:sz w:val="22"/>
        </w:rPr>
        <w:t>這個分級的行政意義很直接：機關取得一份報告，通常只代表它擁有Level 0的閱覽或業務使用地位；它不當然取得Level 1至Level 3的AI處理權。將「拿到資料」誤解成「得到一切使用權」，正是目前最值得被拆開的行政迷思。</w:t>
      </w:r>
    </w:p>
    <w:p>
      <w:pPr>
        <w:spacing w:line="319" w:lineRule="auto"/>
      </w:pPr>
      <w:r>
        <w:rPr>
          <w:rFonts w:ascii="Microsoft JhengHei" w:hAnsi="Microsoft JhengHei" w:eastAsia="Microsoft JhengHei"/>
          <w:b w:val="0"/>
          <w:sz w:val="20"/>
        </w:rPr>
        <w:t>這裡還有一條容易被忽略的邊界：授權層級不只隨「處理方式」變化，也隨「使用單位與使用目的」變化。業務單位A委託取得的研究報告，即使原本只在A的內部RAG中運作（Level 1），一旦被業務單位B基於不同業務目的檢索、改寫或對外回覆，就不再是同一個Level 1的授權範圍，而應被視為跨越到Level 2甚至另立授權判斷的邊界；機關不能以「同一套系統」為由，把跨單位、跨目的的使用，默認為原授權的自然延伸。 實務上，同一機關不同科室不必然一律構成跨單位；若資料控制者、業務目的、服務對象、保存位置與受託處理者均未改變，可維持原Level 1審查。只要其中任一項改變，尤其改作對外服務、交由新供應商或跨機關共享，即應視為新用途，重作Level 2或Level 3審查。</w:t>
      </w:r>
    </w:p>
    <w:p>
      <w:pPr>
        <w:spacing w:before="160" w:after="60"/>
      </w:pPr>
      <w:r>
        <w:rPr>
          <w:rFonts w:ascii="Microsoft JhengHei" w:hAnsi="Microsoft JhengHei" w:eastAsia="Microsoft JhengHei"/>
          <w:b/>
          <w:sz w:val="20"/>
        </w:rPr>
        <w:t>表4　不同AI處理行為的權利來源與停止可行性差異</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處理行為</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權利來源審查重點</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發生疑義時的最低停止措施</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提示詞／文件上傳</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上傳人是否有權交付；外部服務是否保存或再利用。</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停止上傳、撤回或隔離檔案；保全提示與處理紀錄。</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RAG切塊、向量化與檢索</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是否允許重製、轉換、保存、供應商處理及檢索。</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停用來源、刪除或隔離向量索引與快取；保全查詢紀錄。</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外部API／雲端服務</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資料是否跨境傳輸；服務商是否得保留、訓練或交由次處理者。</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切斷串接、停送資料、要求供應商確認保存與刪除狀態。</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微調或模型訓練</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是否有明確、獨立且可涵蓋訓練與再利用的權利依據。</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停止後續訓練與新版本再利用；評估既有模型的技術與法律補救。</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跨機關共享／跨目的使用</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原研究目的、契約範圍與授權主體是否涵蓋新單位與新用途。</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停止跨單位存取與對外輸出；重新取得依據後才恢復。</w:t>
            </w:r>
          </w:p>
        </w:tc>
      </w:tr>
    </w:tbl>
    <w:p>
      <w:pPr>
        <w:pStyle w:val="Heading2"/>
      </w:pPr>
      <w:r>
        <w:rPr>
          <w:rFonts w:ascii="Microsoft JhengHei" w:hAnsi="Microsoft JhengHei" w:eastAsia="Microsoft JhengHei"/>
          <w:b/>
          <w:i w:val="0"/>
          <w:color w:val="2E74B5"/>
          <w:sz w:val="26"/>
        </w:rPr>
        <w:t>（三）七項證據問題</w:t>
      </w:r>
    </w:p>
    <w:p>
      <w:pPr>
        <w:spacing w:line="317" w:lineRule="auto" w:after="120"/>
      </w:pPr>
      <w:r>
        <w:rPr>
          <w:rFonts w:ascii="Microsoft JhengHei" w:hAnsi="Microsoft JhengHei" w:eastAsia="Microsoft JhengHei"/>
          <w:b/>
          <w:sz w:val="20"/>
        </w:rPr>
        <w:t>表5　公共AI權利來源的七項證據問題</w:t>
      </w:r>
    </w:p>
    <w:tbl>
      <w:tblPr>
        <w:tblStyle w:val="TableGrid"/>
        <w:tblW w:type="auto" w:w="0"/>
        <w:jc w:val="center"/>
        <w:tblLayout w:type="fixed"/>
        <w:tblLook w:firstColumn="1" w:firstRow="1" w:lastColumn="0" w:lastRow="0" w:noHBand="0" w:noVBand="1" w:val="04A0"/>
      </w:tblPr>
      <w:tblGrid>
        <w:gridCol w:w="4680"/>
        <w:gridCol w:w="4680"/>
      </w:tblGrid>
      <w:tr>
        <w:tc>
          <w:tcPr>
            <w:tcW w:type="dxa" w:w="2088"/>
            <w:shd w:fill="E8EEF5"/>
            <w:vAlign w:val="center"/>
          </w:tcPr>
          <w:p>
            <w:pPr>
              <w:spacing w:after="40"/>
            </w:pPr>
            <w:r>
              <w:rPr>
                <w:rFonts w:ascii="Microsoft JhengHei" w:hAnsi="Microsoft JhengHei" w:eastAsia="Microsoft JhengHei"/>
                <w:b/>
                <w:i w:val="0"/>
                <w:color w:val="0B2545"/>
                <w:sz w:val="20"/>
              </w:rPr>
              <w:t>提問</w:t>
            </w:r>
          </w:p>
        </w:tc>
        <w:tc>
          <w:tcPr>
            <w:tcW w:type="dxa" w:w="7272"/>
            <w:shd w:fill="E8EEF5"/>
            <w:vAlign w:val="center"/>
          </w:tcPr>
          <w:p>
            <w:pPr>
              <w:spacing w:after="40"/>
            </w:pPr>
            <w:r>
              <w:rPr>
                <w:rFonts w:ascii="Microsoft JhengHei" w:hAnsi="Microsoft JhengHei" w:eastAsia="Microsoft JhengHei"/>
                <w:b/>
                <w:i w:val="0"/>
                <w:color w:val="0B2545"/>
                <w:sz w:val="20"/>
              </w:rPr>
              <w:t>最低可見證據</w:t>
            </w:r>
          </w:p>
        </w:tc>
      </w:tr>
      <w:tr>
        <w:tc>
          <w:tcPr>
            <w:tcW w:type="dxa" w:w="2088"/>
            <w:vAlign w:val="center"/>
          </w:tcPr>
          <w:p>
            <w:pPr>
              <w:spacing w:after="40" w:line="276" w:lineRule="auto"/>
            </w:pPr>
            <w:r>
              <w:rPr>
                <w:rFonts w:ascii="Microsoft JhengHei" w:hAnsi="Microsoft JhengHei" w:eastAsia="Microsoft JhengHei"/>
                <w:b w:val="0"/>
                <w:i w:val="0"/>
                <w:sz w:val="19"/>
              </w:rPr>
              <w:t>這是什麼？</w:t>
            </w:r>
          </w:p>
        </w:tc>
        <w:tc>
          <w:tcPr>
            <w:tcW w:type="dxa" w:w="7272"/>
            <w:vAlign w:val="center"/>
          </w:tcPr>
          <w:p>
            <w:pPr>
              <w:spacing w:after="40" w:line="276" w:lineRule="auto"/>
            </w:pPr>
            <w:r>
              <w:rPr>
                <w:rFonts w:ascii="Microsoft JhengHei" w:hAnsi="Microsoft JhengHei" w:eastAsia="Microsoft JhengHei"/>
                <w:b w:val="0"/>
                <w:i w:val="0"/>
                <w:sz w:val="19"/>
              </w:rPr>
              <w:t>文件、圖像、簡報、研究成果或資料庫之名稱、版本、網址與取得時間。</w:t>
            </w:r>
          </w:p>
        </w:tc>
      </w:tr>
      <w:tr>
        <w:tc>
          <w:tcPr>
            <w:tcW w:type="dxa" w:w="2088"/>
            <w:vAlign w:val="center"/>
          </w:tcPr>
          <w:p>
            <w:pPr>
              <w:spacing w:after="40" w:line="276" w:lineRule="auto"/>
            </w:pPr>
            <w:r>
              <w:rPr>
                <w:rFonts w:ascii="Microsoft JhengHei" w:hAnsi="Microsoft JhengHei" w:eastAsia="Microsoft JhengHei"/>
                <w:b w:val="0"/>
                <w:i w:val="0"/>
                <w:sz w:val="19"/>
              </w:rPr>
              <w:t>誰創作或提供？</w:t>
            </w:r>
          </w:p>
        </w:tc>
        <w:tc>
          <w:tcPr>
            <w:tcW w:type="dxa" w:w="7272"/>
            <w:vAlign w:val="center"/>
          </w:tcPr>
          <w:p>
            <w:pPr>
              <w:spacing w:after="40" w:line="276" w:lineRule="auto"/>
            </w:pPr>
            <w:r>
              <w:rPr>
                <w:rFonts w:ascii="Microsoft JhengHei" w:hAnsi="Microsoft JhengHei" w:eastAsia="Microsoft JhengHei"/>
                <w:b w:val="0"/>
                <w:i w:val="0"/>
                <w:sz w:val="19"/>
              </w:rPr>
              <w:t>作者、研究團隊、機關、學校、委託單位或受讓人。</w:t>
            </w:r>
          </w:p>
        </w:tc>
      </w:tr>
      <w:tr>
        <w:tc>
          <w:tcPr>
            <w:tcW w:type="dxa" w:w="2088"/>
            <w:vAlign w:val="center"/>
          </w:tcPr>
          <w:p>
            <w:pPr>
              <w:spacing w:after="40" w:line="276" w:lineRule="auto"/>
            </w:pPr>
            <w:r>
              <w:rPr>
                <w:rFonts w:ascii="Microsoft JhengHei" w:hAnsi="Microsoft JhengHei" w:eastAsia="Microsoft JhengHei"/>
                <w:b w:val="0"/>
                <w:i w:val="0"/>
                <w:sz w:val="19"/>
              </w:rPr>
              <w:t>誰有權決定使用？</w:t>
            </w:r>
          </w:p>
        </w:tc>
        <w:tc>
          <w:tcPr>
            <w:tcW w:type="dxa" w:w="7272"/>
            <w:vAlign w:val="center"/>
          </w:tcPr>
          <w:p>
            <w:pPr>
              <w:spacing w:after="40" w:line="276" w:lineRule="auto"/>
            </w:pPr>
            <w:r>
              <w:rPr>
                <w:rFonts w:ascii="Microsoft JhengHei" w:hAnsi="Microsoft JhengHei" w:eastAsia="Microsoft JhengHei"/>
                <w:b w:val="0"/>
                <w:i w:val="0"/>
                <w:sz w:val="19"/>
              </w:rPr>
              <w:t>著作權人、執行機構、契約受讓人或授權人。</w:t>
            </w:r>
          </w:p>
        </w:tc>
      </w:tr>
      <w:tr>
        <w:tc>
          <w:tcPr>
            <w:tcW w:type="dxa" w:w="2088"/>
            <w:vAlign w:val="center"/>
          </w:tcPr>
          <w:p>
            <w:pPr>
              <w:spacing w:after="40" w:line="276" w:lineRule="auto"/>
            </w:pPr>
            <w:r>
              <w:rPr>
                <w:rFonts w:ascii="Microsoft JhengHei" w:hAnsi="Microsoft JhengHei" w:eastAsia="Microsoft JhengHei"/>
                <w:b w:val="0"/>
                <w:i w:val="0"/>
                <w:sz w:val="19"/>
              </w:rPr>
              <w:t>可用到哪一步？</w:t>
            </w:r>
          </w:p>
        </w:tc>
        <w:tc>
          <w:tcPr>
            <w:tcW w:type="dxa" w:w="7272"/>
            <w:vAlign w:val="center"/>
          </w:tcPr>
          <w:p>
            <w:pPr>
              <w:spacing w:after="40" w:line="276" w:lineRule="auto"/>
            </w:pPr>
            <w:r>
              <w:rPr>
                <w:rFonts w:ascii="Microsoft JhengHei" w:hAnsi="Microsoft JhengHei" w:eastAsia="Microsoft JhengHei"/>
                <w:b w:val="0"/>
                <w:i w:val="0"/>
                <w:sz w:val="19"/>
              </w:rPr>
              <w:t>對照Level 0至Level 3，記載輸入、檢索、改寫、公開與保存範圍。</w:t>
            </w:r>
          </w:p>
        </w:tc>
      </w:tr>
      <w:tr>
        <w:tc>
          <w:tcPr>
            <w:tcW w:type="dxa" w:w="2088"/>
            <w:vAlign w:val="center"/>
          </w:tcPr>
          <w:p>
            <w:pPr>
              <w:spacing w:after="40" w:line="276" w:lineRule="auto"/>
            </w:pPr>
            <w:r>
              <w:rPr>
                <w:rFonts w:ascii="Microsoft JhengHei" w:hAnsi="Microsoft JhengHei" w:eastAsia="Microsoft JhengHei"/>
                <w:b w:val="0"/>
                <w:i w:val="0"/>
                <w:sz w:val="19"/>
              </w:rPr>
              <w:t>供應商可做什麼？</w:t>
            </w:r>
          </w:p>
        </w:tc>
        <w:tc>
          <w:tcPr>
            <w:tcW w:type="dxa" w:w="7272"/>
            <w:vAlign w:val="center"/>
          </w:tcPr>
          <w:p>
            <w:pPr>
              <w:spacing w:after="40" w:line="276" w:lineRule="auto"/>
            </w:pPr>
            <w:r>
              <w:rPr>
                <w:rFonts w:ascii="Microsoft JhengHei" w:hAnsi="Microsoft JhengHei" w:eastAsia="Microsoft JhengHei"/>
                <w:b w:val="0"/>
                <w:i w:val="0"/>
                <w:sz w:val="19"/>
              </w:rPr>
              <w:t>是否可切塊、向量化、保存、交由次處理者或作其他再利用。</w:t>
            </w:r>
          </w:p>
        </w:tc>
      </w:tr>
      <w:tr>
        <w:tc>
          <w:tcPr>
            <w:tcW w:type="dxa" w:w="2088"/>
            <w:vAlign w:val="center"/>
          </w:tcPr>
          <w:p>
            <w:pPr>
              <w:spacing w:after="40" w:line="276" w:lineRule="auto"/>
            </w:pPr>
            <w:r>
              <w:rPr>
                <w:rFonts w:ascii="Microsoft JhengHei" w:hAnsi="Microsoft JhengHei" w:eastAsia="Microsoft JhengHei"/>
                <w:b w:val="0"/>
                <w:i w:val="0"/>
                <w:sz w:val="19"/>
              </w:rPr>
              <w:t>使用者如何得知？</w:t>
            </w:r>
          </w:p>
        </w:tc>
        <w:tc>
          <w:tcPr>
            <w:tcW w:type="dxa" w:w="7272"/>
            <w:vAlign w:val="center"/>
          </w:tcPr>
          <w:p>
            <w:pPr>
              <w:spacing w:after="40" w:line="276" w:lineRule="auto"/>
            </w:pPr>
            <w:r>
              <w:rPr>
                <w:rFonts w:ascii="Microsoft JhengHei" w:hAnsi="Microsoft JhengHei" w:eastAsia="Microsoft JhengHei"/>
                <w:b w:val="0"/>
                <w:i w:val="0"/>
                <w:sz w:val="19"/>
              </w:rPr>
              <w:t>來源標示、連結、作者姓名、限制條款與系統說明。</w:t>
            </w:r>
          </w:p>
        </w:tc>
      </w:tr>
      <w:tr>
        <w:tc>
          <w:tcPr>
            <w:tcW w:type="dxa" w:w="2088"/>
            <w:vAlign w:val="center"/>
          </w:tcPr>
          <w:p>
            <w:pPr>
              <w:spacing w:after="40" w:line="276" w:lineRule="auto"/>
            </w:pPr>
            <w:r>
              <w:rPr>
                <w:rFonts w:ascii="Microsoft JhengHei" w:hAnsi="Microsoft JhengHei" w:eastAsia="Microsoft JhengHei"/>
                <w:b w:val="0"/>
                <w:i w:val="0"/>
                <w:sz w:val="19"/>
              </w:rPr>
              <w:t>爭議誰可處理？</w:t>
            </w:r>
          </w:p>
        </w:tc>
        <w:tc>
          <w:tcPr>
            <w:tcW w:type="dxa" w:w="7272"/>
            <w:vAlign w:val="center"/>
          </w:tcPr>
          <w:p>
            <w:pPr>
              <w:spacing w:after="40" w:line="276" w:lineRule="auto"/>
            </w:pPr>
            <w:r>
              <w:rPr>
                <w:rFonts w:ascii="Microsoft JhengHei" w:hAnsi="Microsoft JhengHei" w:eastAsia="Microsoft JhengHei"/>
                <w:b w:val="0"/>
                <w:i w:val="0"/>
                <w:sz w:val="19"/>
              </w:rPr>
              <w:t>停止、刪除、替換、修正、通知與補救的責任人及時限。</w:t>
            </w:r>
          </w:p>
        </w:tc>
      </w:tr>
    </w:tbl>
    <w:p>
      <w:pPr>
        <w:spacing w:after="40"/>
      </w:pPr>
    </w:p>
    <w:p>
      <w:pPr>
        <w:spacing w:line="319" w:lineRule="auto"/>
      </w:pPr>
      <w:r>
        <w:rPr>
          <w:rFonts w:ascii="Microsoft JhengHei" w:hAnsi="Microsoft JhengHei" w:eastAsia="Microsoft JhengHei"/>
          <w:b w:val="0"/>
          <w:i w:val="0"/>
          <w:sz w:val="22"/>
        </w:rPr>
        <w:t>當七項證據問題中有任一項無法提供最低可見證據——尤其是Level 1、Level 2授權證據缺席，或指定不出可停止使用的責任人——本模組不需要另外召開一次會議討論；審查結果本身，就是OAC在該次上線、重大變更或驗收節點上直接判定Conditional或No-Go的依據。換句話說，本模組的作用不是在OAC之外另立一套審查，而是把OAC原本抽象的「證據不足」，換成一組可以逐項打勾、逐項究責的檢查表。</w:t>
      </w:r>
    </w:p>
    <w:p>
      <w:pPr>
        <w:spacing w:before="160" w:after="60"/>
      </w:pPr>
      <w:r>
        <w:rPr>
          <w:rFonts w:ascii="Microsoft JhengHei" w:hAnsi="Microsoft JhengHei" w:eastAsia="Microsoft JhengHei"/>
          <w:b/>
          <w:sz w:val="20"/>
        </w:rPr>
        <w:t>表6　OAC權利來源判定：誰提出、誰補證、誰承擔No-Go</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節點</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最低行動</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責任定位</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需求提出</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說明資料為何必要、預定用於何種AI處理與服務範圍。</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業務單位不能把用途判斷交由資訊單位單獨承擔。</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證據補正</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提出資料履歷、授權條件、供應商處理與再利用限制。</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業務、法制／智財與供應商依各自掌握的事實共同補證。</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契約化</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把清冊、保存限制、異議配合與停止命令寫入RFP、契約與驗收文件。</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採購單位將已確認的權利條件轉成可執行義務。</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OAC判定</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證據完整才可Go；可補正者Conditional；無法證明或無人能停止者No-Go。</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由具業務決定權的機關責任主管承擔；資訊單位提供技術判斷但不代替行政決定。</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停止與升級</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命令供應商停止檢索、下架、保全紀錄；跨科室無法處理時升級。</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指定停止責任人須有可對供應商發令的授權，不能只是收件窗口。</w:t>
            </w:r>
          </w:p>
        </w:tc>
      </w:tr>
    </w:tbl>
    <w:p>
      <w:pPr>
        <w:spacing w:before="60" w:after="120"/>
      </w:pPr>
      <w:r>
        <w:rPr>
          <w:rFonts w:ascii="Microsoft JhengHei" w:hAnsi="Microsoft JhengHei" w:eastAsia="Microsoft JhengHei"/>
          <w:sz w:val="20"/>
        </w:rPr>
        <w:t>地方機關未設CAIO或資料長，不能成為免除上述共同判斷的理由；反而說明OAC必須嵌入既有職權與採購節點。</w:t>
      </w:r>
    </w:p>
    <w:p>
      <w:pPr>
        <w:spacing w:line="317" w:lineRule="auto" w:after="120"/>
      </w:pPr>
      <w:r>
        <w:rPr>
          <w:rFonts w:ascii="Microsoft JhengHei" w:hAnsi="Microsoft JhengHei" w:eastAsia="Microsoft JhengHei"/>
          <w:b/>
          <w:sz w:val="20"/>
        </w:rPr>
        <w:t>表7　地方機關的最低可行權利責任配置</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角色</w:t>
            </w:r>
          </w:p>
        </w:tc>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最低權限／交付</w:t>
            </w:r>
          </w:p>
        </w:tc>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無專責人員時的支援方式</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機關首長指定案件責任官</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對OAC的Go／Conditional／No-Go與預防性暫停簽認；能向供應商發令。</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由既有業務主管或專案主管兼任，不另創CAIO職稱。</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業務、資訊、採購、法制／智財聯合簽證</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分別確認目的、技術處理、契約化與權利依據；留下可追溯意見。</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使用中央提供的標準證據包範本與遠距諮詢，不能以「沒有專家」免除審查。</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中央支援節點</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提供欄位標準、契約附款、技術測試基準與疑難案件轉介。</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數發部、智財局與研究機構提供支援，不取代地方機關的結果責任。</w:t>
            </w:r>
          </w:p>
        </w:tc>
      </w:tr>
    </w:tbl>
    <w:p>
      <w:pPr>
        <w:spacing w:line="317" w:lineRule="auto" w:after="120"/>
      </w:pPr>
      <w:r>
        <w:rPr>
          <w:rFonts w:ascii="Microsoft JhengHei" w:hAnsi="Microsoft JhengHei" w:eastAsia="Microsoft JhengHei"/>
          <w:b w:val="0"/>
          <w:sz w:val="20"/>
        </w:rPr>
        <w:t>最低可行配置的關鍵不是新增一個資料長職位，而是使既有主管取得簽認、停止與求援三種明確權限；中央提供標準化支援，地方仍必須對其採購案作出決定。</w:t>
      </w:r>
    </w:p>
    <w:p>
      <w:pPr>
        <w:pStyle w:val="Heading1"/>
      </w:pPr>
      <w:r>
        <w:rPr>
          <w:rFonts w:ascii="Microsoft JhengHei" w:hAnsi="Microsoft JhengHei" w:eastAsia="Microsoft JhengHei"/>
          <w:b/>
          <w:i w:val="0"/>
          <w:color w:val="2E74B5"/>
          <w:sz w:val="32"/>
        </w:rPr>
        <w:t>五、把情境放回母架構：四條治理鏈如何斷裂？</w:t>
      </w:r>
    </w:p>
    <w:p>
      <w:pPr>
        <w:spacing w:line="319" w:lineRule="auto"/>
      </w:pPr>
      <w:r>
        <w:rPr>
          <w:rFonts w:ascii="Microsoft JhengHei" w:hAnsi="Microsoft JhengHei" w:eastAsia="Microsoft JhengHei"/>
          <w:b w:val="0"/>
          <w:i w:val="0"/>
          <w:sz w:val="22"/>
        </w:rPr>
        <w:t>本文使用既有的「AI鑲嵌式公共行政理論壓力測試」八步驟作為方法，而非另造一套新理論。案例先被放進二十五個治理座標：組織層次有目的機關、研究機構與供應商；社會層次有作者與公共服務使用者；制度分工則涉及數發部、國科會、行政院及目的事業主管機關。接著辨識三種權力移轉：誰定義資料是否可用（P1情境建構）、誰決定導入與資料範圍（P2行政裁量）、以及AI輸出是否影響民眾的公共理解與行政權益（P3公權力影響）。</w:t>
      </w:r>
    </w:p>
    <w:p>
      <w:pPr>
        <w:spacing w:line="317" w:lineRule="auto" w:after="120"/>
      </w:pPr>
      <w:r>
        <w:rPr>
          <w:rFonts w:ascii="Microsoft JhengHei" w:hAnsi="Microsoft JhengHei" w:eastAsia="Microsoft JhengHei"/>
          <w:b/>
          <w:sz w:val="20"/>
        </w:rPr>
        <w:t>表8　四條治理鏈在公共AI權利來源案例中的斷裂點</w:t>
      </w:r>
    </w:p>
    <w:tbl>
      <w:tblPr>
        <w:tblStyle w:val="TableGrid"/>
        <w:tblW w:type="auto" w:w="0"/>
        <w:jc w:val="center"/>
        <w:tblLayout w:type="fixed"/>
        <w:tblLook w:firstColumn="1" w:firstRow="1" w:lastColumn="0" w:lastRow="0" w:noHBand="0" w:noVBand="1" w:val="04A0"/>
      </w:tblPr>
      <w:tblGrid>
        <w:gridCol w:w="3120"/>
        <w:gridCol w:w="3120"/>
        <w:gridCol w:w="3120"/>
      </w:tblGrid>
      <w:tr>
        <w:tc>
          <w:tcPr>
            <w:tcW w:type="dxa" w:w="2016"/>
            <w:shd w:fill="E8EEF5"/>
            <w:vAlign w:val="center"/>
          </w:tcPr>
          <w:p>
            <w:pPr>
              <w:spacing w:after="40"/>
            </w:pPr>
            <w:r>
              <w:rPr>
                <w:rFonts w:ascii="Microsoft JhengHei" w:hAnsi="Microsoft JhengHei" w:eastAsia="Microsoft JhengHei"/>
                <w:b/>
                <w:i w:val="0"/>
                <w:color w:val="0B2545"/>
                <w:sz w:val="20"/>
              </w:rPr>
              <w:t>治理鏈</w:t>
            </w:r>
          </w:p>
        </w:tc>
        <w:tc>
          <w:tcPr>
            <w:tcW w:type="dxa" w:w="4752"/>
            <w:shd w:fill="E8EEF5"/>
            <w:vAlign w:val="center"/>
          </w:tcPr>
          <w:p>
            <w:pPr>
              <w:spacing w:after="40"/>
            </w:pPr>
            <w:r>
              <w:rPr>
                <w:rFonts w:ascii="Microsoft JhengHei" w:hAnsi="Microsoft JhengHei" w:eastAsia="Microsoft JhengHei"/>
                <w:b/>
                <w:i w:val="0"/>
                <w:color w:val="0B2545"/>
                <w:sz w:val="20"/>
              </w:rPr>
              <w:t>案例中的關鍵問題</w:t>
            </w:r>
          </w:p>
        </w:tc>
        <w:tc>
          <w:tcPr>
            <w:tcW w:type="dxa" w:w="2592"/>
            <w:shd w:fill="E8EEF5"/>
            <w:vAlign w:val="center"/>
          </w:tcPr>
          <w:p>
            <w:pPr>
              <w:spacing w:after="40"/>
            </w:pPr>
            <w:r>
              <w:rPr>
                <w:rFonts w:ascii="Microsoft JhengHei" w:hAnsi="Microsoft JhengHei" w:eastAsia="Microsoft JhengHei"/>
                <w:b/>
                <w:i w:val="0"/>
                <w:color w:val="0B2545"/>
                <w:sz w:val="20"/>
              </w:rPr>
              <w:t>斷裂型態</w:t>
            </w:r>
          </w:p>
        </w:tc>
      </w:tr>
      <w:tr>
        <w:tc>
          <w:tcPr>
            <w:tcW w:type="dxa" w:w="2016"/>
            <w:vAlign w:val="center"/>
          </w:tcPr>
          <w:p>
            <w:pPr>
              <w:spacing w:after="40" w:line="276" w:lineRule="auto"/>
            </w:pPr>
            <w:r>
              <w:rPr>
                <w:rFonts w:ascii="Microsoft JhengHei" w:hAnsi="Microsoft JhengHei" w:eastAsia="Microsoft JhengHei"/>
                <w:b w:val="0"/>
                <w:i w:val="0"/>
                <w:sz w:val="19"/>
              </w:rPr>
              <w:t>情境建構鏈</w:t>
            </w:r>
          </w:p>
        </w:tc>
        <w:tc>
          <w:tcPr>
            <w:tcW w:type="dxa" w:w="4752"/>
            <w:vAlign w:val="center"/>
          </w:tcPr>
          <w:p>
            <w:pPr>
              <w:spacing w:after="40" w:line="276" w:lineRule="auto"/>
            </w:pPr>
            <w:r>
              <w:rPr>
                <w:rFonts w:ascii="Microsoft JhengHei" w:hAnsi="Microsoft JhengHei" w:eastAsia="Microsoft JhengHei"/>
                <w:b w:val="0"/>
                <w:i w:val="0"/>
                <w:sz w:val="19"/>
              </w:rPr>
              <w:t>誰把「公開網頁」界定為「可用公共知識」？</w:t>
            </w:r>
          </w:p>
        </w:tc>
        <w:tc>
          <w:tcPr>
            <w:tcW w:type="dxa" w:w="2592"/>
            <w:vAlign w:val="center"/>
          </w:tcPr>
          <w:p>
            <w:pPr>
              <w:spacing w:after="40" w:line="276" w:lineRule="auto"/>
            </w:pPr>
            <w:r>
              <w:rPr>
                <w:rFonts w:ascii="Microsoft JhengHei" w:hAnsi="Microsoft JhengHei" w:eastAsia="Microsoft JhengHei"/>
                <w:b w:val="0"/>
                <w:i w:val="0"/>
                <w:sz w:val="19"/>
              </w:rPr>
              <w:t>公開可見被誤認為公共財。</w:t>
            </w:r>
          </w:p>
        </w:tc>
      </w:tr>
      <w:tr>
        <w:tc>
          <w:tcPr>
            <w:tcW w:type="dxa" w:w="2016"/>
            <w:vAlign w:val="center"/>
          </w:tcPr>
          <w:p>
            <w:pPr>
              <w:spacing w:after="40" w:line="276" w:lineRule="auto"/>
            </w:pPr>
            <w:r>
              <w:rPr>
                <w:rFonts w:ascii="Microsoft JhengHei" w:hAnsi="Microsoft JhengHei" w:eastAsia="Microsoft JhengHei"/>
                <w:b w:val="0"/>
                <w:i w:val="0"/>
                <w:sz w:val="19"/>
              </w:rPr>
              <w:t>權威鏈</w:t>
            </w:r>
          </w:p>
        </w:tc>
        <w:tc>
          <w:tcPr>
            <w:tcW w:type="dxa" w:w="4752"/>
            <w:vAlign w:val="center"/>
          </w:tcPr>
          <w:p>
            <w:pPr>
              <w:spacing w:after="40" w:line="276" w:lineRule="auto"/>
            </w:pPr>
            <w:r>
              <w:rPr>
                <w:rFonts w:ascii="Microsoft JhengHei" w:hAnsi="Microsoft JhengHei" w:eastAsia="Microsoft JhengHei"/>
                <w:b w:val="0"/>
                <w:i w:val="0"/>
                <w:sz w:val="19"/>
              </w:rPr>
              <w:t>誰能同意輸入、檢索、改寫與公開輸出？</w:t>
            </w:r>
          </w:p>
        </w:tc>
        <w:tc>
          <w:tcPr>
            <w:tcW w:type="dxa" w:w="2592"/>
            <w:vAlign w:val="center"/>
          </w:tcPr>
          <w:p>
            <w:pPr>
              <w:spacing w:after="40" w:line="276" w:lineRule="auto"/>
            </w:pPr>
            <w:r>
              <w:rPr>
                <w:rFonts w:ascii="Microsoft JhengHei" w:hAnsi="Microsoft JhengHei" w:eastAsia="Microsoft JhengHei"/>
                <w:b w:val="0"/>
                <w:i w:val="0"/>
                <w:sz w:val="19"/>
              </w:rPr>
              <w:t>資料持有人不等於授權決定者。</w:t>
            </w:r>
          </w:p>
        </w:tc>
      </w:tr>
      <w:tr>
        <w:tc>
          <w:tcPr>
            <w:tcW w:type="dxa" w:w="2016"/>
            <w:vAlign w:val="center"/>
          </w:tcPr>
          <w:p>
            <w:pPr>
              <w:spacing w:after="40" w:line="276" w:lineRule="auto"/>
            </w:pPr>
            <w:r>
              <w:rPr>
                <w:rFonts w:ascii="Microsoft JhengHei" w:hAnsi="Microsoft JhengHei" w:eastAsia="Microsoft JhengHei"/>
                <w:b w:val="0"/>
                <w:i w:val="0"/>
                <w:sz w:val="19"/>
              </w:rPr>
              <w:t>推理鏈</w:t>
            </w:r>
          </w:p>
        </w:tc>
        <w:tc>
          <w:tcPr>
            <w:tcW w:type="dxa" w:w="4752"/>
            <w:vAlign w:val="center"/>
          </w:tcPr>
          <w:p>
            <w:pPr>
              <w:spacing w:after="40" w:line="276" w:lineRule="auto"/>
            </w:pPr>
            <w:r>
              <w:rPr>
                <w:rFonts w:ascii="Microsoft JhengHei" w:hAnsi="Microsoft JhengHei" w:eastAsia="Microsoft JhengHei"/>
                <w:b w:val="0"/>
                <w:i w:val="0"/>
                <w:sz w:val="19"/>
              </w:rPr>
              <w:t>系統能否說明答案來自何種資料與處理方式？</w:t>
            </w:r>
          </w:p>
        </w:tc>
        <w:tc>
          <w:tcPr>
            <w:tcW w:type="dxa" w:w="2592"/>
            <w:vAlign w:val="center"/>
          </w:tcPr>
          <w:p>
            <w:pPr>
              <w:spacing w:after="40" w:line="276" w:lineRule="auto"/>
            </w:pPr>
            <w:r>
              <w:rPr>
                <w:rFonts w:ascii="Microsoft JhengHei" w:hAnsi="Microsoft JhengHei" w:eastAsia="Microsoft JhengHei"/>
                <w:b w:val="0"/>
                <w:i w:val="0"/>
                <w:sz w:val="19"/>
              </w:rPr>
              <w:t>切塊後，來源、脈絡與輸出關係消失。</w:t>
            </w:r>
          </w:p>
        </w:tc>
      </w:tr>
      <w:tr>
        <w:tc>
          <w:tcPr>
            <w:tcW w:type="dxa" w:w="2016"/>
            <w:vAlign w:val="center"/>
          </w:tcPr>
          <w:p>
            <w:pPr>
              <w:spacing w:after="40" w:line="276" w:lineRule="auto"/>
            </w:pPr>
            <w:r>
              <w:rPr>
                <w:rFonts w:ascii="Microsoft JhengHei" w:hAnsi="Microsoft JhengHei" w:eastAsia="Microsoft JhengHei"/>
                <w:b w:val="0"/>
                <w:i w:val="0"/>
                <w:sz w:val="19"/>
              </w:rPr>
              <w:t>責任鏈</w:t>
            </w:r>
          </w:p>
        </w:tc>
        <w:tc>
          <w:tcPr>
            <w:tcW w:type="dxa" w:w="4752"/>
            <w:vAlign w:val="center"/>
          </w:tcPr>
          <w:p>
            <w:pPr>
              <w:spacing w:after="40" w:line="276" w:lineRule="auto"/>
            </w:pPr>
            <w:r>
              <w:rPr>
                <w:rFonts w:ascii="Microsoft JhengHei" w:hAnsi="Microsoft JhengHei" w:eastAsia="Microsoft JhengHei"/>
                <w:b w:val="0"/>
                <w:i w:val="0"/>
                <w:sz w:val="19"/>
              </w:rPr>
              <w:t>誰能立即停止檢索、下架資料並回應權利人？</w:t>
            </w:r>
          </w:p>
        </w:tc>
        <w:tc>
          <w:tcPr>
            <w:tcW w:type="dxa" w:w="2592"/>
            <w:vAlign w:val="center"/>
          </w:tcPr>
          <w:p>
            <w:pPr>
              <w:spacing w:after="40" w:line="276" w:lineRule="auto"/>
            </w:pPr>
            <w:r>
              <w:rPr>
                <w:rFonts w:ascii="Microsoft JhengHei" w:hAnsi="Microsoft JhengHei" w:eastAsia="Microsoft JhengHei"/>
                <w:b w:val="0"/>
                <w:i w:val="0"/>
                <w:sz w:val="19"/>
              </w:rPr>
              <w:t>每個人都能解釋，卻沒有人能處理。</w:t>
            </w:r>
          </w:p>
        </w:tc>
      </w:tr>
    </w:tbl>
    <w:p>
      <w:pPr>
        <w:spacing w:after="40"/>
      </w:pPr>
    </w:p>
    <w:p>
      <w:pPr>
        <w:spacing w:line="319" w:lineRule="auto"/>
      </w:pPr>
      <w:r>
        <w:rPr>
          <w:rFonts w:ascii="Microsoft JhengHei" w:hAnsi="Microsoft JhengHei" w:eastAsia="Microsoft JhengHei"/>
          <w:b w:val="0"/>
          <w:i w:val="0"/>
          <w:sz w:val="22"/>
        </w:rPr>
        <w:t>七項治理審計在本案中也不必逐一重寫，而應聚焦在交叉點：資料代表性審計防止把私人作品誤標成公共知識；推理可解釋性審計要求保留來源；責任歸因審計確認停止權；組織能力審計則檢驗機關是否有人能看懂資料履歷。壓力測試最終發現的重複斷裂模式是：每個單位都有部分規則，但沒有任何一個單位被要求先確認「誰有權」。</w:t>
      </w:r>
    </w:p>
    <w:p>
      <w:pPr>
        <w:pStyle w:val="Heading1"/>
      </w:pPr>
      <w:r>
        <w:rPr>
          <w:rFonts w:ascii="Microsoft JhengHei" w:hAnsi="Microsoft JhengHei" w:eastAsia="Microsoft JhengHei"/>
          <w:b/>
          <w:i w:val="0"/>
          <w:color w:val="2E74B5"/>
          <w:sz w:val="32"/>
        </w:rPr>
        <w:t>六、制度對話：從原則性手冊到可啟動的行政裝置</w:t>
      </w:r>
    </w:p>
    <w:p>
      <w:pPr>
        <w:spacing w:line="319" w:lineRule="auto"/>
      </w:pPr>
      <w:r>
        <w:rPr>
          <w:rFonts w:ascii="Microsoft JhengHei" w:hAnsi="Microsoft JhengHei" w:eastAsia="Microsoft JhengHei"/>
          <w:b w:val="0"/>
          <w:i w:val="0"/>
          <w:sz w:val="22"/>
        </w:rPr>
        <w:t>數發部的《公部門人工智慧應用參考手冊》與人工智慧基本法，已經提供公部門導入AI的重要起點。問題不在於政府毫無原則，而在於抽象原則進到機關採購、資料盤點、試行與驗收時，誰要把它翻譯成具體判斷。真正的痛點不只在「不知道AI可以做什麼」，還在「知道AI可以做什麼，卻不知道機關是否有權這樣做」。</w:t>
      </w:r>
    </w:p>
    <w:p>
      <w:pPr>
        <w:spacing w:line="319" w:lineRule="auto"/>
      </w:pPr>
      <w:r>
        <w:rPr>
          <w:rFonts w:ascii="Microsoft JhengHei" w:hAnsi="Microsoft JhengHei" w:eastAsia="Microsoft JhengHei"/>
          <w:b w:val="0"/>
          <w:i w:val="0"/>
          <w:sz w:val="22"/>
        </w:rPr>
        <w:t>因此，本文不是主張再設一個空泛的跨部會會議，而是提出三個能讓責任鏈在沒有受害者時就被啟動的裝置。</w:t>
      </w:r>
    </w:p>
    <w:p>
      <w:pPr>
        <w:pStyle w:val="Heading2"/>
      </w:pPr>
      <w:r>
        <w:rPr>
          <w:rFonts w:ascii="Microsoft JhengHei" w:hAnsi="Microsoft JhengHei" w:eastAsia="Microsoft JhengHei"/>
          <w:b/>
          <w:i w:val="0"/>
          <w:color w:val="2E74B5"/>
          <w:sz w:val="26"/>
        </w:rPr>
        <w:t>（一）第一棒：AI資料履歷與授權清冊</w:t>
      </w:r>
    </w:p>
    <w:p>
      <w:pPr>
        <w:spacing w:line="319" w:lineRule="auto"/>
      </w:pPr>
      <w:r>
        <w:rPr>
          <w:rFonts w:ascii="Microsoft JhengHei" w:hAnsi="Microsoft JhengHei" w:eastAsia="Microsoft JhengHei"/>
          <w:b w:val="0"/>
          <w:i w:val="0"/>
          <w:sz w:val="22"/>
        </w:rPr>
        <w:t>每一個採購案在上線、重大變更與驗收時，均應提出清冊：資料從何而來、誰是權利決定者、可使用到哪一級、供應商是否可保存與再處理、何時應重新確認。它不是多一張表，而是讓OAC能據以作出Go、Conditional或No-Go判斷的最低證據。</w:t>
      </w:r>
    </w:p>
    <w:p>
      <w:pPr>
        <w:spacing w:line="319" w:lineRule="auto"/>
      </w:pPr>
      <w:r>
        <w:rPr>
          <w:rFonts w:ascii="Microsoft JhengHei" w:hAnsi="Microsoft JhengHei" w:eastAsia="Microsoft JhengHei"/>
          <w:b w:val="0"/>
          <w:i w:val="0"/>
          <w:sz w:val="22"/>
        </w:rPr>
        <w:t>這些裝置若停留在論文或內部指引層次，承辦人仍然缺乏可以引用的法源依據去要求供應商配合。因此，授權清冊與資料責任人的權限，應直接寫入政府採購招標文件（RFP）與系統交付驗收清單——無論是納入既有的行政院公共工程委員會採購契約範本，或數位發展部相關採購指引的附款，都應使供應商在投標與履約階段，即負有提交授權清冊、指定聯絡窗口與配合停止使用的契約義務，而不是等到爭議發生後才由機關片面要求。</w:t>
      </w:r>
    </w:p>
    <w:p>
      <w:pPr>
        <w:spacing w:before="160" w:after="60"/>
      </w:pPr>
      <w:r>
        <w:rPr>
          <w:rFonts w:ascii="Microsoft JhengHei" w:hAnsi="Microsoft JhengHei" w:eastAsia="Microsoft JhengHei"/>
          <w:b/>
          <w:sz w:val="20"/>
        </w:rPr>
        <w:t>表9　權利來源OAC嵌入政府AI採購生命週期的節點</w:t>
      </w:r>
    </w:p>
    <w:p>
      <w:pPr>
        <w:spacing w:line="324" w:lineRule="auto" w:after="120"/>
      </w:pPr>
      <w:r>
        <w:rPr>
          <w:rFonts w:ascii="Microsoft JhengHei" w:hAnsi="Microsoft JhengHei" w:eastAsia="Microsoft JhengHei"/>
          <w:b/>
          <w:sz w:val="20"/>
        </w:rPr>
        <w:t>表10　政府AI採購的可驗收權利證據與預防性暫停條款</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90" w:type="dxa"/>
              <w:start w:w="110" w:type="dxa"/>
              <w:bottom w:w="90" w:type="dxa"/>
              <w:end w:w="110" w:type="dxa"/>
            </w:tcMar>
            <w:shd w:fill="E8EEF5"/>
          </w:tcPr>
          <w:p>
            <w:pPr>
              <w:spacing w:after="0" w:line="252" w:lineRule="auto"/>
            </w:pPr>
            <w:r/>
            <w:r>
              <w:rPr>
                <w:rFonts w:ascii="Microsoft JhengHei" w:hAnsi="Microsoft JhengHei" w:eastAsia="Microsoft JhengHei"/>
                <w:b/>
                <w:sz w:val="17"/>
              </w:rPr>
              <w:t>契約／驗收項目</w:t>
            </w:r>
          </w:p>
        </w:tc>
        <w:tc>
          <w:tcPr>
            <w:tcW w:type="dxa" w:w="3120"/>
            <w:vAlign w:val="center"/>
            <w:tcMar>
              <w:top w:w="90" w:type="dxa"/>
              <w:start w:w="110" w:type="dxa"/>
              <w:bottom w:w="90" w:type="dxa"/>
              <w:end w:w="110" w:type="dxa"/>
            </w:tcMar>
            <w:shd w:fill="E8EEF5"/>
          </w:tcPr>
          <w:p>
            <w:pPr>
              <w:spacing w:after="0" w:line="252" w:lineRule="auto"/>
            </w:pPr>
            <w:r/>
            <w:r>
              <w:rPr>
                <w:rFonts w:ascii="Microsoft JhengHei" w:hAnsi="Microsoft JhengHei" w:eastAsia="Microsoft JhengHei"/>
                <w:b/>
                <w:sz w:val="17"/>
              </w:rPr>
              <w:t>最低可驗收交付物</w:t>
            </w:r>
          </w:p>
        </w:tc>
        <w:tc>
          <w:tcPr>
            <w:tcW w:type="dxa" w:w="3120"/>
            <w:vAlign w:val="center"/>
            <w:tcMar>
              <w:top w:w="90" w:type="dxa"/>
              <w:start w:w="110" w:type="dxa"/>
              <w:bottom w:w="90" w:type="dxa"/>
              <w:end w:w="110" w:type="dxa"/>
            </w:tcMar>
            <w:shd w:fill="E8EEF5"/>
          </w:tcPr>
          <w:p>
            <w:pPr>
              <w:spacing w:after="0" w:line="252" w:lineRule="auto"/>
            </w:pPr>
            <w:r/>
            <w:r>
              <w:rPr>
                <w:rFonts w:ascii="Microsoft JhengHei" w:hAnsi="Microsoft JhengHei" w:eastAsia="Microsoft JhengHei"/>
                <w:b/>
                <w:sz w:val="17"/>
              </w:rPr>
              <w:t>未通過時的法律效果</w:t>
            </w:r>
          </w:p>
        </w:tc>
      </w:tr>
      <w:tr>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機器可讀授權清冊</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JSON或CSV格式交付每一資料來源、權利決定者、原始法域、授權條款、允許用途、RAG／微調／API處理範圍與保存位置。</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不得以PDF彙整或廠商概括保證取代；資料無法對應即Conditional或No-Go。</w:t>
            </w:r>
          </w:p>
        </w:tc>
      </w:tr>
      <w:tr>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檢索與存取日誌</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可查詢的來源切塊、向量索引、提示、檢索、輸出、API傳送、版本與操作紀錄，並約定保存與匯出格式。</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異議時得立即保全；廠商無法提出即構成驗收不合格或違約。</w:t>
            </w:r>
          </w:p>
        </w:tc>
      </w:tr>
      <w:tr>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快取隔離／刪除測試</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以測試報告證明可停用爭議來源、隔離向量索引與快取、停止外部API傳送，並留下結果紀錄。</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未通過者不得上線；重大變更後應重新測試。</w:t>
            </w:r>
          </w:p>
        </w:tc>
      </w:tr>
      <w:tr>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預防性暫停條款</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收到具體來源、授權或權利異議時，機關得命令暫停爭議資料的新增利用、檢索、輸出或對外傳送。</w:t>
            </w:r>
          </w:p>
        </w:tc>
        <w:tc>
          <w:tcPr>
            <w:tcW w:type="dxa" w:w="3120"/>
            <w:vAlign w:val="center"/>
            <w:tcMar>
              <w:top w:w="90" w:type="dxa"/>
              <w:start w:w="110" w:type="dxa"/>
              <w:bottom w:w="90" w:type="dxa"/>
              <w:end w:w="110" w:type="dxa"/>
            </w:tcMar>
          </w:tcPr>
          <w:p>
            <w:pPr>
              <w:spacing w:after="0" w:line="252" w:lineRule="auto"/>
            </w:pPr>
            <w:r/>
            <w:r>
              <w:rPr>
                <w:rFonts w:ascii="Microsoft JhengHei" w:hAnsi="Microsoft JhengHei" w:eastAsia="Microsoft JhengHei"/>
                <w:b w:val="0"/>
                <w:sz w:val="17"/>
              </w:rPr>
              <w:t>依契約明定：暫停不是機關違約，也不當然構成政府承認侵權；廠商仍負保全、隔離與配合查核義務。</w:t>
            </w:r>
          </w:p>
        </w:tc>
      </w:tr>
    </w:tbl>
    <w:p>
      <w:pPr>
        <w:spacing w:line="317" w:lineRule="auto" w:after="120"/>
      </w:pPr>
      <w:r>
        <w:rPr>
          <w:rFonts w:ascii="Microsoft JhengHei" w:hAnsi="Microsoft JhengHei" w:eastAsia="Microsoft JhengHei"/>
          <w:b/>
          <w:sz w:val="20"/>
        </w:rPr>
        <w:t>表11　可直接納入RFP與驗收清單的權利來源證據包最低欄位</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欄位</w:t>
            </w:r>
          </w:p>
        </w:tc>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最低內容</w:t>
            </w:r>
          </w:p>
        </w:tc>
        <w:tc>
          <w:tcPr>
            <w:tcW w:type="dxa" w:w="3120"/>
            <w:vAlign w:val="center"/>
            <w:tcMar>
              <w:top w:w="80" w:type="dxa"/>
              <w:start w:w="100" w:type="dxa"/>
              <w:bottom w:w="80" w:type="dxa"/>
              <w:end w:w="100" w:type="dxa"/>
            </w:tcMar>
            <w:shd w:fill="E8EEF5"/>
          </w:tcPr>
          <w:p>
            <w:pPr>
              <w:spacing w:after="0" w:line="250" w:lineRule="auto"/>
            </w:pPr>
            <w:r/>
            <w:r>
              <w:rPr>
                <w:rFonts w:ascii="Microsoft JhengHei" w:hAnsi="Microsoft JhengHei" w:eastAsia="Microsoft JhengHei"/>
                <w:b/>
                <w:sz w:val="17"/>
              </w:rPr>
              <w:t>格式／驗收要點</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來源識別碼與內容描述</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原始URL、檔名、版本、取得日期、內容類型與切塊／索引對照。</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可機器讀取JSON／CSV，並可回查原始內容。</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權利與法域</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作者或權利決定者、原始法域、授權條款、再授權與禁止用途。</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不得只記「公開資料」或「供應商提供」。</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允許AI處理與目的</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是否允許上傳、切塊、向量化、RAG、微調、API傳送、跨機關共享與對外輸出。</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每一處理行為與用途可獨立判斷。</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部署、保存與次處理</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雲端／地端位置、保存期限、快取、次供應商、跨境傳輸與刪除機制。</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提供次處理者清冊與可移除證明。</w:t>
            </w:r>
          </w:p>
        </w:tc>
      </w:tr>
      <w:tr>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責任、異議與日誌</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案件責任官、供應商窗口、停止程序、異議回覆期限、檢索／輸出／API日誌。</w:t>
            </w:r>
          </w:p>
        </w:tc>
        <w:tc>
          <w:tcPr>
            <w:tcW w:type="dxa" w:w="3120"/>
            <w:vAlign w:val="center"/>
            <w:tcMar>
              <w:top w:w="80" w:type="dxa"/>
              <w:start w:w="100" w:type="dxa"/>
              <w:bottom w:w="80" w:type="dxa"/>
              <w:end w:w="100" w:type="dxa"/>
            </w:tcMar>
          </w:tcPr>
          <w:p>
            <w:pPr>
              <w:spacing w:after="0" w:line="250" w:lineRule="auto"/>
            </w:pPr>
            <w:r/>
            <w:r>
              <w:rPr>
                <w:rFonts w:ascii="Microsoft JhengHei" w:hAnsi="Microsoft JhengHei" w:eastAsia="Microsoft JhengHei"/>
                <w:b w:val="0"/>
                <w:sz w:val="17"/>
              </w:rPr>
              <w:t>可在具體異議後立即保全、隔離與匯出。</w:t>
            </w:r>
          </w:p>
        </w:tc>
      </w:tr>
    </w:tbl>
    <w:p>
      <w:pPr>
        <w:spacing w:line="324" w:lineRule="auto" w:after="120"/>
      </w:pPr>
      <w:r>
        <w:rPr>
          <w:rFonts w:ascii="Microsoft JhengHei" w:hAnsi="Microsoft JhengHei" w:eastAsia="Microsoft JhengHei"/>
          <w:b w:val="0"/>
          <w:sz w:val="20"/>
        </w:rPr>
        <w:t>預防性暫停是本篇不可省略的安全閥。沒有這一條，地方機關即使看見風險，也會因害怕影響履約、賠償或被解讀為承認侵權而不敢停止；有了明確的法源與契約約定，暫停才是一種中性的保全措施，而不是行政癱瘓。</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採購生命週期</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應嵌入的OAC要求</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未完成的後果</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需求形成／市場諮詢</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界定資料類型、用途、AI處理方式與不可使用來源。</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需求一開始即以「公開可得」取代權利判斷。</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RFI／RFP與評選</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要求廠商說明資料處理、保存、次處理、來源標示與停止能力。</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投標方案只比功能與價格，無法比較權利與停止能力。</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簽約</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將授權清冊、再利用限制、紀錄保存、異議與停止義務明文化。</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爭議後只能以契約未約定回應。</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試行與驗收</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以清冊、抽測來源、停止演練與紀錄交付作為驗收證據。</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系統可運作即被視為可上線。</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重大變更</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新增來源、跨單位共享、對外服務或微調時重新審查。</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以同一系統名義掩蓋用途與權利範圍已改變。</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退場／終止</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確認資料、索引、快取與供應商留存的處理、銷毀或移交紀錄。</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停止服務但無法說明資料仍保存於何處。</w:t>
            </w:r>
          </w:p>
        </w:tc>
      </w:tr>
    </w:tbl>
    <w:p>
      <w:pPr>
        <w:pStyle w:val="Heading2"/>
      </w:pPr>
      <w:r>
        <w:rPr>
          <w:rFonts w:ascii="Microsoft JhengHei" w:hAnsi="Microsoft JhengHei" w:eastAsia="Microsoft JhengHei"/>
          <w:b/>
          <w:i w:val="0"/>
          <w:color w:val="2E74B5"/>
          <w:sz w:val="26"/>
        </w:rPr>
        <w:t>（二）第二棒：指定可停止的人</w:t>
      </w:r>
    </w:p>
    <w:p>
      <w:pPr>
        <w:spacing w:line="319" w:lineRule="auto"/>
      </w:pPr>
      <w:r>
        <w:rPr>
          <w:rFonts w:ascii="Microsoft JhengHei" w:hAnsi="Microsoft JhengHei" w:eastAsia="Microsoft JhengHei"/>
          <w:b w:val="0"/>
          <w:i w:val="0"/>
          <w:sz w:val="22"/>
        </w:rPr>
        <w:t>每一個政府AI系統都應明定一位資料責任人或指定聯絡人；名稱可以依現有組織調整，但權限不能模糊。此人必須能要求供應商停止檢索、暫時下架特定來源、清除向量快取或保留必要紀錄，並在跨科室爭議中召集判斷。沒有停止權的責任人，只是收件人。</w:t>
      </w:r>
    </w:p>
    <w:p>
      <w:pPr>
        <w:pStyle w:val="Heading2"/>
      </w:pPr>
      <w:r>
        <w:rPr>
          <w:rFonts w:ascii="Microsoft JhengHei" w:hAnsi="Microsoft JhengHei" w:eastAsia="Microsoft JhengHei"/>
          <w:b/>
          <w:i w:val="0"/>
          <w:color w:val="2E74B5"/>
          <w:sz w:val="26"/>
        </w:rPr>
        <w:t>（三）第三棒：公共AI權利異議與下架入口</w:t>
      </w:r>
    </w:p>
    <w:p>
      <w:pPr>
        <w:spacing w:line="319" w:lineRule="auto"/>
      </w:pPr>
      <w:r>
        <w:rPr>
          <w:rFonts w:ascii="Microsoft JhengHei" w:hAnsi="Microsoft JhengHei" w:eastAsia="Microsoft JhengHei"/>
          <w:b w:val="0"/>
          <w:i w:val="0"/>
          <w:sz w:val="22"/>
        </w:rPr>
        <w:t>作者不應先進入訴訟，才有機會知道自己的作品是否被使用。機關應提供一個可被看見的入口，使權利人能提出來源異議、要求暫停特定資料使用，並獲得說明與理由回覆。這不是承認侵權，而是建立行政機關應有的可說明性與可補救性。</w:t>
      </w:r>
    </w:p>
    <w:p>
      <w:pPr>
        <w:spacing w:before="160" w:after="60"/>
      </w:pPr>
      <w:r>
        <w:rPr>
          <w:rFonts w:ascii="Microsoft JhengHei" w:hAnsi="Microsoft JhengHei" w:eastAsia="Microsoft JhengHei"/>
          <w:b/>
          <w:sz w:val="20"/>
        </w:rPr>
        <w:t>表12　公共AI權利異議與下架處理的最低流程</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處理步驟</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最低要求</w:t>
            </w:r>
          </w:p>
        </w:tc>
        <w:tc>
          <w:tcPr>
            <w:tcW w:type="dxa" w:w="312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目的</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提出異議</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提供可見入口，接受來源、授權、標示或輸出近似性的具體說明。</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不使權利人必須先提告才知道政府是否使用其作品。</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暫時措施</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依風險暫停新增利用、停用爭議來源或限制對外輸出。</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避免爭議期間持續擴大可能損害。</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證據保全</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保全資料履歷、查詢、輸出、版本、契約與供應商處理紀錄。</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避免系統切換、快取清理或人員異動後無從說明。</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理由回覆</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在預定期限內說明查核結果、依據、停止或不停止的理由。</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建立可說明性，而非將入口降格為客服信箱。</w:t>
            </w:r>
          </w:p>
        </w:tc>
      </w:tr>
      <w:tr>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補救與恢復</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確認刪除、替換、標示、修正或重新取得授權；必要時才恢復服務。</w:t>
            </w:r>
          </w:p>
        </w:tc>
        <w:tc>
          <w:tcPr>
            <w:tcW w:type="dxa" w:w="312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使停止權成為可執行的補救，而非形式承諾。</w:t>
            </w:r>
          </w:p>
        </w:tc>
      </w:tr>
    </w:tbl>
    <w:p>
      <w:pPr>
        <w:spacing w:line="319" w:lineRule="auto"/>
        <w:jc w:val="center"/>
      </w:pPr>
      <w:r>
        <w:rPr>
          <w:rFonts w:ascii="Microsoft JhengHei" w:hAnsi="Microsoft JhengHei" w:eastAsia="Microsoft JhengHei"/>
          <w:b w:val="0"/>
          <w:i w:val="0"/>
          <w:sz w:val="22"/>
        </w:rPr>
      </w:r>
      <w:r>
        <w:drawing>
          <wp:inline xmlns:a="http://schemas.openxmlformats.org/drawingml/2006/main" xmlns:pic="http://schemas.openxmlformats.org/drawingml/2006/picture">
            <wp:extent cx="5760720" cy="5915474"/>
            <wp:docPr id="1" name="Picture 1"/>
            <wp:cNvGraphicFramePr>
              <a:graphicFrameLocks noChangeAspect="1"/>
            </wp:cNvGraphicFramePr>
            <a:graphic>
              <a:graphicData uri="http://schemas.openxmlformats.org/drawingml/2006/picture">
                <pic:pic>
                  <pic:nvPicPr>
                    <pic:cNvPr id="0" name="018_flowchart.png"/>
                    <pic:cNvPicPr/>
                  </pic:nvPicPr>
                  <pic:blipFill>
                    <a:blip r:embed="rId9"/>
                    <a:stretch>
                      <a:fillRect/>
                    </a:stretch>
                  </pic:blipFill>
                  <pic:spPr>
                    <a:xfrm>
                      <a:off x="0" y="0"/>
                      <a:ext cx="5760720" cy="5915474"/>
                    </a:xfrm>
                    <a:prstGeom prst="rect"/>
                  </pic:spPr>
                </pic:pic>
              </a:graphicData>
            </a:graphic>
          </wp:inline>
        </w:drawing>
      </w:r>
    </w:p>
    <w:p>
      <w:pPr>
        <w:spacing w:line="319" w:lineRule="auto"/>
        <w:jc w:val="center"/>
      </w:pPr>
      <w:r>
        <w:rPr>
          <w:rFonts w:ascii="Microsoft JhengHei" w:hAnsi="Microsoft JhengHei" w:eastAsia="Microsoft JhengHei"/>
          <w:b/>
          <w:i w:val="0"/>
          <w:sz w:val="19"/>
        </w:rPr>
        <w:t>圖1　權利來源審查模組與OAC驗收決策流程圖：從四級授權、七項證據問題到Go／Conditional／No-Go判定，再到三棒持續運作</w:t>
      </w:r>
    </w:p>
    <w:p>
      <w:pPr>
        <w:pStyle w:val="Heading1"/>
      </w:pPr>
      <w:r>
        <w:rPr>
          <w:rFonts w:ascii="Microsoft JhengHei" w:hAnsi="Microsoft JhengHei" w:eastAsia="Microsoft JhengHei"/>
          <w:b/>
          <w:i w:val="0"/>
          <w:color w:val="2E74B5"/>
          <w:sz w:val="32"/>
        </w:rPr>
        <w:t>七、兩岸比較：中文資料跨境流動與權利來源洗淡</w:t>
      </w:r>
    </w:p>
    <w:p>
      <w:pPr>
        <w:spacing w:line="319" w:lineRule="auto"/>
      </w:pPr>
      <w:r>
        <w:rPr>
          <w:rFonts w:ascii="Microsoft JhengHei" w:hAnsi="Microsoft JhengHei" w:eastAsia="Microsoft JhengHei"/>
          <w:b w:val="0"/>
          <w:i w:val="0"/>
          <w:sz w:val="22"/>
        </w:rPr>
        <w:t>兩岸比較不是要比較哪一方比較重視智慧財產權，而是要處理中文內容跨境流動的特殊現實。繁體與簡體的轉換成本很低；臺灣作者的網站文章可能經由爬取、資料集、模型、開源元件、API或系統整合服務多次轉手。作者最實際的問題便是：當內容已成為某種AI輸出的背景知識，我究竟要找網域註冊商、主機商、平台、模型服務商、系統整合商，還是使用系統的政府機關？</w:t>
      </w:r>
    </w:p>
    <w:p>
      <w:pPr>
        <w:spacing w:line="319" w:lineRule="auto"/>
      </w:pPr>
      <w:r>
        <w:rPr>
          <w:rFonts w:ascii="Microsoft JhengHei" w:hAnsi="Microsoft JhengHei" w:eastAsia="Microsoft JhengHei"/>
          <w:b w:val="0"/>
          <w:i w:val="0"/>
          <w:sz w:val="22"/>
        </w:rPr>
        <w:t>中國大陸對面向公眾提供的生成式AI服務，較明確要求服務提供者處理資料合法來源、申訴與違規內容處置。這能在一定程度上減少「誰都不是第一責任人」的情況。但此類規範並不當然涵蓋所有內部系統、研究使用或未直接面向公眾的RAG服務；而且服務提供者成為責任閘門，也不代表原作者在資料進入系統以前必然被看見或被告知。</w:t>
      </w:r>
    </w:p>
    <w:p>
      <w:pPr>
        <w:spacing w:line="319" w:lineRule="auto"/>
      </w:pPr>
      <w:r>
        <w:rPr>
          <w:rFonts w:ascii="Microsoft JhengHei" w:hAnsi="Microsoft JhengHei" w:eastAsia="Microsoft JhengHei"/>
          <w:b w:val="0"/>
          <w:i w:val="0"/>
          <w:sz w:val="22"/>
        </w:rPr>
        <w:t>本文將跨境、多層技術供應鏈中原始授權條件逐漸失去可辨識性的情形，稱為「權利來源洗淡」風險。它不是指控任何特定平台已經侵權，而是一個制度警訊：跨境爬取與開源微調模型（open-source fine-tuned models）尤其容易加速這個過程——當訓練或檢索資料先被爬取彙整成資料集，再被下游拿去微調、蒸餾或重新包裝成另一個開源模型，每多一層技術轉手，原始授權條件就更難被追溯一次；若臺灣政府以開源模型、第三方API或外部套件為由，便不再追問資料來源，原始作者的權利將在這條多層供應鏈中被洗淡，而政府也可能失去對自身服務的說明能力。</w:t>
      </w:r>
    </w:p>
    <w:p>
      <w:pPr>
        <w:spacing w:line="319" w:lineRule="auto"/>
      </w:pPr>
      <w:r>
        <w:rPr>
          <w:rFonts w:ascii="Microsoft JhengHei" w:hAnsi="Microsoft JhengHei" w:eastAsia="Microsoft JhengHei"/>
          <w:b w:val="0"/>
          <w:i w:val="0"/>
          <w:sz w:val="22"/>
        </w:rPr>
        <w:t>兩岸的失效型態因而不同。臺灣較大的風險是分散體制下責任鏈尚未啟動；中國大陸則可能是以提供者為中心的閘門存在，但權利人未必真正位於閘門之內。共同問題始終相同：作品進入AI後，權利人能不能找到一個必須回答、能夠停止、並有能力補救的人？</w:t>
      </w:r>
    </w:p>
    <w:p>
      <w:pPr>
        <w:spacing w:before="160" w:after="60"/>
      </w:pPr>
      <w:r>
        <w:rPr>
          <w:rFonts w:ascii="Microsoft JhengHei" w:hAnsi="Microsoft JhengHei" w:eastAsia="Microsoft JhengHei"/>
          <w:b/>
          <w:sz w:val="20"/>
        </w:rPr>
        <w:t>表13　兩岸比較的共同變項、比較目的與限制</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比較項目</w:t>
            </w:r>
          </w:p>
        </w:tc>
        <w:tc>
          <w:tcPr>
            <w:tcW w:type="dxa" w:w="234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臺灣情境</w:t>
            </w:r>
          </w:p>
        </w:tc>
        <w:tc>
          <w:tcPr>
            <w:tcW w:type="dxa" w:w="234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中國大陸情境</w:t>
            </w:r>
          </w:p>
        </w:tc>
        <w:tc>
          <w:tcPr>
            <w:tcW w:type="dxa" w:w="2340"/>
            <w:vAlign w:val="center"/>
            <w:tcMar>
              <w:top w:w="70" w:type="dxa"/>
              <w:start w:w="100" w:type="dxa"/>
              <w:bottom w:w="70" w:type="dxa"/>
              <w:end w:w="100" w:type="dxa"/>
            </w:tcMar>
            <w:shd w:fill="E8EEF5"/>
          </w:tcPr>
          <w:p>
            <w:pPr>
              <w:spacing w:after="0" w:line="252" w:lineRule="auto"/>
            </w:pPr>
            <w:r/>
            <w:r>
              <w:rPr>
                <w:rFonts w:ascii="Microsoft JhengHei" w:hAnsi="Microsoft JhengHei" w:eastAsia="Microsoft JhengHei"/>
                <w:b/>
                <w:sz w:val="18"/>
              </w:rPr>
              <w:t>本文比較目的與限制</w:t>
            </w:r>
          </w:p>
        </w:tc>
      </w:tr>
      <w:tr>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主要責任閘門</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分散於目的機關、採購、資訊、法制與供應商。</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面向公眾的生成式AI服務較強調服務提供者的資料合法來源與申訴處置。</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比較責任鏈啟動方式，不判定何者整體較重視智慧財產權。</w:t>
            </w:r>
          </w:p>
        </w:tc>
      </w:tr>
      <w:tr>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內部RAG與研究使用</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地方或內部系統常不易被既有原則具體涵蓋。</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提供者責任規範未必涵蓋所有內部、研究或非公眾服務。</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兩者均可能出現原作者在資料進系統前未被看見的問題。</w:t>
            </w:r>
          </w:p>
        </w:tc>
      </w:tr>
      <w:tr>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權利人救濟</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需找到使用系統的機關與其供應鏈。</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需穿越服務提供者、平台與資料來源的多層關係。</w:t>
            </w:r>
          </w:p>
        </w:tc>
        <w:tc>
          <w:tcPr>
            <w:tcW w:type="dxa" w:w="2340"/>
            <w:vAlign w:val="center"/>
            <w:tcMar>
              <w:top w:w="70" w:type="dxa"/>
              <w:start w:w="100" w:type="dxa"/>
              <w:bottom w:w="70" w:type="dxa"/>
              <w:end w:w="100" w:type="dxa"/>
            </w:tcMar>
          </w:tcPr>
          <w:p>
            <w:pPr>
              <w:spacing w:after="0" w:line="252" w:lineRule="auto"/>
            </w:pPr>
            <w:r/>
            <w:r>
              <w:rPr>
                <w:rFonts w:ascii="Microsoft JhengHei" w:hAnsi="Microsoft JhengHei" w:eastAsia="Microsoft JhengHei"/>
                <w:b w:val="0"/>
                <w:sz w:val="18"/>
              </w:rPr>
              <w:t>只作中文資料跨境流動與責任可達性的壓力測試，不作完整法制比較。</w:t>
            </w:r>
          </w:p>
        </w:tc>
      </w:tr>
    </w:tbl>
    <w:p>
      <w:pPr>
        <w:pStyle w:val="Heading1"/>
      </w:pPr>
      <w:r>
        <w:rPr>
          <w:rFonts w:ascii="Microsoft JhengHei" w:hAnsi="Microsoft JhengHei" w:eastAsia="Microsoft JhengHei"/>
          <w:b/>
          <w:sz w:val="24"/>
        </w:rPr>
        <w:t>八、結論與建制建議：讓治理在受害者出現以前就開始</w:t>
      </w:r>
    </w:p>
    <w:p>
      <w:pPr>
        <w:spacing w:line="319" w:lineRule="auto"/>
      </w:pPr>
      <w:r>
        <w:rPr>
          <w:rFonts w:ascii="Microsoft JhengHei" w:hAnsi="Microsoft JhengHei" w:eastAsia="Microsoft JhengHei"/>
          <w:b w:val="0"/>
          <w:i w:val="0"/>
          <w:sz w:val="22"/>
        </w:rPr>
        <w:t>本文的壓力測試並未發現臺灣缺少法律、缺少技術或缺少機關。相反地，數發部、國科會、研究機構、法制專業、採購制度與供應商能力都已存在。真正不足之處在於：權利來源問題在尚未形成申訴、媒體事件或訴訟以前，往往不會成為任何一個單位必須完成的行政任務。</w:t>
      </w:r>
    </w:p>
    <w:p>
      <w:pPr>
        <w:spacing w:line="319" w:lineRule="auto"/>
      </w:pPr>
      <w:r>
        <w:rPr>
          <w:rFonts w:ascii="Microsoft JhengHei" w:hAnsi="Microsoft JhengHei" w:eastAsia="Microsoft JhengHei"/>
          <w:b w:val="0"/>
          <w:i w:val="0"/>
          <w:sz w:val="22"/>
        </w:rPr>
        <w:t>第十八篇因此不以「應尊重智慧財產權」作為結尾。那樣的結論太容易被每個人同意，也太容易被每個人交給別人執行。本文提出的最低要求只有三項：第一，政府AI使用的每一項第三人內容，應能說明權利從哪裡來；第二，出現疑義時，應有一位能實際停止使用的人；第三，權利人應能在不先提告的情況下，找到一個必須回應的入口。</w:t>
      </w:r>
    </w:p>
    <w:p>
      <w:pPr>
        <w:spacing w:line="319" w:lineRule="auto"/>
      </w:pPr>
      <w:r>
        <w:rPr>
          <w:rFonts w:ascii="Microsoft JhengHei" w:hAnsi="Microsoft JhengHei" w:eastAsia="Microsoft JhengHei"/>
          <w:b w:val="0"/>
          <w:i w:val="0"/>
          <w:sz w:val="22"/>
        </w:rPr>
        <w:t>若這三題沒有制度上的答案，臺灣AI治理仍然是「出事後才開始治理」。而這正是本文要測試、也要避免的治理失效。</w:t>
      </w:r>
    </w:p>
    <w:p>
      <w:pPr>
        <w:spacing w:after="120" w:line="324" w:lineRule="auto"/>
      </w:pPr>
      <w:r>
        <w:rPr>
          <w:rFonts w:ascii="Microsoft JhengHei" w:hAnsi="Microsoft JhengHei" w:eastAsia="Microsoft JhengHei"/>
          <w:b/>
          <w:sz w:val="21"/>
        </w:rPr>
        <w:t>（一）從多手政府到政府AI權利責任鏈</w:t>
      </w:r>
    </w:p>
    <w:p>
      <w:pPr>
        <w:spacing w:after="120" w:line="324" w:lineRule="auto"/>
      </w:pPr>
      <w:r>
        <w:rPr>
          <w:rFonts w:ascii="Microsoft JhengHei" w:hAnsi="Microsoft JhengHei" w:eastAsia="Microsoft JhengHei"/>
          <w:b w:val="0"/>
          <w:sz w:val="21"/>
        </w:rPr>
        <w:t>本文的建議不是再增加一份可參考、也可不參考的手冊，更不是再設一個只留下會議紀錄的跨部會委員會。應建立一條具有法律效果的「政府AI權利責任鏈」：資料可以流動，但權利來源不得消失；專業可以分工，但最終責任不得分攤；爭議可以救濟，但政府不能把停止決定外包給法院、仲裁庭或國際壓力。</w:t>
      </w:r>
    </w:p>
    <w:p>
      <w:pPr>
        <w:spacing w:after="120" w:line="324" w:lineRule="auto"/>
      </w:pPr>
      <w:r>
        <w:rPr>
          <w:rFonts w:ascii="Microsoft JhengHei" w:hAnsi="Microsoft JhengHei" w:eastAsia="Microsoft JhengHei"/>
          <w:b w:val="0"/>
          <w:sz w:val="21"/>
        </w:rPr>
        <w:t>此一建制可分為法律、採購與組織三層。法律創設最低義務與責任主體；採購把義務轉為供應商必須履行的交付與驗收條件；組織則確保每一案件都有能作成Go／Conditional／No-Go與停止決定的人。</w:t>
      </w:r>
    </w:p>
    <w:p>
      <w:pPr>
        <w:spacing w:after="120" w:line="324" w:lineRule="auto"/>
      </w:pPr>
      <w:r>
        <w:rPr>
          <w:rFonts w:ascii="Microsoft JhengHei" w:hAnsi="Microsoft JhengHei" w:eastAsia="Microsoft JhengHei"/>
          <w:b/>
          <w:sz w:val="20"/>
        </w:rPr>
        <w:t>表14　政府AI權利責任鏈的建制設計</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tcMar>
              <w:top w:w="85" w:type="dxa"/>
              <w:start w:w="110" w:type="dxa"/>
              <w:bottom w:w="85" w:type="dxa"/>
              <w:end w:w="110" w:type="dxa"/>
            </w:tcMar>
            <w:shd w:fill="E8EEF5"/>
          </w:tcPr>
          <w:p>
            <w:pPr>
              <w:spacing w:after="0" w:line="259" w:lineRule="auto"/>
            </w:pPr>
            <w:r/>
            <w:r>
              <w:rPr>
                <w:rFonts w:ascii="Microsoft JhengHei" w:hAnsi="Microsoft JhengHei" w:eastAsia="Microsoft JhengHei"/>
                <w:b/>
                <w:sz w:val="18"/>
              </w:rPr>
              <w:t>制度層次</w:t>
            </w:r>
          </w:p>
        </w:tc>
        <w:tc>
          <w:tcPr>
            <w:tcW w:type="dxa" w:w="2340"/>
            <w:vAlign w:val="center"/>
            <w:tcMar>
              <w:top w:w="85" w:type="dxa"/>
              <w:start w:w="110" w:type="dxa"/>
              <w:bottom w:w="85" w:type="dxa"/>
              <w:end w:w="110" w:type="dxa"/>
            </w:tcMar>
            <w:shd w:fill="E8EEF5"/>
          </w:tcPr>
          <w:p>
            <w:pPr>
              <w:spacing w:after="0" w:line="259" w:lineRule="auto"/>
            </w:pPr>
            <w:r/>
            <w:r>
              <w:rPr>
                <w:rFonts w:ascii="Microsoft JhengHei" w:hAnsi="Microsoft JhengHei" w:eastAsia="Microsoft JhengHei"/>
                <w:b/>
                <w:sz w:val="18"/>
              </w:rPr>
              <w:t>應建立的規則</w:t>
            </w:r>
          </w:p>
        </w:tc>
        <w:tc>
          <w:tcPr>
            <w:tcW w:type="dxa" w:w="2340"/>
            <w:vAlign w:val="center"/>
            <w:tcMar>
              <w:top w:w="85" w:type="dxa"/>
              <w:start w:w="110" w:type="dxa"/>
              <w:bottom w:w="85" w:type="dxa"/>
              <w:end w:w="110" w:type="dxa"/>
            </w:tcMar>
            <w:shd w:fill="E8EEF5"/>
          </w:tcPr>
          <w:p>
            <w:pPr>
              <w:spacing w:after="0" w:line="259" w:lineRule="auto"/>
            </w:pPr>
            <w:r/>
            <w:r>
              <w:rPr>
                <w:rFonts w:ascii="Microsoft JhengHei" w:hAnsi="Microsoft JhengHei" w:eastAsia="Microsoft JhengHei"/>
                <w:b/>
                <w:sz w:val="18"/>
              </w:rPr>
              <w:t>案件中的唯一責任重點</w:t>
            </w:r>
          </w:p>
        </w:tc>
        <w:tc>
          <w:tcPr>
            <w:tcW w:type="dxa" w:w="2340"/>
            <w:vAlign w:val="center"/>
            <w:tcMar>
              <w:top w:w="85" w:type="dxa"/>
              <w:start w:w="110" w:type="dxa"/>
              <w:bottom w:w="85" w:type="dxa"/>
              <w:end w:w="110" w:type="dxa"/>
            </w:tcMar>
            <w:shd w:fill="E8EEF5"/>
          </w:tcPr>
          <w:p>
            <w:pPr>
              <w:spacing w:after="0" w:line="259" w:lineRule="auto"/>
            </w:pPr>
            <w:r/>
            <w:r>
              <w:rPr>
                <w:rFonts w:ascii="Microsoft JhengHei" w:hAnsi="Microsoft JhengHei" w:eastAsia="Microsoft JhengHei"/>
                <w:b/>
                <w:sz w:val="18"/>
              </w:rPr>
              <w:t>不得再以何種說法卸責</w:t>
            </w:r>
          </w:p>
        </w:tc>
      </w:tr>
      <w:tr>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法律</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於人工智慧基本法增訂政府AI權利來源、可追溯紀錄、停止與異議處理之最低義務。</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無法證明來源、用途、授權範圍或停止方式者，不得上線。</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「資料公開，所以可用」。</w:t>
            </w:r>
          </w:p>
        </w:tc>
      </w:tr>
      <w:tr>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採購</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修正資訊服務、雲端服務及相關委託研究採購範本，要求權利來源證據包、次供應商揭露、日誌保全、移除／停止能力與異議配合。</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供應商不能僅以一般無侵權保證交付系統。</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「契約沒有約定」「資料是機關提供」。</w:t>
            </w:r>
          </w:p>
        </w:tc>
      </w:tr>
      <w:tr>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機關案件責任</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由採購機關首長指定案件責任官；業務、資訊、採購、法制／智財與資安各就專業簽證。</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責任官對OAC判定與停止命令負行政責任；專業意見不能取代最後決定。</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「共同研議」「各單位均無最後權限」。</w:t>
            </w:r>
          </w:p>
        </w:tc>
      </w:tr>
      <w:tr>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跨境升級</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外國權利人異議由目的機關先回應、先停止、先保全；達跨境或重大風險門檻時，依第十九篇所提程序升級。</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須能交出一致的政府AI權利來源證據包，而非臨時公關。</w:t>
            </w:r>
          </w:p>
        </w:tc>
        <w:tc>
          <w:tcPr>
            <w:tcW w:type="dxa" w:w="2340"/>
            <w:vAlign w:val="center"/>
            <w:tcMar>
              <w:top w:w="85" w:type="dxa"/>
              <w:start w:w="110" w:type="dxa"/>
              <w:bottom w:w="85" w:type="dxa"/>
              <w:end w:w="110" w:type="dxa"/>
            </w:tcMar>
          </w:tcPr>
          <w:p>
            <w:pPr>
              <w:spacing w:after="0" w:line="259" w:lineRule="auto"/>
            </w:pPr>
            <w:r/>
            <w:r>
              <w:rPr>
                <w:rFonts w:ascii="Microsoft JhengHei" w:hAnsi="Microsoft JhengHei" w:eastAsia="Microsoft JhengHei"/>
                <w:b w:val="0"/>
                <w:sz w:val="18"/>
              </w:rPr>
              <w:t>「等法院、仲裁或他國壓力來決定」。</w:t>
            </w:r>
          </w:p>
        </w:tc>
      </w:tr>
    </w:tbl>
    <w:p>
      <w:pPr>
        <w:spacing w:after="120" w:line="324" w:lineRule="auto"/>
      </w:pPr>
      <w:r>
        <w:rPr>
          <w:rFonts w:ascii="Microsoft JhengHei" w:hAnsi="Microsoft JhengHei" w:eastAsia="Microsoft JhengHei"/>
          <w:b w:val="0"/>
          <w:sz w:val="21"/>
        </w:rPr>
        <w:t>第一，修法應明定：政府機關使用或採購涉及訓練、微調、RAG檢索、提示詞上傳、外部API、快取或跨機關共享的AI系統時，必須保存可查核的權利來源證據包。證據包至少包括來源、權利決定者、處理方式、使用目的、授權範圍、部署與次處理位置、保存期限、異議入口及可停止措施。資料來源或授權無法補證時，法律效果不是「再研究」，而是不得上線或應暫停使用。</w:t>
      </w:r>
    </w:p>
    <w:p>
      <w:pPr>
        <w:spacing w:after="120" w:line="324" w:lineRule="auto"/>
      </w:pPr>
      <w:r>
        <w:rPr>
          <w:rFonts w:ascii="Microsoft JhengHei" w:hAnsi="Microsoft JhengHei" w:eastAsia="Microsoft JhengHei"/>
          <w:b w:val="0"/>
          <w:sz w:val="21"/>
        </w:rPr>
        <w:t>第二，政府採購必須把上述證據包變成履約標的。現行資訊與雲端服務採購範本已有智慧財產權擔保、第三人請求處理、日誌保存與資安事件配合的基礎；AI採購要補上的，是資料被切塊、向量化、檢索、微調或交由外部API後，廠商仍可提出來源清冊、保存紀錄與停止證明。沒有這些契約工具，機關即使知道有風險，也沒有足夠依據要求廠商停機、下架或補證。</w:t>
      </w:r>
    </w:p>
    <w:p>
      <w:pPr>
        <w:spacing w:after="120" w:line="324" w:lineRule="auto"/>
      </w:pPr>
      <w:r>
        <w:rPr>
          <w:rFonts w:ascii="Microsoft JhengHei" w:hAnsi="Microsoft JhengHei" w:eastAsia="Microsoft JhengHei"/>
          <w:b w:val="0"/>
          <w:sz w:val="21"/>
        </w:rPr>
        <w:t>第三，不能採取「大家分享責任」的設計。分享最終責任，等於沒有人負責。正確做法是一人對結果負責、多人對專業簽證負責、供應商對資料真實性與可停止性負契約責任。研究機構、數發部、智財局與其他中央單位可以提供標準、意見、教材與支援；但不得再以這些功能取代目的機關對單一採購案的上線與停止責任。</w:t>
      </w:r>
    </w:p>
    <w:p>
      <w:pPr>
        <w:pStyle w:val="Heading1"/>
      </w:pPr>
      <w:r>
        <w:rPr>
          <w:rFonts w:ascii="Microsoft JhengHei" w:hAnsi="Microsoft JhengHei" w:eastAsia="Microsoft JhengHei"/>
          <w:b/>
          <w:i w:val="0"/>
          <w:color w:val="2E74B5"/>
          <w:sz w:val="32"/>
        </w:rPr>
        <w:t>參考資料與引註說明</w:t>
      </w:r>
    </w:p>
    <w:p>
      <w:pPr>
        <w:spacing w:line="319" w:lineRule="auto"/>
      </w:pPr>
      <w:r>
        <w:rPr>
          <w:rFonts w:ascii="Microsoft JhengHei" w:hAnsi="Microsoft JhengHei" w:eastAsia="Microsoft JhengHei"/>
          <w:b w:val="0"/>
          <w:i w:val="0"/>
          <w:sz w:val="22"/>
        </w:rPr>
        <w:t>本稿為論證草稿第一版。正式版本將補入：臺灣人工智慧基本法、數發部《公部門人工智慧應用參考手冊》及工作坊資料、國科會研究成果歸屬規範、政府採購與委託研究契約資料、資策會科法所與工研院相關文獻，以及中國大陸生成式人工智慧服務管理暫行辦法等一手資料與學術文獻。</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19" w:lineRule="auto"/>
    </w:pPr>
    <w:rPr>
      <w:rFonts w:ascii="Microsoft JhengHei" w:hAnsi="Microsoft JhengHei" w:eastAsia="Microsoft Jheng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Microsoft JhengHei" w:hAnsi="Microsoft JhengHei" w:eastAsia="Microsoft Jheng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Microsoft JhengHei" w:hAnsi="Microsoft JhengHei" w:eastAsia="Microsoft Jheng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Microsoft JhengHei" w:hAnsi="Microsoft JhengHei" w:eastAsia="Microsoft Jheng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