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3A90" w:rsidRDefault="007241BF">
      <w:pPr>
        <w:spacing w:before="2000"/>
        <w:jc w:val="center"/>
      </w:pPr>
      <w:r>
        <w:rPr>
          <w:b/>
          <w:bCs/>
          <w:sz w:val="36"/>
          <w:szCs w:val="36"/>
        </w:rPr>
        <w:t>不只是簽核:</w:t>
      </w:r>
    </w:p>
    <w:p w:rsidR="00383A90" w:rsidRDefault="007241BF">
      <w:pPr>
        <w:spacing w:after="400"/>
        <w:jc w:val="center"/>
      </w:pPr>
      <w:r>
        <w:rPr>
          <w:b/>
          <w:bCs/>
          <w:sz w:val="36"/>
          <w:szCs w:val="36"/>
        </w:rPr>
        <w:t>公共行政如何透過四條治理鏈同時</w:t>
      </w:r>
      <w:proofErr w:type="gramStart"/>
      <w:r>
        <w:rPr>
          <w:b/>
          <w:bCs/>
          <w:sz w:val="36"/>
          <w:szCs w:val="36"/>
        </w:rPr>
        <w:t>達成課責</w:t>
      </w:r>
      <w:proofErr w:type="gramEnd"/>
      <w:r>
        <w:rPr>
          <w:b/>
          <w:bCs/>
          <w:sz w:val="36"/>
          <w:szCs w:val="36"/>
        </w:rPr>
        <w:t>、負責、透明與公正</w:t>
      </w:r>
    </w:p>
    <w:p w:rsidR="00383A90" w:rsidRDefault="007241BF">
      <w:pPr>
        <w:spacing w:after="200"/>
        <w:jc w:val="center"/>
      </w:pPr>
      <w:r>
        <w:rPr>
          <w:i/>
          <w:iCs/>
          <w:sz w:val="22"/>
          <w:szCs w:val="22"/>
        </w:rPr>
        <w:t>Not Just a Signature: How Public Administration Can Achieve Accountability, Responsibility, Transparency, and Justice Simultaneously through Four Governance Chains</w:t>
      </w:r>
    </w:p>
    <w:p w:rsidR="00383A90" w:rsidRDefault="00A71920">
      <w:pPr>
        <w:spacing w:before="600"/>
        <w:jc w:val="center"/>
      </w:pPr>
      <w:r>
        <w:rPr>
          <w:rFonts w:hint="eastAsia"/>
          <w:sz w:val="22"/>
          <w:szCs w:val="22"/>
        </w:rPr>
        <w:t>L</w:t>
      </w:r>
      <w:r>
        <w:rPr>
          <w:sz w:val="22"/>
          <w:szCs w:val="22"/>
        </w:rPr>
        <w:t>ancelot Lu</w:t>
      </w:r>
      <w:bookmarkStart w:id="0" w:name="_GoBack"/>
      <w:bookmarkEnd w:id="0"/>
      <w:r w:rsidR="007241BF">
        <w:rPr>
          <w:sz w:val="22"/>
          <w:szCs w:val="22"/>
        </w:rPr>
        <w:t>文稿性質:Working Paper｜AI治理研究系列 系列C 第一篇</w:t>
      </w:r>
    </w:p>
    <w:p w:rsidR="00383A90" w:rsidRDefault="007241BF">
      <w:pPr>
        <w:spacing w:after="800"/>
        <w:jc w:val="center"/>
      </w:pPr>
      <w:r>
        <w:rPr>
          <w:sz w:val="22"/>
          <w:szCs w:val="22"/>
        </w:rPr>
        <w:t>2026年8月</w:t>
      </w:r>
    </w:p>
    <w:p w:rsidR="00383A90" w:rsidRDefault="007241BF">
      <w:r>
        <w:br w:type="page"/>
      </w:r>
    </w:p>
    <w:p w:rsidR="00383A90" w:rsidRDefault="007241BF">
      <w:pPr>
        <w:pStyle w:val="1"/>
        <w:spacing w:before="300" w:after="200"/>
      </w:pPr>
      <w:r>
        <w:rPr>
          <w:b/>
          <w:bCs/>
        </w:rPr>
        <w:lastRenderedPageBreak/>
        <w:t>摘要</w:t>
      </w:r>
    </w:p>
    <w:p w:rsidR="00383A90" w:rsidRDefault="007241BF">
      <w:pPr>
        <w:spacing w:after="200" w:line="360" w:lineRule="auto"/>
        <w:jc w:val="both"/>
      </w:pPr>
      <w:proofErr w:type="gramStart"/>
      <w:r>
        <w:t>課責</w:t>
      </w:r>
      <w:proofErr w:type="gramEnd"/>
      <w:r>
        <w:t>、負責、透明與公正是AI治理下的四大核心價值,但公共行政學界長期將四者當作四個獨立的檢核項目分別測量,忽略其共同的</w:t>
      </w:r>
      <w:proofErr w:type="gramStart"/>
      <w:r>
        <w:t>結構性載</w:t>
      </w:r>
      <w:proofErr w:type="gramEnd"/>
      <w:r>
        <w:t>體,也使AI在前端情境建構階段的價值選擇長期未</w:t>
      </w:r>
      <w:proofErr w:type="gramStart"/>
      <w:r>
        <w:t>被課責語</w:t>
      </w:r>
      <w:proofErr w:type="gramEnd"/>
      <w:r>
        <w:t>彙涵蓋。本文承接盧建旭(2026)提出之「二十五治理座標</w:t>
      </w:r>
      <w:proofErr w:type="gramStart"/>
      <w:r>
        <w:t>—</w:t>
      </w:r>
      <w:proofErr w:type="gramEnd"/>
      <w:r>
        <w:t>三種行政權力功能性移轉—三項結構效應—四條治理鏈—七項治理審計」共同母架構,以及承接該系列working paper《AI治理的民主正當性前置條件》(盧建旭,2026b;以下簡稱②)已完成之P1暴露與C1完整度示範編碼,主張四大核心價值並非懸浮於治理過程之外的抽象目標,而是情境建構鏈、權威鏈、理由鏈、責任鏈四者是否維持民主正當性的規範性顯現。本文刻意不將四鏈與三種權力移轉做成一一對應的固定查表,改</w:t>
      </w:r>
      <w:proofErr w:type="gramStart"/>
      <w:r>
        <w:t>採</w:t>
      </w:r>
      <w:proofErr w:type="gramEnd"/>
      <w:r>
        <w:t>「主要承載/次要溢出」的鬆散對應,並以AFST、SyRI、Robodebt既有編碼資料重新解讀,區分出三種價值溢出機制:</w:t>
      </w:r>
      <w:proofErr w:type="gramStart"/>
      <w:r>
        <w:t>覆核錯位</w:t>
      </w:r>
      <w:proofErr w:type="gramEnd"/>
      <w:r>
        <w:t>、技術不可解釋、舉證責任倒置,並針對三種機制分別提出制度回應。本文另提出C1-13(舉證責任分配)作為暫定觀察項,但明確交代其未正式化狀態,建議併入②既定之Delphi校準規劃,而非另立新架構。本文對系列之邊際貢獻,是價值語言的翻譯而非新場域應用或新測量深化。</w:t>
      </w:r>
    </w:p>
    <w:p w:rsidR="00383A90" w:rsidRDefault="007241BF">
      <w:pPr>
        <w:spacing w:after="200" w:line="360" w:lineRule="auto"/>
        <w:jc w:val="both"/>
      </w:pPr>
      <w:r>
        <w:rPr>
          <w:i/>
          <w:iCs/>
        </w:rPr>
        <w:t>關鍵詞:AI治理、四大核心價值、治理鏈、情境建構、民主正當性</w:t>
      </w:r>
    </w:p>
    <w:p w:rsidR="00383A90" w:rsidRDefault="007241BF">
      <w:r>
        <w:br w:type="page"/>
      </w:r>
    </w:p>
    <w:p w:rsidR="00383A90" w:rsidRDefault="007241BF">
      <w:pPr>
        <w:pStyle w:val="1"/>
        <w:spacing w:before="300" w:after="200"/>
      </w:pPr>
      <w:r>
        <w:rPr>
          <w:b/>
          <w:bCs/>
        </w:rPr>
        <w:lastRenderedPageBreak/>
        <w:t>壹、緒論</w:t>
      </w:r>
    </w:p>
    <w:p w:rsidR="00383A90" w:rsidRDefault="007241BF">
      <w:pPr>
        <w:pStyle w:val="2"/>
        <w:spacing w:before="300" w:after="200"/>
      </w:pPr>
      <w:r>
        <w:rPr>
          <w:b/>
          <w:bCs/>
        </w:rPr>
        <w:t>一、研究背景與問題提出</w:t>
      </w:r>
    </w:p>
    <w:p w:rsidR="00383A90" w:rsidRDefault="007241BF">
      <w:pPr>
        <w:spacing w:after="200" w:line="360" w:lineRule="auto"/>
        <w:jc w:val="both"/>
      </w:pPr>
      <w:proofErr w:type="gramStart"/>
      <w:r>
        <w:t>課責</w:t>
      </w:r>
      <w:proofErr w:type="gramEnd"/>
      <w:r>
        <w:t>(Accountability)、負責(Responsibility)、透明(Transparency)與公正(Justice/Fairness),長期被視為AI治理下不可或缺的四大核心價值。然而,公共行政學界討論這四者時,習慣將其視為四個獨立的檢核項目:透明等同於公開原始碼或技術文件,公正等同於統計層面消除演算法偏見,負責等同於事後指認應對決定負責之人,</w:t>
      </w:r>
      <w:proofErr w:type="gramStart"/>
      <w:r>
        <w:t>課責則</w:t>
      </w:r>
      <w:proofErr w:type="gramEnd"/>
      <w:r>
        <w:t>等同於形式簽核程序的存在。這種處理方式的隱藏假設是</w:t>
      </w:r>
      <w:proofErr w:type="gramStart"/>
      <w:r>
        <w:t>—</w:t>
      </w:r>
      <w:proofErr w:type="gramEnd"/>
      <w:r>
        <w:t>—每一項價值都能獨立於其發生的治理階段被衡量,彼此之間頂多是「權衡」或「取捨」的關係。</w:t>
      </w:r>
    </w:p>
    <w:p w:rsidR="00383A90" w:rsidRDefault="007241BF">
      <w:pPr>
        <w:spacing w:after="200" w:line="360" w:lineRule="auto"/>
        <w:jc w:val="both"/>
      </w:pPr>
      <w:r>
        <w:t>這個假設在AI進入公共行政後,面臨兩層具體的落差。第一層落差發生在價值之間:過度追求透明(例如公開演算法完整參數)可能反而傷害個案隱私與公正;過度</w:t>
      </w:r>
      <w:proofErr w:type="gramStart"/>
      <w:r>
        <w:t>強調課責</w:t>
      </w:r>
      <w:proofErr w:type="gramEnd"/>
      <w:r>
        <w:t>(要求逐案</w:t>
      </w:r>
      <w:proofErr w:type="gramStart"/>
      <w:r>
        <w:t>可追</w:t>
      </w:r>
      <w:proofErr w:type="gramEnd"/>
      <w:r>
        <w:t>責)可能誘發官僚的避險行為,使決策更趨保守而非更趨公正。第二層落差發生在治理階段之間:</w:t>
      </w:r>
      <w:proofErr w:type="gramStart"/>
      <w:r>
        <w:t>傳統課責文獻</w:t>
      </w:r>
      <w:proofErr w:type="gramEnd"/>
      <w:r>
        <w:t>(如Bovens</w:t>
      </w:r>
      <w:proofErr w:type="gramStart"/>
      <w:r>
        <w:t>的課責理</w:t>
      </w:r>
      <w:proofErr w:type="gramEnd"/>
      <w:r>
        <w:t>論、Romzek與Dubnick</w:t>
      </w:r>
      <w:proofErr w:type="gramStart"/>
      <w:r>
        <w:t>的問責矩</w:t>
      </w:r>
      <w:proofErr w:type="gramEnd"/>
      <w:r>
        <w:t>陣)多聚焦於「事後</w:t>
      </w:r>
      <w:proofErr w:type="gramStart"/>
      <w:r>
        <w:t>追責」—</w:t>
      </w:r>
      <w:proofErr w:type="gramEnd"/>
      <w:r>
        <w:t>—決定作成之後,誰該為結果負責。但AI對公共行政的介入,往往發生在決定作成以前</w:t>
      </w:r>
      <w:proofErr w:type="gramStart"/>
      <w:r>
        <w:t>—</w:t>
      </w:r>
      <w:proofErr w:type="gramEnd"/>
      <w:r>
        <w:t>—資料欄位的選擇、風險分類的建立、閾值的劃定,這些前端環節本身已經是一種價值選擇,卻長期被排除</w:t>
      </w:r>
      <w:proofErr w:type="gramStart"/>
      <w:r>
        <w:t>在課責語</w:t>
      </w:r>
      <w:proofErr w:type="gramEnd"/>
      <w:r>
        <w:t>彙之外。</w:t>
      </w:r>
    </w:p>
    <w:p w:rsidR="00044BA7" w:rsidRDefault="00A71920">
      <w:r>
        <w:t>這個問題在臺灣已不只是抽象倫理命題。《人工智慧基本法》已將人類自主、透明與可解釋、公平與不歧視</w:t>
      </w:r>
      <w:proofErr w:type="gramStart"/>
      <w:r>
        <w:t>及問責列為</w:t>
      </w:r>
      <w:proofErr w:type="gramEnd"/>
      <w:r>
        <w:t>政府推動人工智慧研發與應用的基本原則，並要求政府使用</w:t>
      </w:r>
      <w:r>
        <w:t>AI</w:t>
      </w:r>
      <w:r>
        <w:t>執行業務或提供服務時，進行風險評估、規劃風險因應措施及訂定使用規範或內控管理機制（人工智慧基本法，</w:t>
      </w:r>
      <w:r>
        <w:t>2026</w:t>
      </w:r>
      <w:r>
        <w:t>）。因此，本文所要補足的不是再列一遍價值清單，而是追問：當這些原則進入具體行政流程後，究竟由哪一條治理鏈承接</w:t>
      </w:r>
      <w:r>
        <w:t>、又會在哪一個交界處失去作用。</w:t>
      </w:r>
    </w:p>
    <w:p w:rsidR="00383A90" w:rsidRDefault="007241BF">
      <w:pPr>
        <w:spacing w:after="200" w:line="360" w:lineRule="auto"/>
        <w:jc w:val="both"/>
      </w:pPr>
      <w:r>
        <w:t>本文的核心關切是:如果四大價值只被當作四個並列的檢核項,學界與實務界將難以回答一個更根本的問題</w:t>
      </w:r>
      <w:proofErr w:type="gramStart"/>
      <w:r>
        <w:t>—</w:t>
      </w:r>
      <w:proofErr w:type="gramEnd"/>
      <w:r>
        <w:t>—這四大價值究竟依附在什麼載體上運作、又在什麼位置容易同</w:t>
      </w:r>
      <w:r>
        <w:lastRenderedPageBreak/>
        <w:t>時崩潰?</w:t>
      </w:r>
    </w:p>
    <w:p w:rsidR="00383A90" w:rsidRDefault="007241BF">
      <w:pPr>
        <w:pStyle w:val="2"/>
        <w:spacing w:before="300" w:after="200"/>
      </w:pPr>
      <w:r>
        <w:rPr>
          <w:b/>
          <w:bCs/>
        </w:rPr>
        <w:t>二、既有研究的兩個局限</w:t>
      </w:r>
    </w:p>
    <w:p w:rsidR="00383A90" w:rsidRDefault="007241BF">
      <w:pPr>
        <w:spacing w:after="200" w:line="360" w:lineRule="auto"/>
        <w:jc w:val="both"/>
      </w:pPr>
      <w:r>
        <w:t>第一個局限,是碎片化。傳統公共行政理論</w:t>
      </w:r>
      <w:proofErr w:type="gramStart"/>
      <w:r>
        <w:t>將課責</w:t>
      </w:r>
      <w:proofErr w:type="gramEnd"/>
      <w:r>
        <w:t>、負責、透明、公正分開研究,各自發展出獨立的測量工具與規範標準,但很少追問四者之間是否存在共同的</w:t>
      </w:r>
      <w:proofErr w:type="gramStart"/>
      <w:r>
        <w:t>結構性載</w:t>
      </w:r>
      <w:proofErr w:type="gramEnd"/>
      <w:r>
        <w:t>體。這使得實務操作容易流於「逐項打勾」</w:t>
      </w:r>
      <w:proofErr w:type="gramStart"/>
      <w:r>
        <w:t>—</w:t>
      </w:r>
      <w:proofErr w:type="gramEnd"/>
      <w:r>
        <w:t>—即使四項檢核都通過,系統仍可能在四項檢核之間的空隙處造成實質傷害(</w:t>
      </w:r>
      <w:proofErr w:type="gramStart"/>
      <w:r>
        <w:t>本文肆節</w:t>
      </w:r>
      <w:proofErr w:type="gramEnd"/>
      <w:r>
        <w:t>的Robodebt案即為此例:一般申訴管道「存在」,卻透過舉證責任倒置架空了公正的實質內容)。</w:t>
      </w:r>
    </w:p>
    <w:p w:rsidR="00383A90" w:rsidRDefault="007241BF">
      <w:pPr>
        <w:spacing w:after="200" w:line="360" w:lineRule="auto"/>
        <w:jc w:val="both"/>
      </w:pPr>
      <w:r>
        <w:t>第二</w:t>
      </w:r>
      <w:proofErr w:type="gramStart"/>
      <w:r>
        <w:t>個</w:t>
      </w:r>
      <w:proofErr w:type="gramEnd"/>
      <w:r>
        <w:t>局限,是工具主義。傳統研究傾向將AI視為單純提高行政效率的工具,只要「最後有官僚簽名核章」即</w:t>
      </w:r>
      <w:proofErr w:type="gramStart"/>
      <w:r>
        <w:t>完成課責義務</w:t>
      </w:r>
      <w:proofErr w:type="gramEnd"/>
      <w:r>
        <w:t>。這種預設忽略了AI在資料篩選、</w:t>
      </w:r>
      <w:proofErr w:type="gramStart"/>
      <w:r>
        <w:t>閾</w:t>
      </w:r>
      <w:proofErr w:type="gramEnd"/>
      <w:r>
        <w:t>值設定與分類標籤等前端環節,早已實質參與了</w:t>
      </w:r>
      <w:proofErr w:type="gramStart"/>
      <w:r>
        <w:t>政策框定</w:t>
      </w:r>
      <w:proofErr w:type="gramEnd"/>
      <w:r>
        <w:t>與價值選擇——Danaher(2016)所稱的algocracy、Livermore(2025)區分的algocracy/algoarchy、De Angelis(2026)延伸韋伯理性化命題提出的演算法牢籠,都在不同學術脈絡中指出:當AI的角色被窄化為「工具」,公共價值的實現空間也隨之被窄化為「效率是否達標」這個</w:t>
      </w:r>
      <w:proofErr w:type="gramStart"/>
      <w:r>
        <w:t>單一維</w:t>
      </w:r>
      <w:proofErr w:type="gramEnd"/>
      <w:r>
        <w:t>度。</w:t>
      </w:r>
    </w:p>
    <w:p w:rsidR="00383A90" w:rsidRDefault="007241BF">
      <w:pPr>
        <w:pStyle w:val="2"/>
        <w:spacing w:before="300" w:after="200"/>
      </w:pPr>
      <w:r>
        <w:rPr>
          <w:b/>
          <w:bCs/>
        </w:rPr>
        <w:t>三、研究問題</w:t>
      </w:r>
    </w:p>
    <w:p w:rsidR="00044BA7" w:rsidRDefault="00A71920">
      <w:pPr>
        <w:pStyle w:val="2"/>
      </w:pPr>
      <w:r>
        <w:t>本文以「治理鏈的可觀察斷裂點」為分析單位，而不直接替四大價值另行計分。問題不在於某一價值抽象上是否重要，而在於：當鏈條在特定節點斷裂時，哪一項價值首先失守，該失守又如何傳導至其他鏈。據此，本文提出三項研究問題：</w:t>
      </w:r>
    </w:p>
    <w:p w:rsidR="00383A90" w:rsidRDefault="00383A90">
      <w:pPr>
        <w:spacing w:after="200" w:line="360" w:lineRule="auto"/>
        <w:jc w:val="both"/>
      </w:pPr>
    </w:p>
    <w:p w:rsidR="00383A90" w:rsidRDefault="007241BF">
      <w:pPr>
        <w:spacing w:after="200" w:line="360" w:lineRule="auto"/>
        <w:jc w:val="both"/>
      </w:pPr>
      <w:r>
        <w:t xml:space="preserve">1. </w:t>
      </w:r>
      <w:proofErr w:type="gramStart"/>
      <w:r>
        <w:t>課責</w:t>
      </w:r>
      <w:proofErr w:type="gramEnd"/>
      <w:r>
        <w:t>、負責、透明、公正四大核心價值,能否對應到既有母架構(盧建旭,2026)所提出的四條治理鏈——情境</w:t>
      </w:r>
      <w:proofErr w:type="gramStart"/>
      <w:r>
        <w:t>建構</w:t>
      </w:r>
      <w:proofErr w:type="gramEnd"/>
      <w:r>
        <w:t>鏈、權威鏈、理由鏈、責任鏈——而不需另立新的測量架構?</w:t>
      </w:r>
    </w:p>
    <w:p w:rsidR="00383A90" w:rsidRDefault="007241BF">
      <w:pPr>
        <w:spacing w:after="200" w:line="360" w:lineRule="auto"/>
        <w:jc w:val="both"/>
      </w:pPr>
      <w:r>
        <w:lastRenderedPageBreak/>
        <w:t>2. 若四大價值確實依附於四條治理鏈,價值衝突的發生位置是在單一鏈的</w:t>
      </w:r>
      <w:proofErr w:type="gramStart"/>
      <w:r>
        <w:t>內部,還是在鏈與鏈</w:t>
      </w:r>
      <w:proofErr w:type="gramEnd"/>
      <w:r>
        <w:t>的交界處?這對制度回應的設計方式有何不</w:t>
      </w:r>
      <w:proofErr w:type="gramStart"/>
      <w:r>
        <w:t>同意涵</w:t>
      </w:r>
      <w:proofErr w:type="gramEnd"/>
      <w:r>
        <w:t>?</w:t>
      </w:r>
    </w:p>
    <w:p w:rsidR="00383A90" w:rsidRDefault="007241BF">
      <w:pPr>
        <w:spacing w:after="200" w:line="360" w:lineRule="auto"/>
        <w:jc w:val="both"/>
      </w:pPr>
      <w:r>
        <w:t>3. 以AFST、SyRI、Robodebt既有的P1/C1編碼資料重新解讀,能否具體區分出不同的價值溢出機制,並針對不同機制提出對症的制度回應?</w:t>
      </w:r>
    </w:p>
    <w:p w:rsidR="00383A90" w:rsidRDefault="007241BF">
      <w:pPr>
        <w:pStyle w:val="2"/>
        <w:spacing w:before="300" w:after="200"/>
      </w:pPr>
      <w:r>
        <w:rPr>
          <w:b/>
          <w:bCs/>
        </w:rPr>
        <w:t>四、研究方法與範圍界定</w:t>
      </w:r>
    </w:p>
    <w:p w:rsidR="00383A90" w:rsidRDefault="007241BF">
      <w:pPr>
        <w:spacing w:after="200" w:line="360" w:lineRule="auto"/>
        <w:jc w:val="both"/>
      </w:pPr>
      <w:r>
        <w:t>本文</w:t>
      </w:r>
      <w:proofErr w:type="gramStart"/>
      <w:r>
        <w:t>採</w:t>
      </w:r>
      <w:proofErr w:type="gramEnd"/>
      <w:r>
        <w:t>概念建構與既有資料之二次解讀，沿用②《AI治理的民主正當性前置條件》已完成的P1暴露與C1完整度示範重編碼結果。本文不重新選案或計分；其分析單位是既有編碼所呈現的治理鏈斷裂及其價值後果。</w:t>
      </w:r>
    </w:p>
    <w:p w:rsidR="00383A90" w:rsidRDefault="007241BF">
      <w:pPr>
        <w:spacing w:after="200" w:line="360" w:lineRule="auto"/>
        <w:jc w:val="both"/>
      </w:pPr>
      <w:r>
        <w:t>除伍節提出之C1-13（舉證責任分配）暫定</w:t>
      </w:r>
      <w:proofErr w:type="gramStart"/>
      <w:r>
        <w:t>觀察項外</w:t>
      </w:r>
      <w:proofErr w:type="gramEnd"/>
      <w:r>
        <w:t>，本文不在二十五座標、三種權力移轉、三項結構效應或七項治理審計新增計分邏輯。C1-13不計入C1正式平均，僅作為後續校準的待驗證假說。</w:t>
      </w:r>
    </w:p>
    <w:p w:rsidR="00383A90" w:rsidRDefault="007241BF">
      <w:pPr>
        <w:pStyle w:val="2"/>
        <w:spacing w:before="300" w:after="200"/>
      </w:pPr>
      <w:r>
        <w:rPr>
          <w:b/>
          <w:bCs/>
        </w:rPr>
        <w:t>五、章節安排</w:t>
      </w:r>
    </w:p>
    <w:p w:rsidR="00383A90" w:rsidRDefault="007241BF">
      <w:pPr>
        <w:spacing w:after="200" w:line="360" w:lineRule="auto"/>
        <w:jc w:val="both"/>
      </w:pPr>
      <w:r>
        <w:t>本文以下章節安排如次:</w:t>
      </w:r>
      <w:proofErr w:type="gramStart"/>
      <w:r>
        <w:t>貳節評</w:t>
      </w:r>
      <w:proofErr w:type="gramEnd"/>
      <w:r>
        <w:t>析</w:t>
      </w:r>
      <w:proofErr w:type="gramStart"/>
      <w:r>
        <w:t>既有課責文</w:t>
      </w:r>
      <w:proofErr w:type="gramEnd"/>
      <w:r>
        <w:t>獻的局限,並銜接algocracy、民主摩擦、演算法牢籠三個尚未相互對接的理論立足點,輔以跨國治理實務的初步觀察;</w:t>
      </w:r>
      <w:proofErr w:type="gramStart"/>
      <w:r>
        <w:t>參節提出</w:t>
      </w:r>
      <w:proofErr w:type="gramEnd"/>
      <w:r>
        <w:t>四條治理鏈與四大核心價值的對應架構,並修正「鏈對權力移轉一一對應」的</w:t>
      </w:r>
      <w:proofErr w:type="gramStart"/>
      <w:r>
        <w:t>常見</w:t>
      </w:r>
      <w:proofErr w:type="gramEnd"/>
      <w:r>
        <w:t>誤讀;</w:t>
      </w:r>
      <w:proofErr w:type="gramStart"/>
      <w:r>
        <w:t>肆節以</w:t>
      </w:r>
      <w:proofErr w:type="gramEnd"/>
      <w:r>
        <w:t>既有P1/C1資料重新解讀三案例,區分三種價值溢出機制;伍節針對三種機制提出對症的制度路徑;</w:t>
      </w:r>
      <w:proofErr w:type="gramStart"/>
      <w:r>
        <w:t>陸節總結</w:t>
      </w:r>
      <w:proofErr w:type="gramEnd"/>
      <w:r>
        <w:t>本文對系列的邊際貢獻,並交代後續驗證工作應如何併入既定的系列分工,而非另立新架構。</w:t>
      </w:r>
    </w:p>
    <w:p w:rsidR="00383A90" w:rsidRDefault="007241BF">
      <w:r>
        <w:br w:type="page"/>
      </w:r>
    </w:p>
    <w:p w:rsidR="00383A90" w:rsidRDefault="007241BF">
      <w:pPr>
        <w:pStyle w:val="1"/>
        <w:spacing w:before="300" w:after="200"/>
      </w:pPr>
      <w:r>
        <w:rPr>
          <w:b/>
          <w:bCs/>
        </w:rPr>
        <w:lastRenderedPageBreak/>
        <w:t>貳、文獻評析:碎片</w:t>
      </w:r>
      <w:proofErr w:type="gramStart"/>
      <w:r>
        <w:rPr>
          <w:b/>
          <w:bCs/>
        </w:rPr>
        <w:t>化課責</w:t>
      </w:r>
      <w:proofErr w:type="gramEnd"/>
      <w:r>
        <w:rPr>
          <w:b/>
          <w:bCs/>
        </w:rPr>
        <w:t>語彙與三個尚未對接的理論立足點</w:t>
      </w:r>
    </w:p>
    <w:p w:rsidR="00383A90" w:rsidRDefault="007241BF">
      <w:pPr>
        <w:pStyle w:val="2"/>
        <w:spacing w:before="300" w:after="200"/>
      </w:pPr>
      <w:r>
        <w:rPr>
          <w:b/>
          <w:bCs/>
        </w:rPr>
        <w:t>一、</w:t>
      </w:r>
      <w:proofErr w:type="gramStart"/>
      <w:r>
        <w:rPr>
          <w:b/>
          <w:bCs/>
        </w:rPr>
        <w:t>傳統課責文獻</w:t>
      </w:r>
      <w:proofErr w:type="gramEnd"/>
      <w:r>
        <w:rPr>
          <w:b/>
          <w:bCs/>
        </w:rPr>
        <w:t>的局限:重後端、</w:t>
      </w:r>
      <w:proofErr w:type="gramStart"/>
      <w:r>
        <w:rPr>
          <w:b/>
          <w:bCs/>
        </w:rPr>
        <w:t>輕前端</w:t>
      </w:r>
      <w:proofErr w:type="gramEnd"/>
    </w:p>
    <w:p w:rsidR="00383A90" w:rsidRDefault="007241BF">
      <w:pPr>
        <w:spacing w:after="200" w:line="360" w:lineRule="auto"/>
        <w:jc w:val="both"/>
      </w:pPr>
      <w:r>
        <w:t>Bovens(2007)</w:t>
      </w:r>
      <w:proofErr w:type="gramStart"/>
      <w:r>
        <w:t>將課責界定</w:t>
      </w:r>
      <w:proofErr w:type="gramEnd"/>
      <w:r>
        <w:t>為行為者向論壇</w:t>
      </w:r>
      <w:proofErr w:type="gramStart"/>
      <w:r>
        <w:t>說明並證</w:t>
      </w:r>
      <w:proofErr w:type="gramEnd"/>
      <w:r>
        <w:t>成其行為的一種社會關係,Romzek與Dubnick(1987)則以官僚、法律、專業、政治</w:t>
      </w:r>
      <w:proofErr w:type="gramStart"/>
      <w:r>
        <w:t>四種課責邏</w:t>
      </w:r>
      <w:proofErr w:type="gramEnd"/>
      <w:r>
        <w:t>輯,分析權責歸屬的內部類型差異。這條文獻路徑的貢獻,是把</w:t>
      </w:r>
      <w:proofErr w:type="gramStart"/>
      <w:r>
        <w:t>課責從</w:t>
      </w:r>
      <w:proofErr w:type="gramEnd"/>
      <w:r>
        <w:t>單一概念拆解為可辨識的制度類型;但其分析起點,幾乎一致設定在「決定已經作成」之後</w:t>
      </w:r>
      <w:proofErr w:type="gramStart"/>
      <w:r>
        <w:t>—</w:t>
      </w:r>
      <w:proofErr w:type="gramEnd"/>
      <w:r>
        <w:t>—論壇質詢的對象是已發生的行為與結果,而非行為發生以前,問題本身如何被定義、資料如何被選擇。AI進入公共行政後,這個分析起點的局限被放大:當風險分類、代理變項與</w:t>
      </w:r>
      <w:proofErr w:type="gramStart"/>
      <w:r>
        <w:t>閾</w:t>
      </w:r>
      <w:proofErr w:type="gramEnd"/>
      <w:r>
        <w:t>值在系統設計階段即已完成價值選擇,</w:t>
      </w:r>
      <w:proofErr w:type="gramStart"/>
      <w:r>
        <w:t>課責文</w:t>
      </w:r>
      <w:proofErr w:type="gramEnd"/>
      <w:r>
        <w:t>獻若仍只問「事後誰該負責」,便會錯過整個前端環節。</w:t>
      </w:r>
    </w:p>
    <w:p w:rsidR="00383A90" w:rsidRDefault="007241BF">
      <w:pPr>
        <w:spacing w:after="200" w:line="360" w:lineRule="auto"/>
        <w:jc w:val="both"/>
      </w:pPr>
      <w:r>
        <w:t>透明與公正在傳統文獻中的處理方式,同樣呈現類似的後端傾向。透明多被操作化為資訊公開的程度,公正多被操作化為統計層面的群體平等指標(如假陽性率是否在不同群體間趨於一致)。兩者都可以在系統輸出的層次上檢驗,卻很少追問輸出之前,問題是如何被建構的。</w:t>
      </w:r>
    </w:p>
    <w:p w:rsidR="00383A90" w:rsidRDefault="007241BF">
      <w:pPr>
        <w:spacing w:after="200" w:line="360" w:lineRule="auto"/>
        <w:jc w:val="both"/>
      </w:pPr>
      <w:r>
        <w:t>這個局限近年獲得更直接的跨國文獻呼應。Busuioc(2021)指出,AI系統的介入為公</w:t>
      </w:r>
      <w:proofErr w:type="gramStart"/>
      <w:r>
        <w:t>部門課責關係</w:t>
      </w:r>
      <w:proofErr w:type="gramEnd"/>
      <w:r>
        <w:t>帶來「</w:t>
      </w:r>
      <w:proofErr w:type="gramStart"/>
      <w:r>
        <w:t>課責赤</w:t>
      </w:r>
      <w:proofErr w:type="gramEnd"/>
      <w:r>
        <w:t>字」:</w:t>
      </w:r>
      <w:proofErr w:type="gramStart"/>
      <w:r>
        <w:t>傳統課責論壇</w:t>
      </w:r>
      <w:proofErr w:type="gramEnd"/>
      <w:r>
        <w:t>往往缺乏檢視演算法前端設計的技術能力與資訊優勢,使事後的論壇質詢難以追溯問題的根源。Wieringa(2020)透過系統性文獻回顧進一步指出,既有</w:t>
      </w:r>
      <w:proofErr w:type="gramStart"/>
      <w:r>
        <w:t>演算法課責研究</w:t>
      </w:r>
      <w:proofErr w:type="gramEnd"/>
      <w:r>
        <w:t>多</w:t>
      </w:r>
      <w:proofErr w:type="gramStart"/>
      <w:r>
        <w:t>將課</w:t>
      </w:r>
      <w:proofErr w:type="gramEnd"/>
      <w:r>
        <w:t>責「技術化」與「片段化」處理,忽略了公共行政體系中</w:t>
      </w:r>
      <w:proofErr w:type="gramStart"/>
      <w:r>
        <w:t>承載課責關</w:t>
      </w:r>
      <w:proofErr w:type="gramEnd"/>
      <w:r>
        <w:t>係的制度</w:t>
      </w:r>
      <w:proofErr w:type="gramStart"/>
      <w:r>
        <w:t>性載體—</w:t>
      </w:r>
      <w:proofErr w:type="gramEnd"/>
      <w:r>
        <w:t>—這正呼應本文以治理鏈作為共同載體的立場。</w:t>
      </w:r>
      <w:proofErr w:type="gramStart"/>
      <w:r>
        <w:t>此外,多重課責</w:t>
      </w:r>
      <w:proofErr w:type="gramEnd"/>
      <w:r>
        <w:t>標準(如同時要求極致透明與極致效率)若缺乏統一的</w:t>
      </w:r>
      <w:proofErr w:type="gramStart"/>
      <w:r>
        <w:t>結構性載</w:t>
      </w:r>
      <w:proofErr w:type="gramEnd"/>
      <w:r>
        <w:t>體,亦容易</w:t>
      </w:r>
      <w:proofErr w:type="gramStart"/>
      <w:r>
        <w:t>造成課責彼</w:t>
      </w:r>
      <w:proofErr w:type="gramEnd"/>
      <w:r>
        <w:t>此掣肘,反而誘發官僚的避險行為(Schillemans &amp; Bovens, 2011)。</w:t>
      </w:r>
    </w:p>
    <w:p w:rsidR="00383A90" w:rsidRDefault="007241BF">
      <w:pPr>
        <w:pStyle w:val="2"/>
        <w:spacing w:before="300" w:after="200"/>
      </w:pPr>
      <w:r>
        <w:rPr>
          <w:b/>
          <w:bCs/>
        </w:rPr>
        <w:t>二、三個尚未相互對接的理論立足點</w:t>
      </w:r>
    </w:p>
    <w:p w:rsidR="00383A90" w:rsidRDefault="007241BF">
      <w:pPr>
        <w:spacing w:after="200" w:line="360" w:lineRule="auto"/>
        <w:jc w:val="both"/>
      </w:pPr>
      <w:r>
        <w:lastRenderedPageBreak/>
        <w:t>面對這個局限,近年至少有三條學術路徑分別從不同角度指出:AI對公共行政的實質影響,可能發生在决定作成之前,但三者彼此獨立發展,尚未相互對接。</w:t>
      </w:r>
    </w:p>
    <w:p w:rsidR="00383A90" w:rsidRDefault="007241BF">
      <w:pPr>
        <w:spacing w:after="200" w:line="360" w:lineRule="auto"/>
        <w:jc w:val="both"/>
      </w:pPr>
      <w:r>
        <w:t>第一,Danaher(2016)提出「演算法統治」(algocracy)概念,指出當法院、立法機關與行政機關將權威委託給演算法系統時,可能形成一種「無理解之治理」的狀態</w:t>
      </w:r>
      <w:proofErr w:type="gramStart"/>
      <w:r>
        <w:t>—</w:t>
      </w:r>
      <w:proofErr w:type="gramEnd"/>
      <w:r>
        <w:t>—演算法問題解決能力的優越性,與公民理解並質疑決策的民主要求</w:t>
      </w:r>
      <w:proofErr w:type="gramStart"/>
      <w:r>
        <w:t>之間</w:t>
      </w:r>
      <w:proofErr w:type="gramEnd"/>
      <w:r>
        <w:t>,存在結構性張力。這條路徑處理的是治理品質的兩難,尚未進一步追問這種張力是否會系統性地發生在資料選擇與</w:t>
      </w:r>
      <w:proofErr w:type="gramStart"/>
      <w:r>
        <w:t>閾</w:t>
      </w:r>
      <w:proofErr w:type="gramEnd"/>
      <w:r>
        <w:t>值形成的前端階段。Pasquale(2015)提出的「黑箱社會」概念可與此互為對照:</w:t>
      </w:r>
      <w:proofErr w:type="gramStart"/>
      <w:r>
        <w:t>當公部門</w:t>
      </w:r>
      <w:proofErr w:type="gramEnd"/>
      <w:r>
        <w:t>將決定權委託予演算法,公權力如何在技術壟斷與資訊不對等的遮蔽下運作,正是algocracy概念關切的實質內容。Yeung(2018)則進一步以「超誘導式</w:t>
      </w:r>
      <w:proofErr w:type="gramStart"/>
      <w:r>
        <w:t>規</w:t>
      </w:r>
      <w:proofErr w:type="gramEnd"/>
      <w:r>
        <w:t>制」(hypernudge)描述演算法如何在情境建構階段,即以無聲無息的方式限縮公民的選擇與行動空間,侵蝕民主</w:t>
      </w:r>
      <w:proofErr w:type="gramStart"/>
      <w:r>
        <w:t>正當性於</w:t>
      </w:r>
      <w:proofErr w:type="gramEnd"/>
      <w:r>
        <w:t>前端而非後端。</w:t>
      </w:r>
    </w:p>
    <w:p w:rsidR="00383A90" w:rsidRDefault="007241BF">
      <w:pPr>
        <w:spacing w:after="200" w:line="360" w:lineRule="auto"/>
        <w:jc w:val="both"/>
      </w:pPr>
      <w:r>
        <w:t>第二,Livermore(2025)區分algocracy(演算法在真實人類制度框架內輔助行政)與algoarchy(演算法取代該框架、直接統治),主張自由民主體制的運作向來仰賴摩擦</w:t>
      </w:r>
      <w:proofErr w:type="gramStart"/>
      <w:r>
        <w:t>—</w:t>
      </w:r>
      <w:proofErr w:type="gramEnd"/>
      <w:r>
        <w:t>—權力遭遇的抵抗是程序性的、科層的、也是道德性的,這種摩擦不是行政無效率的副作用,而是憲政設計刻意保留的拒絕能力。這一立場與Pettit(1997)的共和主義自由觀相通:自由的實質內涵不是免於直接干涉,而是免於支配(non-domination)</w:t>
      </w:r>
      <w:proofErr w:type="gramStart"/>
      <w:r>
        <w:t>—</w:t>
      </w:r>
      <w:proofErr w:type="gramEnd"/>
      <w:r>
        <w:t>—即便權力事實上未被濫用,只要人民缺乏挑戰或抵抗的制度性管道,支配關係便已成立;Livermore所稱的「摩擦」,正是行政相對人得以抵抗</w:t>
      </w:r>
      <w:proofErr w:type="gramStart"/>
      <w:r>
        <w:t>演算法框定支配</w:t>
      </w:r>
      <w:proofErr w:type="gramEnd"/>
      <w:r>
        <w:t>的制度性資源。Alnemr(2024)延伸Lafont對「民主捷徑」的批判,提出「演算法捷徑」概念,並以Robodebt為實例說明國會與監察機關之調查如何揭露此一捷徑造成的民主損害;Bullock(2019)則從行政學角度指出,AI對</w:t>
      </w:r>
      <w:proofErr w:type="gramStart"/>
      <w:r>
        <w:t>科層裁量</w:t>
      </w:r>
      <w:proofErr w:type="gramEnd"/>
      <w:r>
        <w:t>的影響雖非線性單調,但整體確有壓縮基層行政人員裁量空間的系統性傾向;這條批判路徑可回溯至Bovens與</w:t>
      </w:r>
      <w:r>
        <w:lastRenderedPageBreak/>
        <w:t>Zouridis(2002)提出的「系統層級官僚」(system-level bureaucracy)概念</w:t>
      </w:r>
      <w:proofErr w:type="gramStart"/>
      <w:r>
        <w:t>—</w:t>
      </w:r>
      <w:proofErr w:type="gramEnd"/>
      <w:r>
        <w:t>—當資訊與通訊科技取代基層官僚的臨場裁量,</w:t>
      </w:r>
      <w:proofErr w:type="gramStart"/>
      <w:r>
        <w:t>原本由裁</w:t>
      </w:r>
      <w:proofErr w:type="gramEnd"/>
      <w:r>
        <w:t>量空間所提供的彈性與抵抗能力,也隨之被系統設計階段的參數選擇所取代。三篇文獻分屬評論、政治理論與公共行政三個不同學術社群,卻在「AI擴張以效率之名壓縮既有摩擦來源」這一命題上收斂一致。</w:t>
      </w:r>
    </w:p>
    <w:p w:rsidR="00383A90" w:rsidRDefault="007241BF">
      <w:pPr>
        <w:spacing w:after="200" w:line="360" w:lineRule="auto"/>
        <w:jc w:val="both"/>
      </w:pPr>
      <w:r>
        <w:t>第三,De Angelis(2026)延續韋伯(Weber, 1992)區分形式理性與實質理性的古典命題,提出「演算法牢籠」概念</w:t>
      </w:r>
      <w:proofErr w:type="gramStart"/>
      <w:r>
        <w:t>—</w:t>
      </w:r>
      <w:proofErr w:type="gramEnd"/>
      <w:r>
        <w:t>—此一命名直接呼應韋伯原著中「鐵的牢籠」(stahlhartes Gehäuse)的隱喻:當工具理性的科層化邏輯脫離其原初的實質價值根源後,便會自我維持、自我強化,將行動者禁錮於形式規則的牢籠之中。De Angelis主張AI構成現代理性化過程的新階段,其結論並非AI</w:t>
      </w:r>
      <w:proofErr w:type="gramStart"/>
      <w:r>
        <w:t>打破了韋伯</w:t>
      </w:r>
      <w:proofErr w:type="gramEnd"/>
      <w:r>
        <w:t>式牢籠,而是將其重構為一種更具滲透性、更不透明的架構——但這並不封閉自主與民主抵抗的可能空間。這條路徑理論資源最為古典,卻也最貼近本文所關切的直覺:當形式理性徹底勝出,原本分屬政治、規範、效率三套不同語言的證成邏輯,確有可能被壓扁為單一的「有效率即正確」邏輯。這與Introna(2016)運用傅柯治理性(governmentality)理論的分析相呼應:演算法治理的問題不只在於黑箱,更在於它如何將公正、負責等實質規範價值,轉換為形式上可計算的數據流與指標化管理,可視為De Angelis(2026)演算法牢籠命題的理論先聲之</w:t>
      </w:r>
      <w:proofErr w:type="gramStart"/>
      <w:r>
        <w:t>一</w:t>
      </w:r>
      <w:proofErr w:type="gramEnd"/>
      <w:r>
        <w:t>。</w:t>
      </w:r>
    </w:p>
    <w:p w:rsidR="00383A90" w:rsidRDefault="007241BF">
      <w:pPr>
        <w:pStyle w:val="2"/>
        <w:spacing w:before="300" w:after="200"/>
      </w:pPr>
      <w:r>
        <w:rPr>
          <w:b/>
          <w:bCs/>
        </w:rPr>
        <w:t>三、跨國治理實務的初步觀察</w:t>
      </w:r>
    </w:p>
    <w:p w:rsidR="00044BA7" w:rsidRDefault="00A71920">
      <w:pPr>
        <w:pStyle w:val="2"/>
      </w:pPr>
      <w:r>
        <w:t>臺灣近期公布之《人工智慧風險分類框架》，已將「盤點應用情境</w:t>
      </w:r>
      <w:r>
        <w:t>→</w:t>
      </w:r>
      <w:r>
        <w:t>識別風險</w:t>
      </w:r>
      <w:r>
        <w:t>→</w:t>
      </w:r>
      <w:r>
        <w:t>評估風險</w:t>
      </w:r>
      <w:r>
        <w:t>→</w:t>
      </w:r>
      <w:r>
        <w:t>應對風險」列為機關的基本操作流程，並把透明性或可解釋性不足、行為偏離人類意圖與社會價值等情形納入風險類型（數位發展部，</w:t>
      </w:r>
      <w:r>
        <w:t>2026</w:t>
      </w:r>
      <w:r>
        <w:t>）。這提供了本文一個重要的制度背景：風險治理已要求機關從情境起步，但其主要功能仍是辨識與管理風險，尚不足以說明價值選擇如何穿越授</w:t>
      </w:r>
      <w:r>
        <w:lastRenderedPageBreak/>
        <w:t>權、理由與責任分工。本文的四鏈分析，正是要把這段尚未</w:t>
      </w:r>
      <w:r>
        <w:t>被展開的行政過程說清楚。</w:t>
      </w:r>
    </w:p>
    <w:p w:rsidR="00383A90" w:rsidRDefault="007241BF">
      <w:pPr>
        <w:spacing w:after="200" w:line="360" w:lineRule="auto"/>
        <w:jc w:val="both"/>
      </w:pPr>
      <w:r>
        <w:t>上述三條理論路徑在不同法制脈絡下,呈現不同的實務樣態,可</w:t>
      </w:r>
      <w:proofErr w:type="gramStart"/>
      <w:r>
        <w:t>作為肆節案例</w:t>
      </w:r>
      <w:proofErr w:type="gramEnd"/>
      <w:r>
        <w:t>分析的背景鋪陳,但本文在此僅作初步觀察,不宣稱窮盡或具代表性。歐盟與荷蘭的SyRI案顯示,即使已有法定框架處理前端的資料整合與風險指示,</w:t>
      </w:r>
      <w:proofErr w:type="gramStart"/>
      <w:r>
        <w:t>若框定</w:t>
      </w:r>
      <w:proofErr w:type="gramEnd"/>
      <w:r>
        <w:t>邏輯本身不透明,仍可能在司法審查階段才被發現與私人生活權保障之間失衡,顯示「已觸及前端」不等於「</w:t>
      </w:r>
      <w:proofErr w:type="gramStart"/>
      <w:r>
        <w:t>前端已</w:t>
      </w:r>
      <w:proofErr w:type="gramEnd"/>
      <w:r>
        <w:t>受民主控制」。英美澳體系中的Robodebt案,則顯示後端</w:t>
      </w:r>
      <w:proofErr w:type="gramStart"/>
      <w:r>
        <w:t>政治問責與司法追責機</w:t>
      </w:r>
      <w:proofErr w:type="gramEnd"/>
      <w:r>
        <w:t>制即使運作(如皇家調查委員會的成立),仍無法回溯彌補前端</w:t>
      </w:r>
      <w:proofErr w:type="gramStart"/>
      <w:r>
        <w:t>統計框定</w:t>
      </w:r>
      <w:proofErr w:type="gramEnd"/>
      <w:r>
        <w:t>對個案造成的損害,顯示後端救濟成本遠高於前端補正成本。至於東亞脈絡下的初步觀察,行政法制與內部層級</w:t>
      </w:r>
      <w:proofErr w:type="gramStart"/>
      <w:r>
        <w:t>課責雖</w:t>
      </w:r>
      <w:proofErr w:type="gramEnd"/>
      <w:r>
        <w:t>有其既有基礎,但同樣面臨對P1階段</w:t>
      </w:r>
      <w:proofErr w:type="gramStart"/>
      <w:r>
        <w:t>技術框定</w:t>
      </w:r>
      <w:proofErr w:type="gramEnd"/>
      <w:r>
        <w:t>與代理變項欠缺外部可質疑管道的共通挑戰——這一觀察目前仍屬初步,有待後續系列論文以更嚴謹的比較方法檢驗。就臺灣本土公法學界的討論而言,張志偉(2025)借鏡德國《聯邦行政程序法》第35a條全自動化行政處分之規範,檢討行政機關運用人工智慧進行裁量與事實認定時,現行《行政程序法》第96條「書面行政處分應記載理由」之說理義務在演算法運作下如何可能</w:t>
      </w:r>
      <w:proofErr w:type="gramStart"/>
      <w:r>
        <w:t>—</w:t>
      </w:r>
      <w:proofErr w:type="gramEnd"/>
      <w:r>
        <w:t>—若決定過程無法被還原與重建,處分書所附理由即流於形式化,構成本文所稱理由鏈的實質斷裂。李長曄(2024)則進一步從全自動化行政處分對職權調查、陳述意見與閱覽卷宗等正當程序原則帶來的挑戰切入,說明效率與人民程序權利保障之間如何取捨。這兩篇文獻顯示,東亞脈絡下的理由鏈斷裂問題並非本文憑空推論,而已是本土行政法學界具體關注的對象。</w:t>
      </w:r>
    </w:p>
    <w:p w:rsidR="00383A90" w:rsidRDefault="007241BF">
      <w:pPr>
        <w:pStyle w:val="2"/>
        <w:spacing w:before="300" w:after="200"/>
      </w:pPr>
      <w:r>
        <w:rPr>
          <w:b/>
          <w:bCs/>
        </w:rPr>
        <w:t>四、從診斷到架構:四大價值需要一個共同的載體</w:t>
      </w:r>
    </w:p>
    <w:p w:rsidR="00383A90" w:rsidRDefault="007241BF">
      <w:pPr>
        <w:spacing w:after="200" w:line="360" w:lineRule="auto"/>
        <w:jc w:val="both"/>
      </w:pPr>
      <w:r>
        <w:t>上述文獻圖景揭示一個共同的理論困境:碎片化的價值宣示,難以抵抗整體化的技術效率滲透。</w:t>
      </w:r>
      <w:proofErr w:type="gramStart"/>
      <w:r>
        <w:t>當課責</w:t>
      </w:r>
      <w:proofErr w:type="gramEnd"/>
      <w:r>
        <w:t>、負責、透明與公正被當作獨立運作的倫理目標分別檢核時,AI系統往往</w:t>
      </w:r>
      <w:r>
        <w:lastRenderedPageBreak/>
        <w:t>能在「符合形式授權」的掩護下,於前端完成對公共問題的窄化與偏斜。要打破這個困境,不能僅靠增加更多的後端審計,而必須將四大價值回歸到其運作的動態載體。本文</w:t>
      </w:r>
      <w:proofErr w:type="gramStart"/>
      <w:r>
        <w:t>接續參節</w:t>
      </w:r>
      <w:proofErr w:type="gramEnd"/>
      <w:r>
        <w:t>,主張既有母架構的四條治理鏈已足以承擔這個角色,不需要另立新的價值測量架構。</w:t>
      </w:r>
    </w:p>
    <w:p w:rsidR="00383A90" w:rsidRDefault="007241BF">
      <w:r>
        <w:br w:type="page"/>
      </w:r>
    </w:p>
    <w:p w:rsidR="00383A90" w:rsidRDefault="007241BF">
      <w:pPr>
        <w:pStyle w:val="1"/>
        <w:spacing w:before="300" w:after="200"/>
      </w:pPr>
      <w:r>
        <w:rPr>
          <w:b/>
          <w:bCs/>
        </w:rPr>
        <w:lastRenderedPageBreak/>
        <w:t>參、理論架構:四條治理鏈作為四大核心價值的動態載體</w:t>
      </w:r>
    </w:p>
    <w:p w:rsidR="00383A90" w:rsidRDefault="007241BF">
      <w:pPr>
        <w:pStyle w:val="2"/>
        <w:spacing w:before="300" w:after="200"/>
      </w:pPr>
      <w:r>
        <w:rPr>
          <w:b/>
          <w:bCs/>
        </w:rPr>
        <w:t>一、從檢核清單到鏈式載體</w:t>
      </w:r>
    </w:p>
    <w:p w:rsidR="00383A90" w:rsidRDefault="007241BF">
      <w:pPr>
        <w:spacing w:after="200" w:line="360" w:lineRule="auto"/>
        <w:jc w:val="both"/>
      </w:pPr>
      <w:proofErr w:type="gramStart"/>
      <w:r>
        <w:t>傳統課責文獻</w:t>
      </w:r>
      <w:proofErr w:type="gramEnd"/>
      <w:r>
        <w:t>的病理,在於</w:t>
      </w:r>
      <w:proofErr w:type="gramStart"/>
      <w:r>
        <w:t>把課</w:t>
      </w:r>
      <w:proofErr w:type="gramEnd"/>
      <w:r>
        <w:t>責、負責、透明、公正當作四個可以分別打勾的欄位。這種做法的隱藏假設是:每</w:t>
      </w:r>
      <w:proofErr w:type="gramStart"/>
      <w:r>
        <w:t>個</w:t>
      </w:r>
      <w:proofErr w:type="gramEnd"/>
      <w:r>
        <w:t>價值都能獨立於其發生的治理階段被衡量。但母架構(盧建旭,2026)的四條治理鏈</w:t>
      </w:r>
      <w:proofErr w:type="gramStart"/>
      <w:r>
        <w:t>—</w:t>
      </w:r>
      <w:proofErr w:type="gramEnd"/>
      <w:r>
        <w:t>—情境</w:t>
      </w:r>
      <w:proofErr w:type="gramStart"/>
      <w:r>
        <w:t>建構</w:t>
      </w:r>
      <w:proofErr w:type="gramEnd"/>
      <w:r>
        <w:t>鏈、權威鏈、理由鏈、責任鏈——揭示了另一種可能:四大價值不是懸浮的抽象目標,而是</w:t>
      </w:r>
      <w:proofErr w:type="gramStart"/>
      <w:r>
        <w:t>每條鏈在</w:t>
      </w:r>
      <w:proofErr w:type="gramEnd"/>
      <w:r>
        <w:t>特定節點上是否維持民主正當性的顯現。價值的達成因此不是靜態核對,而是動態的、</w:t>
      </w:r>
      <w:proofErr w:type="gramStart"/>
      <w:r>
        <w:t>隨鏈上</w:t>
      </w:r>
      <w:proofErr w:type="gramEnd"/>
      <w:r>
        <w:t>斷裂點移動的。</w:t>
      </w:r>
    </w:p>
    <w:p w:rsidR="00383A90" w:rsidRDefault="007241BF">
      <w:pPr>
        <w:pStyle w:val="2"/>
        <w:spacing w:before="300" w:after="200"/>
      </w:pPr>
      <w:r>
        <w:t>三、四鏈與四大價值：主要承載、次要</w:t>
      </w:r>
      <w:proofErr w:type="gramStart"/>
      <w:r>
        <w:t>溢出與判讀</w:t>
      </w:r>
      <w:proofErr w:type="gramEnd"/>
      <w:r>
        <w:t>規則</w:t>
      </w:r>
    </w:p>
    <w:p w:rsidR="00044BA7" w:rsidRDefault="00A71920">
      <w:pPr>
        <w:pStyle w:val="2"/>
      </w:pPr>
      <w:r>
        <w:t>四條治理鏈不是四種價值的同義詞，也不是四個可互換的檢核欄位。它們分別指向不同的行政關</w:t>
      </w:r>
      <w:r>
        <w:t>係：情境</w:t>
      </w:r>
      <w:proofErr w:type="gramStart"/>
      <w:r>
        <w:t>建構鏈處理</w:t>
      </w:r>
      <w:proofErr w:type="gramEnd"/>
      <w:r>
        <w:t>何種事實、資料與分類得以進入決定；權威鏈處理實際影響力是否仍受法定授權約束；理由鏈處理決定能否由結果回溯至事實、規範與價值判斷；</w:t>
      </w:r>
      <w:proofErr w:type="gramStart"/>
      <w:r>
        <w:t>責任鏈則處理</w:t>
      </w:r>
      <w:proofErr w:type="gramEnd"/>
      <w:r>
        <w:t>錯誤發生後是否有人能回答、修正並將修正回饋前端。本文因此以「鏈的斷裂位置」作為分析單位，以四大價值作為診斷語言。</w:t>
      </w:r>
    </w:p>
    <w:p w:rsidR="00383A90" w:rsidRDefault="007241BF">
      <w:pPr>
        <w:spacing w:after="200" w:line="360" w:lineRule="auto"/>
        <w:jc w:val="both"/>
      </w:pPr>
      <w:r>
        <w:t>情境</w:t>
      </w:r>
      <w:proofErr w:type="gramStart"/>
      <w:r>
        <w:t>建構鏈之所以</w:t>
      </w:r>
      <w:proofErr w:type="gramEnd"/>
      <w:r>
        <w:t>成立為獨立的一條鏈,而非僅是理由鏈的前置作業,理論資源其實可回溯至公共政策研究中一支長期關注「問題如何被界定」的文獻。Stone(1989)指出政策問題從不是中性地被發現,而是在政治過程中被論證性地建構;Rochefort與Cobb(1994)進一步系統化了問題定義如何決定議程能見度與後續政策選項的範圍;Schneider與Ingram(1993)則說明對象群體的社會建構(如「應得」或「不應得」的分類)本身即帶有分配後果,直接影響何種資料與代理變項會被視為理所當然而納入模型;Entman(1993)的框架理論則指出,框架透過「界定問題、診斷原因、道德評估、建議解方」四個功能同時運作,而非僅止於資訊選擇。這條文獻脈絡顯示,本文所稱的「情境建構」並非新創詞彙,而是將政策研究既有的問題建構理論,銜接到演算法治理的前端</w:t>
      </w:r>
      <w:r>
        <w:lastRenderedPageBreak/>
        <w:t>階段。</w:t>
      </w:r>
    </w:p>
    <w:p w:rsidR="00044BA7" w:rsidRDefault="00A71920">
      <w:pPr>
        <w:pStyle w:val="2"/>
      </w:pPr>
      <w:r>
        <w:t>表</w:t>
      </w:r>
      <w:r>
        <w:t>3.1</w:t>
      </w:r>
      <w:r>
        <w:t xml:space="preserve">　四條治理鏈的功能邊界、主要承載價值與可觀察判</w:t>
      </w:r>
      <w:proofErr w:type="gramStart"/>
      <w:r>
        <w:t>準</w:t>
      </w:r>
      <w:proofErr w:type="gramEnd"/>
    </w:p>
    <w:tbl>
      <w:tblPr>
        <w:tblW w:w="0" w:type="auto"/>
        <w:jc w:val="center"/>
        <w:tblLook w:val="04A0" w:firstRow="1" w:lastRow="0" w:firstColumn="1" w:lastColumn="0" w:noHBand="0" w:noVBand="1"/>
      </w:tblPr>
      <w:tblGrid>
        <w:gridCol w:w="2256"/>
        <w:gridCol w:w="2256"/>
        <w:gridCol w:w="2256"/>
        <w:gridCol w:w="2256"/>
      </w:tblGrid>
      <w:tr w:rsidR="00044BA7">
        <w:trPr>
          <w:jc w:val="center"/>
        </w:trPr>
        <w:tc>
          <w:tcPr>
            <w:tcW w:w="2256" w:type="dxa"/>
            <w:vAlign w:val="center"/>
          </w:tcPr>
          <w:p w:rsidR="00044BA7" w:rsidRDefault="00A71920">
            <w:r>
              <w:rPr>
                <w:b/>
              </w:rPr>
              <w:t>治理鏈</w:t>
            </w:r>
          </w:p>
        </w:tc>
        <w:tc>
          <w:tcPr>
            <w:tcW w:w="2256" w:type="dxa"/>
            <w:vAlign w:val="center"/>
          </w:tcPr>
          <w:p w:rsidR="00044BA7" w:rsidRDefault="00A71920">
            <w:r>
              <w:rPr>
                <w:b/>
              </w:rPr>
              <w:t>功能與邊界</w:t>
            </w:r>
          </w:p>
        </w:tc>
        <w:tc>
          <w:tcPr>
            <w:tcW w:w="2256" w:type="dxa"/>
            <w:vAlign w:val="center"/>
          </w:tcPr>
          <w:p w:rsidR="00044BA7" w:rsidRDefault="00A71920">
            <w:r>
              <w:rPr>
                <w:b/>
              </w:rPr>
              <w:t>主要承載價值</w:t>
            </w:r>
          </w:p>
        </w:tc>
        <w:tc>
          <w:tcPr>
            <w:tcW w:w="2256" w:type="dxa"/>
            <w:vAlign w:val="center"/>
          </w:tcPr>
          <w:p w:rsidR="00044BA7" w:rsidRDefault="00A71920">
            <w:r>
              <w:rPr>
                <w:b/>
              </w:rPr>
              <w:t>可觀察判</w:t>
            </w:r>
            <w:proofErr w:type="gramStart"/>
            <w:r>
              <w:rPr>
                <w:b/>
              </w:rPr>
              <w:t>準</w:t>
            </w:r>
            <w:proofErr w:type="gramEnd"/>
          </w:p>
        </w:tc>
      </w:tr>
      <w:tr w:rsidR="00044BA7">
        <w:trPr>
          <w:jc w:val="center"/>
        </w:trPr>
        <w:tc>
          <w:tcPr>
            <w:tcW w:w="2256" w:type="dxa"/>
            <w:vAlign w:val="center"/>
          </w:tcPr>
          <w:p w:rsidR="00044BA7" w:rsidRDefault="00A71920">
            <w:r>
              <w:t>情境</w:t>
            </w:r>
            <w:proofErr w:type="gramStart"/>
            <w:r>
              <w:t>建構鏈</w:t>
            </w:r>
            <w:proofErr w:type="gramEnd"/>
          </w:p>
        </w:tc>
        <w:tc>
          <w:tcPr>
            <w:tcW w:w="2256" w:type="dxa"/>
            <w:vAlign w:val="center"/>
          </w:tcPr>
          <w:p w:rsidR="00044BA7" w:rsidRDefault="00A71920">
            <w:r>
              <w:t>決定何種問題、資料、分類與</w:t>
            </w:r>
            <w:proofErr w:type="gramStart"/>
            <w:r>
              <w:t>閾</w:t>
            </w:r>
            <w:proofErr w:type="gramEnd"/>
            <w:r>
              <w:t>值得以進入行政判斷；不處理最終法定決定者。</w:t>
            </w:r>
          </w:p>
        </w:tc>
        <w:tc>
          <w:tcPr>
            <w:tcW w:w="2256" w:type="dxa"/>
            <w:vAlign w:val="center"/>
          </w:tcPr>
          <w:p w:rsidR="00044BA7" w:rsidRDefault="00A71920">
            <w:r>
              <w:t>透明、前端公正</w:t>
            </w:r>
          </w:p>
        </w:tc>
        <w:tc>
          <w:tcPr>
            <w:tcW w:w="2256" w:type="dxa"/>
            <w:vAlign w:val="center"/>
          </w:tcPr>
          <w:p w:rsidR="00044BA7" w:rsidRDefault="00A71920">
            <w:r>
              <w:t>能否追溯資料納入／排除、</w:t>
            </w:r>
            <w:proofErr w:type="gramStart"/>
            <w:r>
              <w:t>重建框定邏輯</w:t>
            </w:r>
            <w:proofErr w:type="gramEnd"/>
            <w:r>
              <w:t>，並對代理變項與閾值提出異議。</w:t>
            </w:r>
          </w:p>
        </w:tc>
      </w:tr>
      <w:tr w:rsidR="00044BA7">
        <w:trPr>
          <w:jc w:val="center"/>
        </w:trPr>
        <w:tc>
          <w:tcPr>
            <w:tcW w:w="2256" w:type="dxa"/>
            <w:vAlign w:val="center"/>
          </w:tcPr>
          <w:p w:rsidR="00044BA7" w:rsidRDefault="00A71920">
            <w:r>
              <w:t>權威鏈</w:t>
            </w:r>
          </w:p>
        </w:tc>
        <w:tc>
          <w:tcPr>
            <w:tcW w:w="2256" w:type="dxa"/>
            <w:vAlign w:val="center"/>
          </w:tcPr>
          <w:p w:rsidR="00044BA7" w:rsidRDefault="00A71920">
            <w:r>
              <w:t>檢查實質影響力與法定授權是否一致；不以有人簽名即視為授權完整。</w:t>
            </w:r>
          </w:p>
        </w:tc>
        <w:tc>
          <w:tcPr>
            <w:tcW w:w="2256" w:type="dxa"/>
            <w:vAlign w:val="center"/>
          </w:tcPr>
          <w:p w:rsidR="00044BA7" w:rsidRDefault="00A71920">
            <w:proofErr w:type="gramStart"/>
            <w:r>
              <w:t>課責</w:t>
            </w:r>
            <w:proofErr w:type="gramEnd"/>
            <w:r>
              <w:t>（制度歸屬）</w:t>
            </w:r>
          </w:p>
        </w:tc>
        <w:tc>
          <w:tcPr>
            <w:tcW w:w="2256" w:type="dxa"/>
            <w:vAlign w:val="center"/>
          </w:tcPr>
          <w:p w:rsidR="00044BA7" w:rsidRDefault="00A71920">
            <w:r>
              <w:t>法定決定者是否能控制實際影響結果的系統、供應商與程序。</w:t>
            </w:r>
          </w:p>
        </w:tc>
      </w:tr>
      <w:tr w:rsidR="00044BA7">
        <w:trPr>
          <w:jc w:val="center"/>
        </w:trPr>
        <w:tc>
          <w:tcPr>
            <w:tcW w:w="2256" w:type="dxa"/>
            <w:vAlign w:val="center"/>
          </w:tcPr>
          <w:p w:rsidR="00044BA7" w:rsidRDefault="00A71920">
            <w:r>
              <w:t>理由鏈</w:t>
            </w:r>
          </w:p>
        </w:tc>
        <w:tc>
          <w:tcPr>
            <w:tcW w:w="2256" w:type="dxa"/>
            <w:vAlign w:val="center"/>
          </w:tcPr>
          <w:p w:rsidR="00044BA7" w:rsidRDefault="00A71920">
            <w:r>
              <w:t>要求個案或政策結果可回連至事實、規範與判斷理由；不等於單純公開技術文件。</w:t>
            </w:r>
          </w:p>
        </w:tc>
        <w:tc>
          <w:tcPr>
            <w:tcW w:w="2256" w:type="dxa"/>
            <w:vAlign w:val="center"/>
          </w:tcPr>
          <w:p w:rsidR="00044BA7" w:rsidRDefault="00A71920">
            <w:r>
              <w:t>負責</w:t>
            </w:r>
          </w:p>
        </w:tc>
        <w:tc>
          <w:tcPr>
            <w:tcW w:w="2256" w:type="dxa"/>
            <w:vAlign w:val="center"/>
          </w:tcPr>
          <w:p w:rsidR="00044BA7" w:rsidRDefault="00A71920">
            <w:r>
              <w:t>決定者能否說明何以採納、拒絕或修正系統輸出。</w:t>
            </w:r>
          </w:p>
        </w:tc>
      </w:tr>
      <w:tr w:rsidR="00044BA7">
        <w:trPr>
          <w:jc w:val="center"/>
        </w:trPr>
        <w:tc>
          <w:tcPr>
            <w:tcW w:w="2256" w:type="dxa"/>
            <w:vAlign w:val="center"/>
          </w:tcPr>
          <w:p w:rsidR="00044BA7" w:rsidRDefault="00A71920">
            <w:r>
              <w:t>責任鏈</w:t>
            </w:r>
          </w:p>
        </w:tc>
        <w:tc>
          <w:tcPr>
            <w:tcW w:w="2256" w:type="dxa"/>
            <w:vAlign w:val="center"/>
          </w:tcPr>
          <w:p w:rsidR="00044BA7" w:rsidRDefault="00A71920">
            <w:r>
              <w:t>處理錯誤發生後的回答、救濟、修正與回饋；不等於事後找出一名替罪者。</w:t>
            </w:r>
          </w:p>
        </w:tc>
        <w:tc>
          <w:tcPr>
            <w:tcW w:w="2256" w:type="dxa"/>
            <w:vAlign w:val="center"/>
          </w:tcPr>
          <w:p w:rsidR="00044BA7" w:rsidRDefault="00A71920">
            <w:proofErr w:type="gramStart"/>
            <w:r>
              <w:t>課責</w:t>
            </w:r>
            <w:proofErr w:type="gramEnd"/>
            <w:r>
              <w:t>（救濟修正）</w:t>
            </w:r>
          </w:p>
        </w:tc>
        <w:tc>
          <w:tcPr>
            <w:tcW w:w="2256" w:type="dxa"/>
            <w:vAlign w:val="center"/>
          </w:tcPr>
          <w:p w:rsidR="00044BA7" w:rsidRDefault="00A71920">
            <w:r>
              <w:t>是否有具名回答者、可及時修正的程序，及回饋前端設定的紀錄。</w:t>
            </w:r>
          </w:p>
        </w:tc>
      </w:tr>
    </w:tbl>
    <w:p w:rsidR="00044BA7" w:rsidRDefault="00A71920">
      <w:pPr>
        <w:pStyle w:val="2"/>
      </w:pPr>
      <w:r>
        <w:t>判讀規則：一項價值的「主要承載」意指該價值首先可在</w:t>
      </w:r>
      <w:proofErr w:type="gramStart"/>
      <w:r>
        <w:t>該鏈被直接</w:t>
      </w:r>
      <w:proofErr w:type="gramEnd"/>
      <w:r>
        <w:t>觀察，不表示它只在該鏈發生；「次要溢出」則指上游鏈的缺陷，使其他鏈已無法履行其本應承擔的功能。故本文不以四</w:t>
      </w:r>
      <w:proofErr w:type="gramStart"/>
      <w:r>
        <w:t>值對四鏈逐格</w:t>
      </w:r>
      <w:proofErr w:type="gramEnd"/>
      <w:r>
        <w:t>打分，也不以單一鏈的良好表現抵銷其他鏈的斷裂。</w:t>
      </w:r>
    </w:p>
    <w:p w:rsidR="00383A90" w:rsidRDefault="007241BF">
      <w:pPr>
        <w:spacing w:after="200" w:line="360" w:lineRule="auto"/>
        <w:jc w:val="both"/>
      </w:pPr>
      <w:r>
        <w:t>本文採取的對應關係,刻意避免與P1/P2/P3做固定的一對</w:t>
      </w:r>
      <w:proofErr w:type="gramStart"/>
      <w:r>
        <w:t>一</w:t>
      </w:r>
      <w:proofErr w:type="gramEnd"/>
      <w:r>
        <w:t>綁定,理由有二:一是母架構本身明言三種權力移轉「</w:t>
      </w:r>
      <w:proofErr w:type="gramStart"/>
      <w:r>
        <w:t>不</w:t>
      </w:r>
      <w:proofErr w:type="gramEnd"/>
      <w:r>
        <w:t>必然依序發生」,若強行對應會製造與既有系列論文的內部矛盾;二是實務上單一權力移轉(如P1)往往同時衝擊</w:t>
      </w:r>
      <w:proofErr w:type="gramStart"/>
      <w:r>
        <w:t>多條鏈</w:t>
      </w:r>
      <w:proofErr w:type="gramEnd"/>
      <w:r>
        <w:t>,而非僅限於其主要對應的那一條。因此,下表呈現的是「主要承載」而非「排他對應」。</w:t>
      </w:r>
    </w:p>
    <w:tbl>
      <w:tblPr>
        <w:tblW w:w="8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2000"/>
        <w:gridCol w:w="2900"/>
        <w:gridCol w:w="2500"/>
      </w:tblGrid>
      <w:tr w:rsidR="00383A90">
        <w:tc>
          <w:tcPr>
            <w:tcW w:w="1500" w:type="dxa"/>
            <w:shd w:val="clear" w:color="auto" w:fill="E8E8E8"/>
            <w:tcMar>
              <w:top w:w="80" w:type="dxa"/>
              <w:left w:w="100" w:type="dxa"/>
              <w:bottom w:w="80" w:type="dxa"/>
              <w:right w:w="100" w:type="dxa"/>
            </w:tcMar>
          </w:tcPr>
          <w:p w:rsidR="00383A90" w:rsidRDefault="007241BF">
            <w:r>
              <w:rPr>
                <w:b/>
                <w:bCs/>
                <w:sz w:val="20"/>
                <w:szCs w:val="20"/>
              </w:rPr>
              <w:lastRenderedPageBreak/>
              <w:t>治理鏈</w:t>
            </w:r>
          </w:p>
        </w:tc>
        <w:tc>
          <w:tcPr>
            <w:tcW w:w="2000" w:type="dxa"/>
            <w:shd w:val="clear" w:color="auto" w:fill="E8E8E8"/>
            <w:tcMar>
              <w:top w:w="80" w:type="dxa"/>
              <w:left w:w="100" w:type="dxa"/>
              <w:bottom w:w="80" w:type="dxa"/>
              <w:right w:w="100" w:type="dxa"/>
            </w:tcMar>
          </w:tcPr>
          <w:p w:rsidR="00383A90" w:rsidRDefault="007241BF">
            <w:r>
              <w:rPr>
                <w:b/>
                <w:bCs/>
                <w:sz w:val="20"/>
                <w:szCs w:val="20"/>
              </w:rPr>
              <w:t>主要承載之核心價值</w:t>
            </w:r>
          </w:p>
        </w:tc>
        <w:tc>
          <w:tcPr>
            <w:tcW w:w="2900" w:type="dxa"/>
            <w:shd w:val="clear" w:color="auto" w:fill="E8E8E8"/>
            <w:tcMar>
              <w:top w:w="80" w:type="dxa"/>
              <w:left w:w="100" w:type="dxa"/>
              <w:bottom w:w="80" w:type="dxa"/>
              <w:right w:w="100" w:type="dxa"/>
            </w:tcMar>
          </w:tcPr>
          <w:p w:rsidR="00383A90" w:rsidRDefault="007241BF">
            <w:r>
              <w:rPr>
                <w:b/>
                <w:bCs/>
                <w:sz w:val="20"/>
                <w:szCs w:val="20"/>
              </w:rPr>
              <w:t>次要溢出影響</w:t>
            </w:r>
          </w:p>
        </w:tc>
        <w:tc>
          <w:tcPr>
            <w:tcW w:w="2500" w:type="dxa"/>
            <w:shd w:val="clear" w:color="auto" w:fill="E8E8E8"/>
            <w:tcMar>
              <w:top w:w="80" w:type="dxa"/>
              <w:left w:w="100" w:type="dxa"/>
              <w:bottom w:w="80" w:type="dxa"/>
              <w:right w:w="100" w:type="dxa"/>
            </w:tcMar>
          </w:tcPr>
          <w:p w:rsidR="00383A90" w:rsidRDefault="007241BF">
            <w:r>
              <w:rPr>
                <w:b/>
                <w:bCs/>
                <w:sz w:val="20"/>
                <w:szCs w:val="20"/>
              </w:rPr>
              <w:t>規範性標準</w:t>
            </w:r>
          </w:p>
        </w:tc>
      </w:tr>
      <w:tr w:rsidR="00383A90">
        <w:tc>
          <w:tcPr>
            <w:tcW w:w="1500" w:type="dxa"/>
            <w:tcMar>
              <w:top w:w="80" w:type="dxa"/>
              <w:left w:w="100" w:type="dxa"/>
              <w:bottom w:w="80" w:type="dxa"/>
              <w:right w:w="100" w:type="dxa"/>
            </w:tcMar>
          </w:tcPr>
          <w:p w:rsidR="00383A90" w:rsidRDefault="007241BF">
            <w:r>
              <w:rPr>
                <w:sz w:val="20"/>
                <w:szCs w:val="20"/>
              </w:rPr>
              <w:t>情境</w:t>
            </w:r>
            <w:proofErr w:type="gramStart"/>
            <w:r>
              <w:rPr>
                <w:sz w:val="20"/>
                <w:szCs w:val="20"/>
              </w:rPr>
              <w:t>建構鏈</w:t>
            </w:r>
            <w:proofErr w:type="gramEnd"/>
          </w:p>
        </w:tc>
        <w:tc>
          <w:tcPr>
            <w:tcW w:w="2000" w:type="dxa"/>
            <w:tcMar>
              <w:top w:w="80" w:type="dxa"/>
              <w:left w:w="100" w:type="dxa"/>
              <w:bottom w:w="80" w:type="dxa"/>
              <w:right w:w="100" w:type="dxa"/>
            </w:tcMar>
          </w:tcPr>
          <w:p w:rsidR="00383A90" w:rsidRDefault="007241BF">
            <w:r>
              <w:rPr>
                <w:sz w:val="20"/>
                <w:szCs w:val="20"/>
              </w:rPr>
              <w:t>透明、前端公正</w:t>
            </w:r>
          </w:p>
        </w:tc>
        <w:tc>
          <w:tcPr>
            <w:tcW w:w="2900" w:type="dxa"/>
            <w:tcMar>
              <w:top w:w="80" w:type="dxa"/>
              <w:left w:w="100" w:type="dxa"/>
              <w:bottom w:w="80" w:type="dxa"/>
              <w:right w:w="100" w:type="dxa"/>
            </w:tcMar>
          </w:tcPr>
          <w:p w:rsidR="00383A90" w:rsidRDefault="007241BF">
            <w:r>
              <w:rPr>
                <w:sz w:val="20"/>
                <w:szCs w:val="20"/>
              </w:rPr>
              <w:t>可延伸影響負責(理由能否連回情境)、</w:t>
            </w:r>
            <w:proofErr w:type="gramStart"/>
            <w:r>
              <w:rPr>
                <w:sz w:val="20"/>
                <w:szCs w:val="20"/>
              </w:rPr>
              <w:t>課責</w:t>
            </w:r>
            <w:proofErr w:type="gramEnd"/>
            <w:r>
              <w:rPr>
                <w:sz w:val="20"/>
                <w:szCs w:val="20"/>
              </w:rPr>
              <w:t>(錯誤根源能否溯及情境設定)</w:t>
            </w:r>
          </w:p>
        </w:tc>
        <w:tc>
          <w:tcPr>
            <w:tcW w:w="2500" w:type="dxa"/>
            <w:tcMar>
              <w:top w:w="80" w:type="dxa"/>
              <w:left w:w="100" w:type="dxa"/>
              <w:bottom w:w="80" w:type="dxa"/>
              <w:right w:w="100" w:type="dxa"/>
            </w:tcMar>
          </w:tcPr>
          <w:p w:rsidR="00383A90" w:rsidRDefault="007241BF">
            <w:r>
              <w:rPr>
                <w:sz w:val="20"/>
                <w:szCs w:val="20"/>
              </w:rPr>
              <w:t>可追溯性、可質疑性、可修正性(承②之C1三要素)</w:t>
            </w:r>
          </w:p>
        </w:tc>
      </w:tr>
      <w:tr w:rsidR="00383A90">
        <w:tc>
          <w:tcPr>
            <w:tcW w:w="1500" w:type="dxa"/>
            <w:tcMar>
              <w:top w:w="80" w:type="dxa"/>
              <w:left w:w="100" w:type="dxa"/>
              <w:bottom w:w="80" w:type="dxa"/>
              <w:right w:w="100" w:type="dxa"/>
            </w:tcMar>
          </w:tcPr>
          <w:p w:rsidR="00383A90" w:rsidRDefault="007241BF">
            <w:r>
              <w:rPr>
                <w:sz w:val="20"/>
                <w:szCs w:val="20"/>
              </w:rPr>
              <w:t>權威鏈</w:t>
            </w:r>
          </w:p>
        </w:tc>
        <w:tc>
          <w:tcPr>
            <w:tcW w:w="2000" w:type="dxa"/>
            <w:tcMar>
              <w:top w:w="80" w:type="dxa"/>
              <w:left w:w="100" w:type="dxa"/>
              <w:bottom w:w="80" w:type="dxa"/>
              <w:right w:w="100" w:type="dxa"/>
            </w:tcMar>
          </w:tcPr>
          <w:p w:rsidR="00383A90" w:rsidRDefault="007241BF">
            <w:proofErr w:type="gramStart"/>
            <w:r>
              <w:rPr>
                <w:sz w:val="20"/>
                <w:szCs w:val="20"/>
              </w:rPr>
              <w:t>課責</w:t>
            </w:r>
            <w:proofErr w:type="gramEnd"/>
            <w:r>
              <w:rPr>
                <w:sz w:val="20"/>
                <w:szCs w:val="20"/>
              </w:rPr>
              <w:t>(制度歸屬面)</w:t>
            </w:r>
          </w:p>
        </w:tc>
        <w:tc>
          <w:tcPr>
            <w:tcW w:w="2900" w:type="dxa"/>
            <w:tcMar>
              <w:top w:w="80" w:type="dxa"/>
              <w:left w:w="100" w:type="dxa"/>
              <w:bottom w:w="80" w:type="dxa"/>
              <w:right w:w="100" w:type="dxa"/>
            </w:tcMar>
          </w:tcPr>
          <w:p w:rsidR="00383A90" w:rsidRDefault="007241BF">
            <w:r>
              <w:rPr>
                <w:sz w:val="20"/>
                <w:szCs w:val="20"/>
              </w:rPr>
              <w:t>若P1暴露高而情境</w:t>
            </w:r>
            <w:proofErr w:type="gramStart"/>
            <w:r>
              <w:rPr>
                <w:sz w:val="20"/>
                <w:szCs w:val="20"/>
              </w:rPr>
              <w:t>建構鏈斷裂</w:t>
            </w:r>
            <w:proofErr w:type="gramEnd"/>
            <w:r>
              <w:rPr>
                <w:sz w:val="20"/>
                <w:szCs w:val="20"/>
              </w:rPr>
              <w:t>,權威鏈的簽核可能形式化</w:t>
            </w:r>
          </w:p>
        </w:tc>
        <w:tc>
          <w:tcPr>
            <w:tcW w:w="2500" w:type="dxa"/>
            <w:tcMar>
              <w:top w:w="80" w:type="dxa"/>
              <w:left w:w="100" w:type="dxa"/>
              <w:bottom w:w="80" w:type="dxa"/>
              <w:right w:w="100" w:type="dxa"/>
            </w:tcMar>
          </w:tcPr>
          <w:p w:rsidR="00383A90" w:rsidRDefault="007241BF">
            <w:r>
              <w:rPr>
                <w:sz w:val="20"/>
                <w:szCs w:val="20"/>
              </w:rPr>
              <w:t>法定決定者與實際影響力來源是否重合(對應母架構「權威重構」效應)</w:t>
            </w:r>
          </w:p>
        </w:tc>
      </w:tr>
      <w:tr w:rsidR="00383A90">
        <w:tc>
          <w:tcPr>
            <w:tcW w:w="1500" w:type="dxa"/>
            <w:tcMar>
              <w:top w:w="80" w:type="dxa"/>
              <w:left w:w="100" w:type="dxa"/>
              <w:bottom w:w="80" w:type="dxa"/>
              <w:right w:w="100" w:type="dxa"/>
            </w:tcMar>
          </w:tcPr>
          <w:p w:rsidR="00383A90" w:rsidRDefault="007241BF">
            <w:r>
              <w:rPr>
                <w:sz w:val="20"/>
                <w:szCs w:val="20"/>
              </w:rPr>
              <w:t>理由鏈</w:t>
            </w:r>
          </w:p>
        </w:tc>
        <w:tc>
          <w:tcPr>
            <w:tcW w:w="2000" w:type="dxa"/>
            <w:tcMar>
              <w:top w:w="80" w:type="dxa"/>
              <w:left w:w="100" w:type="dxa"/>
              <w:bottom w:w="80" w:type="dxa"/>
              <w:right w:w="100" w:type="dxa"/>
            </w:tcMar>
          </w:tcPr>
          <w:p w:rsidR="00383A90" w:rsidRDefault="007241BF">
            <w:r>
              <w:rPr>
                <w:sz w:val="20"/>
                <w:szCs w:val="20"/>
              </w:rPr>
              <w:t>負責</w:t>
            </w:r>
          </w:p>
        </w:tc>
        <w:tc>
          <w:tcPr>
            <w:tcW w:w="2900" w:type="dxa"/>
            <w:tcMar>
              <w:top w:w="80" w:type="dxa"/>
              <w:left w:w="100" w:type="dxa"/>
              <w:bottom w:w="80" w:type="dxa"/>
              <w:right w:w="100" w:type="dxa"/>
            </w:tcMar>
          </w:tcPr>
          <w:p w:rsidR="00383A90" w:rsidRDefault="007241BF">
            <w:r>
              <w:rPr>
                <w:sz w:val="20"/>
                <w:szCs w:val="20"/>
              </w:rPr>
              <w:t>依賴情境</w:t>
            </w:r>
            <w:proofErr w:type="gramStart"/>
            <w:r>
              <w:rPr>
                <w:sz w:val="20"/>
                <w:szCs w:val="20"/>
              </w:rPr>
              <w:t>建構鏈是否</w:t>
            </w:r>
            <w:proofErr w:type="gramEnd"/>
            <w:r>
              <w:rPr>
                <w:sz w:val="20"/>
                <w:szCs w:val="20"/>
              </w:rPr>
              <w:t>提供可追溯的事實基礎</w:t>
            </w:r>
          </w:p>
        </w:tc>
        <w:tc>
          <w:tcPr>
            <w:tcW w:w="2500" w:type="dxa"/>
            <w:tcMar>
              <w:top w:w="80" w:type="dxa"/>
              <w:left w:w="100" w:type="dxa"/>
              <w:bottom w:w="80" w:type="dxa"/>
              <w:right w:w="100" w:type="dxa"/>
            </w:tcMar>
          </w:tcPr>
          <w:p w:rsidR="00383A90" w:rsidRDefault="007241BF">
            <w:r>
              <w:rPr>
                <w:sz w:val="20"/>
                <w:szCs w:val="20"/>
              </w:rPr>
              <w:t>決定能否連回事實、資料、模型、規範與價值判斷</w:t>
            </w:r>
          </w:p>
        </w:tc>
      </w:tr>
      <w:tr w:rsidR="00383A90">
        <w:tc>
          <w:tcPr>
            <w:tcW w:w="1500" w:type="dxa"/>
            <w:tcMar>
              <w:top w:w="80" w:type="dxa"/>
              <w:left w:w="100" w:type="dxa"/>
              <w:bottom w:w="80" w:type="dxa"/>
              <w:right w:w="100" w:type="dxa"/>
            </w:tcMar>
          </w:tcPr>
          <w:p w:rsidR="00383A90" w:rsidRDefault="007241BF">
            <w:r>
              <w:rPr>
                <w:sz w:val="20"/>
                <w:szCs w:val="20"/>
              </w:rPr>
              <w:t>責任鏈</w:t>
            </w:r>
          </w:p>
        </w:tc>
        <w:tc>
          <w:tcPr>
            <w:tcW w:w="2000" w:type="dxa"/>
            <w:tcMar>
              <w:top w:w="80" w:type="dxa"/>
              <w:left w:w="100" w:type="dxa"/>
              <w:bottom w:w="80" w:type="dxa"/>
              <w:right w:w="100" w:type="dxa"/>
            </w:tcMar>
          </w:tcPr>
          <w:p w:rsidR="00383A90" w:rsidRDefault="007241BF">
            <w:proofErr w:type="gramStart"/>
            <w:r>
              <w:rPr>
                <w:sz w:val="20"/>
                <w:szCs w:val="20"/>
              </w:rPr>
              <w:t>課責</w:t>
            </w:r>
            <w:proofErr w:type="gramEnd"/>
            <w:r>
              <w:rPr>
                <w:sz w:val="20"/>
                <w:szCs w:val="20"/>
              </w:rPr>
              <w:t>(救濟修正面)</w:t>
            </w:r>
          </w:p>
        </w:tc>
        <w:tc>
          <w:tcPr>
            <w:tcW w:w="2900" w:type="dxa"/>
            <w:tcMar>
              <w:top w:w="80" w:type="dxa"/>
              <w:left w:w="100" w:type="dxa"/>
              <w:bottom w:w="80" w:type="dxa"/>
              <w:right w:w="100" w:type="dxa"/>
            </w:tcMar>
          </w:tcPr>
          <w:p w:rsidR="00383A90" w:rsidRDefault="007241BF">
            <w:r>
              <w:rPr>
                <w:sz w:val="20"/>
                <w:szCs w:val="20"/>
              </w:rPr>
              <w:t>救濟結果若未反饋修正P1端設定,</w:t>
            </w:r>
            <w:proofErr w:type="gramStart"/>
            <w:r>
              <w:rPr>
                <w:sz w:val="20"/>
                <w:szCs w:val="20"/>
              </w:rPr>
              <w:t>課責即流</w:t>
            </w:r>
            <w:proofErr w:type="gramEnd"/>
            <w:r>
              <w:rPr>
                <w:sz w:val="20"/>
                <w:szCs w:val="20"/>
              </w:rPr>
              <w:t>於一次性懲罰而非系統學習</w:t>
            </w:r>
          </w:p>
        </w:tc>
        <w:tc>
          <w:tcPr>
            <w:tcW w:w="2500" w:type="dxa"/>
            <w:tcMar>
              <w:top w:w="80" w:type="dxa"/>
              <w:left w:w="100" w:type="dxa"/>
              <w:bottom w:w="80" w:type="dxa"/>
              <w:right w:w="100" w:type="dxa"/>
            </w:tcMar>
          </w:tcPr>
          <w:p w:rsidR="00383A90" w:rsidRDefault="007241BF">
            <w:r>
              <w:rPr>
                <w:sz w:val="20"/>
                <w:szCs w:val="20"/>
              </w:rPr>
              <w:t>錯誤發生時是否有明確回答者、修正機制、是否反饋前端</w:t>
            </w:r>
          </w:p>
        </w:tc>
      </w:tr>
    </w:tbl>
    <w:p w:rsidR="00383A90" w:rsidRDefault="007241BF">
      <w:pPr>
        <w:pStyle w:val="2"/>
        <w:spacing w:before="300" w:after="200"/>
      </w:pPr>
      <w:r>
        <w:t>四、價值衝突與溢出：發生</w:t>
      </w:r>
      <w:proofErr w:type="gramStart"/>
      <w:r>
        <w:t>於鏈與鏈</w:t>
      </w:r>
      <w:proofErr w:type="gramEnd"/>
      <w:r>
        <w:t>的交界</w:t>
      </w:r>
    </w:p>
    <w:p w:rsidR="00383A90" w:rsidRDefault="007241BF">
      <w:pPr>
        <w:spacing w:after="200" w:line="360" w:lineRule="auto"/>
        <w:jc w:val="both"/>
      </w:pPr>
      <w:r>
        <w:t>四大價值的零和衝突(例如提高透明度卻傷害個案隱私與公正),多半不是發生在單一鏈</w:t>
      </w:r>
      <w:proofErr w:type="gramStart"/>
      <w:r>
        <w:t>內部,而是</w:t>
      </w:r>
      <w:proofErr w:type="gramEnd"/>
      <w:r>
        <w:t>發生在上游鏈的斷裂被</w:t>
      </w:r>
      <w:proofErr w:type="gramStart"/>
      <w:r>
        <w:t>下游鏈以扭</w:t>
      </w:r>
      <w:proofErr w:type="gramEnd"/>
      <w:r>
        <w:t>曲方式「吸收」的時候——SyRI與Robodebt正是典型:情境</w:t>
      </w:r>
      <w:proofErr w:type="gramStart"/>
      <w:r>
        <w:t>建構鏈的</w:t>
      </w:r>
      <w:proofErr w:type="gramEnd"/>
      <w:r>
        <w:t>斷裂(P1高暴露、C1低完整度)沒有在權威鏈或</w:t>
      </w:r>
      <w:proofErr w:type="gramStart"/>
      <w:r>
        <w:t>理由鏈被攔</w:t>
      </w:r>
      <w:proofErr w:type="gramEnd"/>
      <w:r>
        <w:t>截,而是直接下沉到責任鏈,以個案損害的形式爆發。這也是為什麼二十五座標在此只作定位(標定衝突發生在哪一分析層次/單位),而不宜做成計分工具</w:t>
      </w:r>
      <w:proofErr w:type="gramStart"/>
      <w:r>
        <w:t>—</w:t>
      </w:r>
      <w:proofErr w:type="gramEnd"/>
      <w:r>
        <w:t>—衝突的實質內容由四鏈的斷裂點決定,二十五座標只負責告訴讀者「衝突發生在管理運作×個人,還是政策體系×社會」。</w:t>
      </w:r>
    </w:p>
    <w:p w:rsidR="00383A90" w:rsidRDefault="007241BF">
      <w:pPr>
        <w:spacing w:before="200" w:after="80"/>
        <w:jc w:val="center"/>
      </w:pPr>
      <w:r>
        <w:rPr>
          <w:noProof/>
        </w:rPr>
        <w:lastRenderedPageBreak/>
        <w:drawing>
          <wp:inline distT="0" distB="0" distL="0" distR="0">
            <wp:extent cx="5334000" cy="220027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334000" cy="2200275"/>
                    </a:xfrm>
                    <a:prstGeom prst="rect">
                      <a:avLst/>
                    </a:prstGeom>
                  </pic:spPr>
                </pic:pic>
              </a:graphicData>
            </a:graphic>
          </wp:inline>
        </w:drawing>
      </w:r>
    </w:p>
    <w:p w:rsidR="00383A90" w:rsidRDefault="007241BF">
      <w:pPr>
        <w:spacing w:after="240"/>
        <w:jc w:val="center"/>
      </w:pPr>
      <w:r>
        <w:rPr>
          <w:i/>
          <w:iCs/>
          <w:color w:val="555555"/>
          <w:sz w:val="18"/>
          <w:szCs w:val="18"/>
        </w:rPr>
        <w:t>圖3.1　四條治理鏈之核心提問與典型斷裂型態(沿用自本系列既有圖表,標定四鏈之典型斷裂型態)</w:t>
      </w:r>
    </w:p>
    <w:p w:rsidR="00383A90" w:rsidRDefault="007241BF">
      <w:pPr>
        <w:spacing w:after="200" w:line="360" w:lineRule="auto"/>
        <w:jc w:val="both"/>
      </w:pPr>
      <w:r>
        <w:t>上圖將四鏈的病理具體命名:情境</w:t>
      </w:r>
      <w:proofErr w:type="gramStart"/>
      <w:r>
        <w:t>建構鏈的</w:t>
      </w:r>
      <w:proofErr w:type="gramEnd"/>
      <w:r>
        <w:t>典型斷裂是「</w:t>
      </w:r>
      <w:proofErr w:type="gramStart"/>
      <w:r>
        <w:t>演算法框定</w:t>
      </w:r>
      <w:proofErr w:type="gramEnd"/>
      <w:r>
        <w:t>權取代民主討論」,權威鏈是「AI事實影響力取代制度授權」,理由鏈是「非線性推論使理由說明義務無法履行,形成黑箱斷裂」,</w:t>
      </w:r>
      <w:proofErr w:type="gramStart"/>
      <w:r>
        <w:t>責任鏈則</w:t>
      </w:r>
      <w:proofErr w:type="gramEnd"/>
      <w:r>
        <w:t>是「責任散落於廠商、工程師與公務員</w:t>
      </w:r>
      <w:proofErr w:type="gramStart"/>
      <w:r>
        <w:t>之間</w:t>
      </w:r>
      <w:proofErr w:type="gramEnd"/>
      <w:r>
        <w:t>,形成歸責真空」。四大價值的崩潰,往往正是沿著這些既定的斷裂型態發生,而非隨機</w:t>
      </w:r>
      <w:proofErr w:type="gramStart"/>
      <w:r>
        <w:t>出現在鏈的</w:t>
      </w:r>
      <w:proofErr w:type="gramEnd"/>
      <w:r>
        <w:t>任意位置。責任鏈上的歸責真空,在Cobbe、Veale與Singh(2023)對「演算法供應鏈」(algorithmic supply chains)</w:t>
      </w:r>
      <w:proofErr w:type="gramStart"/>
      <w:r>
        <w:t>課責的</w:t>
      </w:r>
      <w:proofErr w:type="gramEnd"/>
      <w:r>
        <w:t>分析中有更細緻的刻畫:當一個演算法系統的開發、訓練、部署與</w:t>
      </w:r>
      <w:proofErr w:type="gramStart"/>
      <w:r>
        <w:t>維運分屬</w:t>
      </w:r>
      <w:proofErr w:type="gramEnd"/>
      <w:r>
        <w:t>不同組織與角色,</w:t>
      </w:r>
      <w:proofErr w:type="gramStart"/>
      <w:r>
        <w:t>現行課責機</w:t>
      </w:r>
      <w:proofErr w:type="gramEnd"/>
      <w:r>
        <w:t>制多針對單一行為者設計,難以處理跨組織責任分配的問題——這正是責任鏈之所以需要獨立於</w:t>
      </w:r>
      <w:proofErr w:type="gramStart"/>
      <w:r>
        <w:t>理由鏈被檢</w:t>
      </w:r>
      <w:proofErr w:type="gramEnd"/>
      <w:r>
        <w:t>視的實務理由。</w:t>
      </w:r>
    </w:p>
    <w:p w:rsidR="00383A90" w:rsidRDefault="007241BF">
      <w:pPr>
        <w:pStyle w:val="2"/>
        <w:spacing w:before="300" w:after="200"/>
      </w:pPr>
      <w:r>
        <w:t>五、規範門檻隨P1暴露強度動態調升</w:t>
      </w:r>
    </w:p>
    <w:p w:rsidR="00383A90" w:rsidRDefault="007241BF">
      <w:pPr>
        <w:spacing w:after="200" w:line="360" w:lineRule="auto"/>
        <w:jc w:val="both"/>
      </w:pPr>
      <w:r>
        <w:t>承②之雙階段測量邏輯:本文不要求所有AI系統的四大價值都達到均一的高標準,而是主張規範門檻應隨P1暴露強度動態調升</w:t>
      </w:r>
      <w:proofErr w:type="gramStart"/>
      <w:r>
        <w:t>—</w:t>
      </w:r>
      <w:proofErr w:type="gramEnd"/>
      <w:r>
        <w:t>—暴露強度低的系統(如內部行政效率工具),四鏈的完整度要求可以較寬鬆;暴露強度高、且直接觸發P3公權力效果的系統(如給付資格認定),則四鏈</w:t>
      </w:r>
      <w:proofErr w:type="gramStart"/>
      <w:r>
        <w:t>—</w:t>
      </w:r>
      <w:proofErr w:type="gramEnd"/>
      <w:r>
        <w:t>—尤其是情境</w:t>
      </w:r>
      <w:proofErr w:type="gramStart"/>
      <w:r>
        <w:t>建構鏈</w:t>
      </w:r>
      <w:proofErr w:type="gramEnd"/>
      <w:r>
        <w:t>與責任鏈的銜接——必須達到接近最高的可追溯、可質疑、可修正標準。</w:t>
      </w:r>
    </w:p>
    <w:p w:rsidR="00383A90" w:rsidRDefault="007241BF">
      <w:pPr>
        <w:spacing w:before="200" w:after="80"/>
        <w:jc w:val="center"/>
      </w:pPr>
      <w:r>
        <w:rPr>
          <w:noProof/>
        </w:rPr>
        <w:lastRenderedPageBreak/>
        <w:drawing>
          <wp:inline distT="0" distB="0" distL="0" distR="0">
            <wp:extent cx="5334000" cy="389572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5334000" cy="3895725"/>
                    </a:xfrm>
                    <a:prstGeom prst="rect">
                      <a:avLst/>
                    </a:prstGeom>
                  </pic:spPr>
                </pic:pic>
              </a:graphicData>
            </a:graphic>
          </wp:inline>
        </w:drawing>
      </w:r>
    </w:p>
    <w:p w:rsidR="00383A90" w:rsidRDefault="007241BF">
      <w:pPr>
        <w:spacing w:after="240"/>
        <w:jc w:val="center"/>
      </w:pPr>
      <w:r>
        <w:rPr>
          <w:i/>
          <w:iCs/>
          <w:color w:val="555555"/>
          <w:sz w:val="18"/>
          <w:szCs w:val="18"/>
        </w:rPr>
        <w:t>圖3.2　P1暴露強度與四大價值規範門檻動態調升階梯圖(本文原創;AFST、SyRI、Robodebt之P1暴露位置取自②之示範重評分)</w:t>
      </w:r>
    </w:p>
    <w:p w:rsidR="00383A90" w:rsidRDefault="007241BF">
      <w:pPr>
        <w:spacing w:after="200" w:line="360" w:lineRule="auto"/>
        <w:jc w:val="both"/>
      </w:pPr>
      <w:r>
        <w:t>上圖</w:t>
      </w:r>
      <w:proofErr w:type="gramStart"/>
      <w:r>
        <w:t>將肆節</w:t>
      </w:r>
      <w:proofErr w:type="gramEnd"/>
      <w:r>
        <w:t>三案例的P1暴露分數標定在階梯上:AFST(2.4)落於中高暴露區間,SyRI(3.0)與Robodebt(3.8)則落於高暴露區間,理應適用最嚴格</w:t>
      </w:r>
      <w:proofErr w:type="gramStart"/>
      <w:r>
        <w:t>的框定異議</w:t>
      </w:r>
      <w:proofErr w:type="gramEnd"/>
      <w:r>
        <w:t>與修正實績標準—</w:t>
      </w:r>
      <w:proofErr w:type="gramStart"/>
      <w:r>
        <w:t>—但肆</w:t>
      </w:r>
      <w:proofErr w:type="gramEnd"/>
      <w:r>
        <w:t>節將顯示,三案例在此區間的實際表現與應有標準</w:t>
      </w:r>
      <w:proofErr w:type="gramStart"/>
      <w:r>
        <w:t>之間</w:t>
      </w:r>
      <w:proofErr w:type="gramEnd"/>
      <w:r>
        <w:t>,存在不同程度的落差。</w:t>
      </w:r>
    </w:p>
    <w:p w:rsidR="00383A90" w:rsidRDefault="007241BF">
      <w:r>
        <w:br w:type="page"/>
      </w:r>
    </w:p>
    <w:p w:rsidR="00383A90" w:rsidRDefault="007241BF">
      <w:pPr>
        <w:pStyle w:val="1"/>
        <w:spacing w:before="300" w:after="200"/>
      </w:pPr>
      <w:r>
        <w:rPr>
          <w:b/>
          <w:bCs/>
        </w:rPr>
        <w:lastRenderedPageBreak/>
        <w:t>肆、案例操作:以四大價值鏈斷裂點重新解讀AFST、SyRI、Robodebt</w:t>
      </w:r>
    </w:p>
    <w:p w:rsidR="00383A90" w:rsidRDefault="007241BF">
      <w:pPr>
        <w:pStyle w:val="2"/>
        <w:spacing w:before="300" w:after="200"/>
      </w:pPr>
      <w:r>
        <w:rPr>
          <w:b/>
          <w:bCs/>
        </w:rPr>
        <w:t>一、資料承接說明</w:t>
      </w:r>
    </w:p>
    <w:p w:rsidR="00383A90" w:rsidRDefault="007241BF">
      <w:pPr>
        <w:spacing w:after="200" w:line="360" w:lineRule="auto"/>
        <w:jc w:val="both"/>
      </w:pPr>
      <w:r>
        <w:t>本節不重新選案、不重新編碼,直接沿用②已完成的P1暴露與C1完整度示範重編碼(原文表7、表8)。差異在於:②的分析單位是「情境建構鏈本身有多完整」,本文則進一步追問「C1十二指標的高低分佈,分別對應哪一種價值的失守,以及失守如何溢出到情境建構鏈以外的其他三條鏈」。這是資料再利用,不是重新測量。</w:t>
      </w:r>
      <w:proofErr w:type="gramStart"/>
      <w:r>
        <w:t>三</w:t>
      </w:r>
      <w:proofErr w:type="gramEnd"/>
      <w:r>
        <w:t>案例之基礎文件分屬三種不同性質:AFST的系統設計說明主要來自開發機關自身出版品(Allegheny County Department of Human Services, 2017, 2018),SyRI則以司法判決書為核心文件,Robodebt則以官方調查報告為核心文件</w:t>
      </w:r>
      <w:proofErr w:type="gramStart"/>
      <w:r>
        <w:t>—</w:t>
      </w:r>
      <w:proofErr w:type="gramEnd"/>
      <w:r>
        <w:t>—這三種文件性質的落差,本身即</w:t>
      </w:r>
      <w:proofErr w:type="gramStart"/>
      <w:r>
        <w:t>是肆節後</w:t>
      </w:r>
      <w:proofErr w:type="gramEnd"/>
      <w:r>
        <w:t>續解讀「可觀察</w:t>
      </w:r>
      <w:proofErr w:type="gramStart"/>
      <w:r>
        <w:t>性偏</w:t>
      </w:r>
      <w:proofErr w:type="gramEnd"/>
      <w:r>
        <w:t>誤」的伏筆。</w:t>
      </w:r>
    </w:p>
    <w:p w:rsidR="00383A90" w:rsidRDefault="007241BF">
      <w:pPr>
        <w:spacing w:before="200" w:after="80"/>
        <w:jc w:val="center"/>
      </w:pPr>
      <w:r>
        <w:rPr>
          <w:noProof/>
        </w:rPr>
        <w:drawing>
          <wp:inline distT="0" distB="0" distL="0" distR="0">
            <wp:extent cx="5057775" cy="317182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057775" cy="3171825"/>
                    </a:xfrm>
                    <a:prstGeom prst="rect">
                      <a:avLst/>
                    </a:prstGeom>
                  </pic:spPr>
                </pic:pic>
              </a:graphicData>
            </a:graphic>
          </wp:inline>
        </w:drawing>
      </w:r>
    </w:p>
    <w:p w:rsidR="00383A90" w:rsidRDefault="007241BF">
      <w:pPr>
        <w:spacing w:after="240"/>
        <w:jc w:val="center"/>
      </w:pPr>
      <w:r>
        <w:rPr>
          <w:i/>
          <w:iCs/>
          <w:color w:val="555555"/>
          <w:sz w:val="18"/>
          <w:szCs w:val="18"/>
        </w:rPr>
        <w:t>圖4.1　四條治理鏈之串接與典型斷裂點:AFST、SyRI、Robodebt三案例斷裂位置總</w:t>
      </w:r>
      <w:proofErr w:type="gramStart"/>
      <w:r>
        <w:rPr>
          <w:i/>
          <w:iCs/>
          <w:color w:val="555555"/>
          <w:sz w:val="18"/>
          <w:szCs w:val="18"/>
        </w:rPr>
        <w:t>覽</w:t>
      </w:r>
      <w:proofErr w:type="gramEnd"/>
      <w:r>
        <w:rPr>
          <w:i/>
          <w:iCs/>
          <w:color w:val="555555"/>
          <w:sz w:val="18"/>
          <w:szCs w:val="18"/>
        </w:rPr>
        <w:t>(沿用自本系列既有圖表)</w:t>
      </w:r>
    </w:p>
    <w:p w:rsidR="00383A90" w:rsidRDefault="007241BF">
      <w:pPr>
        <w:spacing w:after="200" w:line="360" w:lineRule="auto"/>
        <w:jc w:val="both"/>
      </w:pPr>
      <w:r>
        <w:t>上圖標出三案例主要斷裂落在四鏈上的位置:AFST主要落於情境</w:t>
      </w:r>
      <w:proofErr w:type="gramStart"/>
      <w:r>
        <w:t>建構鏈</w:t>
      </w:r>
      <w:proofErr w:type="gramEnd"/>
      <w:r>
        <w:t>(資料代表性、裁量邊界審計待強化);SyRI落於權威鏈與隱私審計交界(裁量邊界、</w:t>
      </w:r>
      <w:proofErr w:type="gramStart"/>
      <w:r>
        <w:t>民主課責審</w:t>
      </w:r>
      <w:r>
        <w:lastRenderedPageBreak/>
        <w:t>計</w:t>
      </w:r>
      <w:proofErr w:type="gramEnd"/>
      <w:r>
        <w:t>);Robodebt則落於理由鏈與責任鏈交界(責任歸屬、組織能力審計)。</w:t>
      </w:r>
      <w:proofErr w:type="gramStart"/>
      <w:r>
        <w:t>以下逐</w:t>
      </w:r>
      <w:proofErr w:type="gramEnd"/>
      <w:r>
        <w:t>案展開這三種斷裂的具體機制。</w:t>
      </w:r>
    </w:p>
    <w:p w:rsidR="00383A90" w:rsidRDefault="007241BF">
      <w:pPr>
        <w:pStyle w:val="2"/>
        <w:spacing w:before="300" w:after="200"/>
      </w:pPr>
      <w:r>
        <w:rPr>
          <w:b/>
          <w:bCs/>
        </w:rPr>
        <w:t>二、層次澄清:C1</w:t>
      </w:r>
      <w:proofErr w:type="gramStart"/>
      <w:r>
        <w:rPr>
          <w:b/>
          <w:bCs/>
        </w:rPr>
        <w:t>四</w:t>
      </w:r>
      <w:proofErr w:type="gramEnd"/>
      <w:r>
        <w:rPr>
          <w:b/>
          <w:bCs/>
        </w:rPr>
        <w:t>構面在情境</w:t>
      </w:r>
      <w:proofErr w:type="gramStart"/>
      <w:r>
        <w:rPr>
          <w:b/>
          <w:bCs/>
        </w:rPr>
        <w:t>建構鏈內</w:t>
      </w:r>
      <w:proofErr w:type="gramEnd"/>
      <w:r>
        <w:rPr>
          <w:b/>
          <w:bCs/>
        </w:rPr>
        <w:t>部的價值分工</w:t>
      </w:r>
    </w:p>
    <w:p w:rsidR="00383A90" w:rsidRDefault="007241BF">
      <w:pPr>
        <w:spacing w:after="200" w:line="360" w:lineRule="auto"/>
        <w:jc w:val="both"/>
      </w:pPr>
      <w:r>
        <w:t>C1的D1至D4(可追溯性、資料納入排除、</w:t>
      </w:r>
      <w:proofErr w:type="gramStart"/>
      <w:r>
        <w:t>框定邏輯</w:t>
      </w:r>
      <w:proofErr w:type="gramEnd"/>
      <w:r>
        <w:t>可重建性、民主檢視與可修正性)全部都在情境建</w:t>
      </w:r>
      <w:proofErr w:type="gramStart"/>
      <w:r>
        <w:t>構鏈內部</w:t>
      </w:r>
      <w:proofErr w:type="gramEnd"/>
      <w:r>
        <w:t>,是同一</w:t>
      </w:r>
      <w:proofErr w:type="gramStart"/>
      <w:r>
        <w:t>條鏈的四個</w:t>
      </w:r>
      <w:proofErr w:type="gramEnd"/>
      <w:r>
        <w:t>構面,不是四條治理鏈。本文在這四</w:t>
      </w:r>
      <w:proofErr w:type="gramStart"/>
      <w:r>
        <w:t>個</w:t>
      </w:r>
      <w:proofErr w:type="gramEnd"/>
      <w:r>
        <w:t>構面之上再疊一層對應:D1、D3(可追溯、可重建)主要承載透明;D2(納入/排除標準與代理風險)主要承載前端公正;D4(民主檢視、異議、修正實績)是前端公正的實質檢驗點,同時是負責</w:t>
      </w:r>
      <w:proofErr w:type="gramStart"/>
      <w:r>
        <w:t>與課責</w:t>
      </w:r>
      <w:proofErr w:type="gramEnd"/>
      <w:r>
        <w:t>能否在後續鏈條成立的前置條件。負責</w:t>
      </w:r>
      <w:proofErr w:type="gramStart"/>
      <w:r>
        <w:t>與課責</w:t>
      </w:r>
      <w:proofErr w:type="gramEnd"/>
      <w:r>
        <w:t>的判定則主要不在C1裡計分,而是觀察C1的斷裂是否溢出到權威鏈、理由鏈、責任鏈。</w:t>
      </w:r>
    </w:p>
    <w:p w:rsidR="00383A90" w:rsidRDefault="007241BF">
      <w:pPr>
        <w:pStyle w:val="2"/>
        <w:spacing w:before="300" w:after="200"/>
      </w:pPr>
      <w:r>
        <w:rPr>
          <w:b/>
          <w:bCs/>
        </w:rPr>
        <w:t>三、三案例的價值斷裂點重新標記</w:t>
      </w:r>
    </w:p>
    <w:tbl>
      <w:tblPr>
        <w:tblW w:w="8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46"/>
        <w:gridCol w:w="1853"/>
        <w:gridCol w:w="1843"/>
        <w:gridCol w:w="2119"/>
        <w:gridCol w:w="1939"/>
      </w:tblGrid>
      <w:tr w:rsidR="00383A90">
        <w:tc>
          <w:tcPr>
            <w:tcW w:w="900" w:type="dxa"/>
            <w:shd w:val="clear" w:color="auto" w:fill="E8E8E8"/>
            <w:tcMar>
              <w:top w:w="80" w:type="dxa"/>
              <w:left w:w="100" w:type="dxa"/>
              <w:bottom w:w="80" w:type="dxa"/>
              <w:right w:w="100" w:type="dxa"/>
            </w:tcMar>
          </w:tcPr>
          <w:p w:rsidR="00383A90" w:rsidRDefault="007241BF">
            <w:r>
              <w:rPr>
                <w:b/>
                <w:bCs/>
                <w:sz w:val="20"/>
                <w:szCs w:val="20"/>
              </w:rPr>
              <w:t>案例</w:t>
            </w:r>
          </w:p>
        </w:tc>
        <w:tc>
          <w:tcPr>
            <w:tcW w:w="1900" w:type="dxa"/>
            <w:shd w:val="clear" w:color="auto" w:fill="E8E8E8"/>
            <w:tcMar>
              <w:top w:w="80" w:type="dxa"/>
              <w:left w:w="100" w:type="dxa"/>
              <w:bottom w:w="80" w:type="dxa"/>
              <w:right w:w="100" w:type="dxa"/>
            </w:tcMar>
          </w:tcPr>
          <w:p w:rsidR="00383A90" w:rsidRDefault="007241BF">
            <w:r>
              <w:rPr>
                <w:b/>
                <w:bCs/>
                <w:sz w:val="20"/>
                <w:szCs w:val="20"/>
              </w:rPr>
              <w:t>透明(D1/D3)</w:t>
            </w:r>
          </w:p>
        </w:tc>
        <w:tc>
          <w:tcPr>
            <w:tcW w:w="1900" w:type="dxa"/>
            <w:shd w:val="clear" w:color="auto" w:fill="E8E8E8"/>
            <w:tcMar>
              <w:top w:w="80" w:type="dxa"/>
              <w:left w:w="100" w:type="dxa"/>
              <w:bottom w:w="80" w:type="dxa"/>
              <w:right w:w="100" w:type="dxa"/>
            </w:tcMar>
          </w:tcPr>
          <w:p w:rsidR="00383A90" w:rsidRDefault="007241BF">
            <w:r>
              <w:rPr>
                <w:b/>
                <w:bCs/>
                <w:sz w:val="20"/>
                <w:szCs w:val="20"/>
              </w:rPr>
              <w:t>前端公正(D2)</w:t>
            </w:r>
          </w:p>
        </w:tc>
        <w:tc>
          <w:tcPr>
            <w:tcW w:w="2200" w:type="dxa"/>
            <w:shd w:val="clear" w:color="auto" w:fill="E8E8E8"/>
            <w:tcMar>
              <w:top w:w="80" w:type="dxa"/>
              <w:left w:w="100" w:type="dxa"/>
              <w:bottom w:w="80" w:type="dxa"/>
              <w:right w:w="100" w:type="dxa"/>
            </w:tcMar>
          </w:tcPr>
          <w:p w:rsidR="00383A90" w:rsidRDefault="007241BF">
            <w:r>
              <w:rPr>
                <w:b/>
                <w:bCs/>
                <w:sz w:val="20"/>
                <w:szCs w:val="20"/>
              </w:rPr>
              <w:t>負責的溢出位置</w:t>
            </w:r>
          </w:p>
        </w:tc>
        <w:tc>
          <w:tcPr>
            <w:tcW w:w="2000" w:type="dxa"/>
            <w:shd w:val="clear" w:color="auto" w:fill="E8E8E8"/>
            <w:tcMar>
              <w:top w:w="80" w:type="dxa"/>
              <w:left w:w="100" w:type="dxa"/>
              <w:bottom w:w="80" w:type="dxa"/>
              <w:right w:w="100" w:type="dxa"/>
            </w:tcMar>
          </w:tcPr>
          <w:p w:rsidR="00383A90" w:rsidRDefault="007241BF">
            <w:proofErr w:type="gramStart"/>
            <w:r>
              <w:rPr>
                <w:b/>
                <w:bCs/>
                <w:sz w:val="20"/>
                <w:szCs w:val="20"/>
              </w:rPr>
              <w:t>課責的</w:t>
            </w:r>
            <w:proofErr w:type="gramEnd"/>
            <w:r>
              <w:rPr>
                <w:b/>
                <w:bCs/>
                <w:sz w:val="20"/>
                <w:szCs w:val="20"/>
              </w:rPr>
              <w:t>溢出位置</w:t>
            </w:r>
          </w:p>
        </w:tc>
      </w:tr>
      <w:tr w:rsidR="00383A90">
        <w:tc>
          <w:tcPr>
            <w:tcW w:w="900" w:type="dxa"/>
            <w:tcMar>
              <w:top w:w="80" w:type="dxa"/>
              <w:left w:w="100" w:type="dxa"/>
              <w:bottom w:w="80" w:type="dxa"/>
              <w:right w:w="100" w:type="dxa"/>
            </w:tcMar>
          </w:tcPr>
          <w:p w:rsidR="00383A90" w:rsidRDefault="007241BF">
            <w:r>
              <w:rPr>
                <w:sz w:val="20"/>
                <w:szCs w:val="20"/>
              </w:rPr>
              <w:t>AFST</w:t>
            </w:r>
          </w:p>
        </w:tc>
        <w:tc>
          <w:tcPr>
            <w:tcW w:w="1900" w:type="dxa"/>
            <w:tcMar>
              <w:top w:w="80" w:type="dxa"/>
              <w:left w:w="100" w:type="dxa"/>
              <w:bottom w:w="80" w:type="dxa"/>
              <w:right w:w="100" w:type="dxa"/>
            </w:tcMar>
          </w:tcPr>
          <w:p w:rsidR="00383A90" w:rsidRDefault="007241BF">
            <w:r>
              <w:rPr>
                <w:sz w:val="20"/>
                <w:szCs w:val="20"/>
              </w:rPr>
              <w:t>高(C1-1=4、C1-4=4、C1-9=3)</w:t>
            </w:r>
          </w:p>
        </w:tc>
        <w:tc>
          <w:tcPr>
            <w:tcW w:w="1900" w:type="dxa"/>
            <w:tcMar>
              <w:top w:w="80" w:type="dxa"/>
              <w:left w:w="100" w:type="dxa"/>
              <w:bottom w:w="80" w:type="dxa"/>
              <w:right w:w="100" w:type="dxa"/>
            </w:tcMar>
          </w:tcPr>
          <w:p w:rsidR="00383A90" w:rsidRDefault="007241BF">
            <w:r>
              <w:rPr>
                <w:sz w:val="20"/>
                <w:szCs w:val="20"/>
              </w:rPr>
              <w:t>中高(C1-5=3、C1-6=3)</w:t>
            </w:r>
          </w:p>
        </w:tc>
        <w:tc>
          <w:tcPr>
            <w:tcW w:w="2200" w:type="dxa"/>
            <w:tcMar>
              <w:top w:w="80" w:type="dxa"/>
              <w:left w:w="100" w:type="dxa"/>
              <w:bottom w:w="80" w:type="dxa"/>
              <w:right w:w="100" w:type="dxa"/>
            </w:tcMar>
          </w:tcPr>
          <w:p w:rsidR="00383A90" w:rsidRDefault="007241BF">
            <w:r>
              <w:rPr>
                <w:sz w:val="20"/>
                <w:szCs w:val="20"/>
              </w:rPr>
              <w:t>理由</w:t>
            </w:r>
            <w:proofErr w:type="gramStart"/>
            <w:r>
              <w:rPr>
                <w:sz w:val="20"/>
                <w:szCs w:val="20"/>
              </w:rPr>
              <w:t>鏈未斷——</w:t>
            </w:r>
            <w:proofErr w:type="gramEnd"/>
            <w:r>
              <w:rPr>
                <w:sz w:val="20"/>
                <w:szCs w:val="20"/>
              </w:rPr>
              <w:t>主管覆核有記錄,但C1-11為NA-U,故無法確認「異議」與「覆核」是否為同一件事</w:t>
            </w:r>
          </w:p>
        </w:tc>
        <w:tc>
          <w:tcPr>
            <w:tcW w:w="2000" w:type="dxa"/>
            <w:tcMar>
              <w:top w:w="80" w:type="dxa"/>
              <w:left w:w="100" w:type="dxa"/>
              <w:bottom w:w="80" w:type="dxa"/>
              <w:right w:w="100" w:type="dxa"/>
            </w:tcMar>
          </w:tcPr>
          <w:p w:rsidR="00383A90" w:rsidRDefault="007241BF">
            <w:proofErr w:type="gramStart"/>
            <w:r>
              <w:rPr>
                <w:sz w:val="20"/>
                <w:szCs w:val="20"/>
              </w:rPr>
              <w:t>課責門檻</w:t>
            </w:r>
            <w:proofErr w:type="gramEnd"/>
            <w:r>
              <w:rPr>
                <w:sz w:val="20"/>
                <w:szCs w:val="20"/>
              </w:rPr>
              <w:t>無法判定,不是通過,也不是失敗</w:t>
            </w:r>
          </w:p>
        </w:tc>
      </w:tr>
      <w:tr w:rsidR="00383A90">
        <w:tc>
          <w:tcPr>
            <w:tcW w:w="900" w:type="dxa"/>
            <w:tcMar>
              <w:top w:w="80" w:type="dxa"/>
              <w:left w:w="100" w:type="dxa"/>
              <w:bottom w:w="80" w:type="dxa"/>
              <w:right w:w="100" w:type="dxa"/>
            </w:tcMar>
          </w:tcPr>
          <w:p w:rsidR="00383A90" w:rsidRDefault="007241BF">
            <w:r>
              <w:rPr>
                <w:sz w:val="20"/>
                <w:szCs w:val="20"/>
              </w:rPr>
              <w:t>SyRI</w:t>
            </w:r>
          </w:p>
        </w:tc>
        <w:tc>
          <w:tcPr>
            <w:tcW w:w="1900" w:type="dxa"/>
            <w:tcMar>
              <w:top w:w="80" w:type="dxa"/>
              <w:left w:w="100" w:type="dxa"/>
              <w:bottom w:w="80" w:type="dxa"/>
              <w:right w:w="100" w:type="dxa"/>
            </w:tcMar>
          </w:tcPr>
          <w:p w:rsidR="00383A90" w:rsidRDefault="007241BF">
            <w:r>
              <w:rPr>
                <w:sz w:val="20"/>
                <w:szCs w:val="20"/>
              </w:rPr>
              <w:t>低(C1-9=0,</w:t>
            </w:r>
            <w:proofErr w:type="gramStart"/>
            <w:r>
              <w:rPr>
                <w:sz w:val="20"/>
                <w:szCs w:val="20"/>
              </w:rPr>
              <w:t>框定邏輯</w:t>
            </w:r>
            <w:proofErr w:type="gramEnd"/>
            <w:r>
              <w:rPr>
                <w:sz w:val="20"/>
                <w:szCs w:val="20"/>
              </w:rPr>
              <w:t>不可重建)</w:t>
            </w:r>
          </w:p>
        </w:tc>
        <w:tc>
          <w:tcPr>
            <w:tcW w:w="1900" w:type="dxa"/>
            <w:tcMar>
              <w:top w:w="80" w:type="dxa"/>
              <w:left w:w="100" w:type="dxa"/>
              <w:bottom w:w="80" w:type="dxa"/>
              <w:right w:w="100" w:type="dxa"/>
            </w:tcMar>
          </w:tcPr>
          <w:p w:rsidR="00383A90" w:rsidRDefault="007241BF">
            <w:r>
              <w:rPr>
                <w:sz w:val="20"/>
                <w:szCs w:val="20"/>
              </w:rPr>
              <w:t>低(C1-5=1、C1-6=1)</w:t>
            </w:r>
          </w:p>
        </w:tc>
        <w:tc>
          <w:tcPr>
            <w:tcW w:w="2200" w:type="dxa"/>
            <w:tcMar>
              <w:top w:w="80" w:type="dxa"/>
              <w:left w:w="100" w:type="dxa"/>
              <w:bottom w:w="80" w:type="dxa"/>
              <w:right w:w="100" w:type="dxa"/>
            </w:tcMar>
          </w:tcPr>
          <w:p w:rsidR="00383A90" w:rsidRDefault="007241BF">
            <w:r>
              <w:rPr>
                <w:sz w:val="20"/>
                <w:szCs w:val="20"/>
              </w:rPr>
              <w:t>理由</w:t>
            </w:r>
            <w:proofErr w:type="gramStart"/>
            <w:r>
              <w:rPr>
                <w:sz w:val="20"/>
                <w:szCs w:val="20"/>
              </w:rPr>
              <w:t>鏈斷於</w:t>
            </w:r>
            <w:proofErr w:type="gramEnd"/>
            <w:r>
              <w:rPr>
                <w:sz w:val="20"/>
                <w:szCs w:val="20"/>
              </w:rPr>
              <w:t>技術層——風險模型邏輯本身不可重建,人類決策者也無從說明理由</w:t>
            </w:r>
          </w:p>
        </w:tc>
        <w:tc>
          <w:tcPr>
            <w:tcW w:w="2000" w:type="dxa"/>
            <w:tcMar>
              <w:top w:w="80" w:type="dxa"/>
              <w:left w:w="100" w:type="dxa"/>
              <w:bottom w:w="80" w:type="dxa"/>
              <w:right w:w="100" w:type="dxa"/>
            </w:tcMar>
          </w:tcPr>
          <w:p w:rsidR="00383A90" w:rsidRDefault="007241BF">
            <w:proofErr w:type="gramStart"/>
            <w:r>
              <w:rPr>
                <w:sz w:val="20"/>
                <w:szCs w:val="20"/>
              </w:rPr>
              <w:t>課責靠</w:t>
            </w:r>
            <w:proofErr w:type="gramEnd"/>
            <w:r>
              <w:rPr>
                <w:sz w:val="20"/>
                <w:szCs w:val="20"/>
              </w:rPr>
              <w:t>司法事後介入補位,不是行政系統內建機制</w:t>
            </w:r>
          </w:p>
        </w:tc>
      </w:tr>
      <w:tr w:rsidR="00383A90">
        <w:tc>
          <w:tcPr>
            <w:tcW w:w="900" w:type="dxa"/>
            <w:tcMar>
              <w:top w:w="80" w:type="dxa"/>
              <w:left w:w="100" w:type="dxa"/>
              <w:bottom w:w="80" w:type="dxa"/>
              <w:right w:w="100" w:type="dxa"/>
            </w:tcMar>
          </w:tcPr>
          <w:p w:rsidR="00383A90" w:rsidRDefault="007241BF">
            <w:r>
              <w:rPr>
                <w:sz w:val="20"/>
                <w:szCs w:val="20"/>
              </w:rPr>
              <w:t>Robodebt</w:t>
            </w:r>
          </w:p>
        </w:tc>
        <w:tc>
          <w:tcPr>
            <w:tcW w:w="1900" w:type="dxa"/>
            <w:tcMar>
              <w:top w:w="80" w:type="dxa"/>
              <w:left w:w="100" w:type="dxa"/>
              <w:bottom w:w="80" w:type="dxa"/>
              <w:right w:w="100" w:type="dxa"/>
            </w:tcMar>
          </w:tcPr>
          <w:p w:rsidR="00383A90" w:rsidRDefault="007241BF">
            <w:r>
              <w:rPr>
                <w:sz w:val="20"/>
                <w:szCs w:val="20"/>
              </w:rPr>
              <w:t>中低(C1-1=2、C1-9=0)</w:t>
            </w:r>
          </w:p>
        </w:tc>
        <w:tc>
          <w:tcPr>
            <w:tcW w:w="1900" w:type="dxa"/>
            <w:tcMar>
              <w:top w:w="80" w:type="dxa"/>
              <w:left w:w="100" w:type="dxa"/>
              <w:bottom w:w="80" w:type="dxa"/>
              <w:right w:w="100" w:type="dxa"/>
            </w:tcMar>
          </w:tcPr>
          <w:p w:rsidR="00383A90" w:rsidRDefault="007241BF">
            <w:r>
              <w:rPr>
                <w:sz w:val="20"/>
                <w:szCs w:val="20"/>
              </w:rPr>
              <w:t>全面崩潰(C1-5=0、C1-6=0、C1-10=0)</w:t>
            </w:r>
          </w:p>
        </w:tc>
        <w:tc>
          <w:tcPr>
            <w:tcW w:w="2200" w:type="dxa"/>
            <w:tcMar>
              <w:top w:w="80" w:type="dxa"/>
              <w:left w:w="100" w:type="dxa"/>
              <w:bottom w:w="80" w:type="dxa"/>
              <w:right w:w="100" w:type="dxa"/>
            </w:tcMar>
          </w:tcPr>
          <w:p w:rsidR="00383A90" w:rsidRDefault="007241BF">
            <w:r>
              <w:rPr>
                <w:sz w:val="20"/>
                <w:szCs w:val="20"/>
              </w:rPr>
              <w:t>理由</w:t>
            </w:r>
            <w:proofErr w:type="gramStart"/>
            <w:r>
              <w:rPr>
                <w:sz w:val="20"/>
                <w:szCs w:val="20"/>
              </w:rPr>
              <w:t>鏈斷於</w:t>
            </w:r>
            <w:proofErr w:type="gramEnd"/>
            <w:r>
              <w:rPr>
                <w:sz w:val="20"/>
                <w:szCs w:val="20"/>
              </w:rPr>
              <w:t>舉證責任倒置——受影響者須自證,而非機關自</w:t>
            </w:r>
            <w:proofErr w:type="gramStart"/>
            <w:r>
              <w:rPr>
                <w:sz w:val="20"/>
                <w:szCs w:val="20"/>
              </w:rPr>
              <w:t>證框</w:t>
            </w:r>
            <w:proofErr w:type="gramEnd"/>
            <w:r>
              <w:rPr>
                <w:sz w:val="20"/>
                <w:szCs w:val="20"/>
              </w:rPr>
              <w:t>定合理</w:t>
            </w:r>
          </w:p>
        </w:tc>
        <w:tc>
          <w:tcPr>
            <w:tcW w:w="2000" w:type="dxa"/>
            <w:tcMar>
              <w:top w:w="80" w:type="dxa"/>
              <w:left w:w="100" w:type="dxa"/>
              <w:bottom w:w="80" w:type="dxa"/>
              <w:right w:w="100" w:type="dxa"/>
            </w:tcMar>
          </w:tcPr>
          <w:p w:rsidR="00383A90" w:rsidRDefault="007241BF">
            <w:proofErr w:type="gramStart"/>
            <w:r>
              <w:rPr>
                <w:sz w:val="20"/>
                <w:szCs w:val="20"/>
              </w:rPr>
              <w:t>課責未</w:t>
            </w:r>
            <w:proofErr w:type="gramEnd"/>
            <w:r>
              <w:rPr>
                <w:sz w:val="20"/>
                <w:szCs w:val="20"/>
              </w:rPr>
              <w:t>通過(C1-12=0),損害已發生仍無修正實績</w:t>
            </w:r>
          </w:p>
        </w:tc>
      </w:tr>
    </w:tbl>
    <w:p w:rsidR="00383A90" w:rsidRDefault="007241BF">
      <w:pPr>
        <w:pStyle w:val="2"/>
        <w:spacing w:before="300" w:after="200"/>
      </w:pPr>
      <w:r>
        <w:t>四、三種價值溢出機制：判別條件與邊界案例</w:t>
      </w:r>
    </w:p>
    <w:p w:rsidR="00044BA7" w:rsidRDefault="00A71920">
      <w:pPr>
        <w:pStyle w:val="2"/>
      </w:pPr>
      <w:r>
        <w:lastRenderedPageBreak/>
        <w:t>三種機制不是對案例結果的事後命名，而是以可觀察條件加以區分。</w:t>
      </w:r>
      <w:r>
        <w:t>AFST</w:t>
      </w:r>
      <w:r>
        <w:t>同時也是邊界案例：</w:t>
      </w:r>
      <w:r>
        <w:t>其技術文件與個案覆核較完整，故不能</w:t>
      </w:r>
      <w:proofErr w:type="gramStart"/>
      <w:r>
        <w:t>逕</w:t>
      </w:r>
      <w:proofErr w:type="gramEnd"/>
      <w:r>
        <w:t>以「有人工覆核」推定四大</w:t>
      </w:r>
      <w:proofErr w:type="gramStart"/>
      <w:r>
        <w:t>價值均已</w:t>
      </w:r>
      <w:proofErr w:type="gramEnd"/>
      <w:r>
        <w:t>獲保障；它用來檢驗本文是否能辨識表面合</w:t>
      </w:r>
      <w:proofErr w:type="gramStart"/>
      <w:r>
        <w:t>規而框定</w:t>
      </w:r>
      <w:proofErr w:type="gramEnd"/>
      <w:r>
        <w:t>異議仍不可見的狀態。</w:t>
      </w:r>
    </w:p>
    <w:p w:rsidR="00044BA7" w:rsidRDefault="00A71920">
      <w:pPr>
        <w:pStyle w:val="2"/>
      </w:pPr>
      <w:r>
        <w:t>表</w:t>
      </w:r>
      <w:r>
        <w:t>4.2</w:t>
      </w:r>
      <w:r>
        <w:t xml:space="preserve">　三種價值溢出機制之判別條件</w:t>
      </w:r>
    </w:p>
    <w:tbl>
      <w:tblPr>
        <w:tblW w:w="0" w:type="auto"/>
        <w:jc w:val="center"/>
        <w:tblLook w:val="04A0" w:firstRow="1" w:lastRow="0" w:firstColumn="1" w:lastColumn="0" w:noHBand="0" w:noVBand="1"/>
      </w:tblPr>
      <w:tblGrid>
        <w:gridCol w:w="2256"/>
        <w:gridCol w:w="2256"/>
        <w:gridCol w:w="2256"/>
        <w:gridCol w:w="2256"/>
      </w:tblGrid>
      <w:tr w:rsidR="00044BA7">
        <w:trPr>
          <w:jc w:val="center"/>
        </w:trPr>
        <w:tc>
          <w:tcPr>
            <w:tcW w:w="2256" w:type="dxa"/>
            <w:vAlign w:val="center"/>
          </w:tcPr>
          <w:p w:rsidR="00044BA7" w:rsidRDefault="00A71920">
            <w:r>
              <w:rPr>
                <w:b/>
              </w:rPr>
              <w:t>機制</w:t>
            </w:r>
          </w:p>
        </w:tc>
        <w:tc>
          <w:tcPr>
            <w:tcW w:w="2256" w:type="dxa"/>
            <w:vAlign w:val="center"/>
          </w:tcPr>
          <w:p w:rsidR="00044BA7" w:rsidRDefault="00A71920">
            <w:r>
              <w:rPr>
                <w:b/>
              </w:rPr>
              <w:t>必要觀察條件</w:t>
            </w:r>
          </w:p>
        </w:tc>
        <w:tc>
          <w:tcPr>
            <w:tcW w:w="2256" w:type="dxa"/>
            <w:vAlign w:val="center"/>
          </w:tcPr>
          <w:p w:rsidR="00044BA7" w:rsidRDefault="00A71920">
            <w:r>
              <w:rPr>
                <w:b/>
              </w:rPr>
              <w:t>主要斷裂／價值後果</w:t>
            </w:r>
          </w:p>
        </w:tc>
        <w:tc>
          <w:tcPr>
            <w:tcW w:w="2256" w:type="dxa"/>
            <w:vAlign w:val="center"/>
          </w:tcPr>
          <w:p w:rsidR="00044BA7" w:rsidRDefault="00A71920">
            <w:r>
              <w:rPr>
                <w:b/>
              </w:rPr>
              <w:t>可排除的相近情形</w:t>
            </w:r>
          </w:p>
        </w:tc>
      </w:tr>
      <w:tr w:rsidR="00044BA7">
        <w:trPr>
          <w:jc w:val="center"/>
        </w:trPr>
        <w:tc>
          <w:tcPr>
            <w:tcW w:w="2256" w:type="dxa"/>
            <w:vAlign w:val="center"/>
          </w:tcPr>
          <w:p w:rsidR="00044BA7" w:rsidRDefault="00A71920">
            <w:proofErr w:type="gramStart"/>
            <w:r>
              <w:t>覆核錯位</w:t>
            </w:r>
            <w:proofErr w:type="gramEnd"/>
            <w:r>
              <w:t>（</w:t>
            </w:r>
            <w:r>
              <w:t>AFST</w:t>
            </w:r>
            <w:r>
              <w:t>型）</w:t>
            </w:r>
          </w:p>
        </w:tc>
        <w:tc>
          <w:tcPr>
            <w:tcW w:w="2256" w:type="dxa"/>
            <w:vAlign w:val="center"/>
          </w:tcPr>
          <w:p w:rsidR="00044BA7" w:rsidRDefault="00A71920">
            <w:r>
              <w:t>存在個案覆核或申訴，但無證據顯示得質疑分類、代理變項或</w:t>
            </w:r>
            <w:proofErr w:type="gramStart"/>
            <w:r>
              <w:t>閾</w:t>
            </w:r>
            <w:proofErr w:type="gramEnd"/>
            <w:r>
              <w:t>值本身。</w:t>
            </w:r>
          </w:p>
        </w:tc>
        <w:tc>
          <w:tcPr>
            <w:tcW w:w="2256" w:type="dxa"/>
            <w:vAlign w:val="center"/>
          </w:tcPr>
          <w:p w:rsidR="00044BA7" w:rsidRDefault="00A71920">
            <w:r>
              <w:t>情境建</w:t>
            </w:r>
            <w:proofErr w:type="gramStart"/>
            <w:r>
              <w:t>構鏈未</w:t>
            </w:r>
            <w:proofErr w:type="gramEnd"/>
            <w:r>
              <w:t>被完整檢視；前端公正可能被降格為個案救濟。</w:t>
            </w:r>
          </w:p>
        </w:tc>
        <w:tc>
          <w:tcPr>
            <w:tcW w:w="2256" w:type="dxa"/>
            <w:vAlign w:val="center"/>
          </w:tcPr>
          <w:p w:rsidR="00044BA7" w:rsidRDefault="00A71920">
            <w:r>
              <w:t>若覆核程序可正式啟動模型設定檢討，則不屬此型。</w:t>
            </w:r>
          </w:p>
        </w:tc>
      </w:tr>
      <w:tr w:rsidR="00044BA7">
        <w:trPr>
          <w:jc w:val="center"/>
        </w:trPr>
        <w:tc>
          <w:tcPr>
            <w:tcW w:w="2256" w:type="dxa"/>
            <w:vAlign w:val="center"/>
          </w:tcPr>
          <w:p w:rsidR="00044BA7" w:rsidRDefault="00A71920">
            <w:r>
              <w:t>技術不可解釋（</w:t>
            </w:r>
            <w:r>
              <w:t>SyRI</w:t>
            </w:r>
            <w:r>
              <w:t>型）</w:t>
            </w:r>
          </w:p>
        </w:tc>
        <w:tc>
          <w:tcPr>
            <w:tcW w:w="2256" w:type="dxa"/>
            <w:vAlign w:val="center"/>
          </w:tcPr>
          <w:p w:rsidR="00044BA7" w:rsidRDefault="00A71920">
            <w:r>
              <w:t>決定者與受影響者均無法重建輸出所</w:t>
            </w:r>
            <w:proofErr w:type="gramStart"/>
            <w:r>
              <w:t>依框定</w:t>
            </w:r>
            <w:proofErr w:type="gramEnd"/>
            <w:r>
              <w:t>邏輯，致理由無從連回事實與規範。</w:t>
            </w:r>
          </w:p>
        </w:tc>
        <w:tc>
          <w:tcPr>
            <w:tcW w:w="2256" w:type="dxa"/>
            <w:vAlign w:val="center"/>
          </w:tcPr>
          <w:p w:rsidR="00044BA7" w:rsidRDefault="00A71920">
            <w:r>
              <w:t>理由鏈首先失靈，透明缺口再溢出為負責</w:t>
            </w:r>
            <w:proofErr w:type="gramStart"/>
            <w:r>
              <w:t>與課責困難</w:t>
            </w:r>
            <w:proofErr w:type="gramEnd"/>
            <w:r>
              <w:t>。</w:t>
            </w:r>
          </w:p>
        </w:tc>
        <w:tc>
          <w:tcPr>
            <w:tcW w:w="2256" w:type="dxa"/>
            <w:vAlign w:val="center"/>
          </w:tcPr>
          <w:p w:rsidR="00044BA7" w:rsidRDefault="00A71920">
            <w:r>
              <w:t>單純未公開原始碼，但仍可重建關鍵邏輯與理由者，不屬此型。</w:t>
            </w:r>
          </w:p>
        </w:tc>
      </w:tr>
      <w:tr w:rsidR="00044BA7">
        <w:trPr>
          <w:jc w:val="center"/>
        </w:trPr>
        <w:tc>
          <w:tcPr>
            <w:tcW w:w="2256" w:type="dxa"/>
            <w:vAlign w:val="center"/>
          </w:tcPr>
          <w:p w:rsidR="00044BA7" w:rsidRDefault="00A71920">
            <w:r>
              <w:t>舉證責任倒置（</w:t>
            </w:r>
            <w:r>
              <w:t>Robodebt</w:t>
            </w:r>
            <w:r>
              <w:t>型）</w:t>
            </w:r>
          </w:p>
        </w:tc>
        <w:tc>
          <w:tcPr>
            <w:tcW w:w="2256" w:type="dxa"/>
            <w:vAlign w:val="center"/>
          </w:tcPr>
          <w:p w:rsidR="00044BA7" w:rsidRDefault="00A71920">
            <w:r>
              <w:t>異議程序形式存在，卻要求受影響者先證明機關推定錯誤，且機關無主動說明與及時修正義務。</w:t>
            </w:r>
          </w:p>
        </w:tc>
        <w:tc>
          <w:tcPr>
            <w:tcW w:w="2256" w:type="dxa"/>
            <w:vAlign w:val="center"/>
          </w:tcPr>
          <w:p w:rsidR="00044BA7" w:rsidRDefault="00A71920">
            <w:r>
              <w:t>理由鏈與責任鏈共同失靈；前端不公被轉嫁為</w:t>
            </w:r>
            <w:proofErr w:type="gramStart"/>
            <w:r>
              <w:t>個人糾錯成本</w:t>
            </w:r>
            <w:proofErr w:type="gramEnd"/>
            <w:r>
              <w:t>。</w:t>
            </w:r>
          </w:p>
        </w:tc>
        <w:tc>
          <w:tcPr>
            <w:tcW w:w="2256" w:type="dxa"/>
            <w:vAlign w:val="center"/>
          </w:tcPr>
          <w:p w:rsidR="00044BA7" w:rsidRDefault="00A71920">
            <w:r>
              <w:t>機關負初步說明與查證責任、人民僅補充反證者，不屬此型。</w:t>
            </w:r>
          </w:p>
        </w:tc>
      </w:tr>
    </w:tbl>
    <w:p w:rsidR="00044BA7" w:rsidRDefault="00A71920">
      <w:pPr>
        <w:pStyle w:val="2"/>
      </w:pPr>
      <w:r>
        <w:t>這些條件僅用於機制辨識，不構成新的計分量表；其功能是限制詮釋的任意性，並使後續案例能被反駁。</w:t>
      </w:r>
    </w:p>
    <w:p w:rsidR="00044BA7" w:rsidRDefault="00A71920">
      <w:pPr>
        <w:pStyle w:val="2"/>
      </w:pPr>
      <w:r>
        <w:t>診斷順序可依三個問題進行。第一，是否存在可正式質疑代理變項、分類與</w:t>
      </w:r>
      <w:proofErr w:type="gramStart"/>
      <w:r>
        <w:t>閾</w:t>
      </w:r>
      <w:proofErr w:type="gramEnd"/>
      <w:r>
        <w:t>值</w:t>
      </w:r>
      <w:proofErr w:type="gramStart"/>
      <w:r>
        <w:t>的框定層</w:t>
      </w:r>
      <w:proofErr w:type="gramEnd"/>
      <w:r>
        <w:t>級異議管道？</w:t>
      </w:r>
      <w:proofErr w:type="gramStart"/>
      <w:r>
        <w:t>若否</w:t>
      </w:r>
      <w:proofErr w:type="gramEnd"/>
      <w:r>
        <w:t>，即須檢查覆核是否僅處理個案結果，並判定是否為</w:t>
      </w:r>
      <w:proofErr w:type="gramStart"/>
      <w:r>
        <w:t>覆核錯</w:t>
      </w:r>
      <w:proofErr w:type="gramEnd"/>
      <w:r>
        <w:t>位。第二，機關能否將系統輸出回連至可重建的事實、資料與規範理由？</w:t>
      </w:r>
      <w:proofErr w:type="gramStart"/>
      <w:r>
        <w:t>若否</w:t>
      </w:r>
      <w:proofErr w:type="gramEnd"/>
      <w:r>
        <w:t>，即為技術不可解釋。第三，異議發生時，機關是否先負擔初步說明、查證與修正責任？</w:t>
      </w:r>
      <w:proofErr w:type="gramStart"/>
      <w:r>
        <w:t>若否</w:t>
      </w:r>
      <w:proofErr w:type="gramEnd"/>
      <w:r>
        <w:t>，而由受影響者先自證機關推定錯誤，即為舉證責任倒置。三步可同時呈現，不以其先後順序推定單</w:t>
      </w:r>
      <w:proofErr w:type="gramStart"/>
      <w:r>
        <w:t>一</w:t>
      </w:r>
      <w:proofErr w:type="gramEnd"/>
      <w:r>
        <w:t>因果，也不取代既有</w:t>
      </w:r>
      <w:r>
        <w:t>P1</w:t>
      </w:r>
      <w:r>
        <w:t>／</w:t>
      </w:r>
      <w:r>
        <w:t>C1</w:t>
      </w:r>
      <w:r>
        <w:t>的編碼。</w:t>
      </w:r>
    </w:p>
    <w:p w:rsidR="00383A90" w:rsidRDefault="007241BF">
      <w:pPr>
        <w:spacing w:after="200" w:line="360" w:lineRule="auto"/>
        <w:jc w:val="both"/>
      </w:pPr>
      <w:r>
        <w:t>這三案例示範的不是「情境建</w:t>
      </w:r>
      <w:proofErr w:type="gramStart"/>
      <w:r>
        <w:t>構鏈壞</w:t>
      </w:r>
      <w:proofErr w:type="gramEnd"/>
      <w:r>
        <w:t>了,所以其他</w:t>
      </w:r>
      <w:proofErr w:type="gramStart"/>
      <w:r>
        <w:t>鏈也壞</w:t>
      </w:r>
      <w:proofErr w:type="gramEnd"/>
      <w:r>
        <w:t>了」這種單一因果,而是三種不</w:t>
      </w:r>
      <w:r>
        <w:lastRenderedPageBreak/>
        <w:t>同的溢出機制。</w:t>
      </w:r>
    </w:p>
    <w:p w:rsidR="00383A90" w:rsidRDefault="007241BF">
      <w:pPr>
        <w:spacing w:after="200" w:line="360" w:lineRule="auto"/>
        <w:jc w:val="both"/>
      </w:pPr>
      <w:r>
        <w:t>第一,AFST型</w:t>
      </w:r>
      <w:proofErr w:type="gramStart"/>
      <w:r>
        <w:t>—</w:t>
      </w:r>
      <w:proofErr w:type="gramEnd"/>
      <w:r>
        <w:t>—溢出被「覆核」擋住,但擋住不等於通過。AFST的D1至D3表現接近滿分,顯示技術透明度確實可以做得很好。但C1-11(</w:t>
      </w:r>
      <w:proofErr w:type="gramStart"/>
      <w:r>
        <w:t>框定異議</w:t>
      </w:r>
      <w:proofErr w:type="gramEnd"/>
      <w:r>
        <w:t>管道)記為NA-U,不是0——不是「沒有異議管道」,而是「現有公開文件無法確認異議管道是否存在</w:t>
      </w:r>
      <w:proofErr w:type="gramStart"/>
      <w:r>
        <w:t>於框定</w:t>
      </w:r>
      <w:proofErr w:type="gramEnd"/>
      <w:r>
        <w:t>層,而非僅存在於個案覆核層」。換言之,主管覆核處理的是「這個孩子該不該被標記」,而不是「風險分類模型本身該不該這樣設計」。透明做到了,但前端公正的異議權可能被悄悄替換成了「個案申訴權」</w:t>
      </w:r>
      <w:proofErr w:type="gramStart"/>
      <w:r>
        <w:t>—</w:t>
      </w:r>
      <w:proofErr w:type="gramEnd"/>
      <w:r>
        <w:t>—這正是四大價值容易被檢核清單化的陷阱:表面上四項都有動靜,但公正被降格為程序性的個案救濟,而非</w:t>
      </w:r>
      <w:proofErr w:type="gramStart"/>
      <w:r>
        <w:t>對框定</w:t>
      </w:r>
      <w:proofErr w:type="gramEnd"/>
      <w:r>
        <w:t>本身的質疑。這與Eubanks(2018)對AFST的田野研究相互印證:即使系統配有形式上的專業人工覆核,前端代理變項(如指標偏向貧困家庭)早已鎖定邊緣族群,人工覆核僅能就個案結果把關,無法挑戰指標設計本身。開發團隊自身的驗證研究(Chouldechova et al., 2018)雖顯示模型在統計指標上的公平性表現尚可,但這類事前公平性測試同樣止於輸出層次,無法回應本文所關切</w:t>
      </w:r>
      <w:proofErr w:type="gramStart"/>
      <w:r>
        <w:t>的框定異議</w:t>
      </w:r>
      <w:proofErr w:type="gramEnd"/>
      <w:r>
        <w:t>管道是否存在這一問題。</w:t>
      </w:r>
    </w:p>
    <w:p w:rsidR="00383A90" w:rsidRDefault="007241BF">
      <w:pPr>
        <w:spacing w:after="200" w:line="360" w:lineRule="auto"/>
        <w:jc w:val="both"/>
      </w:pPr>
      <w:r>
        <w:t>第二,SyRI型</w:t>
      </w:r>
      <w:proofErr w:type="gramStart"/>
      <w:r>
        <w:t>—</w:t>
      </w:r>
      <w:proofErr w:type="gramEnd"/>
      <w:r>
        <w:t>—溢出走的是司法外部矯正,不是行政內部摩擦。SyRI的C1-9(</w:t>
      </w:r>
      <w:proofErr w:type="gramStart"/>
      <w:r>
        <w:t>框定邏輯</w:t>
      </w:r>
      <w:proofErr w:type="gramEnd"/>
      <w:r>
        <w:t>可重建)為0,代表沒有人——包括執行機關自己——能完整說明風險模型如何把資料轉成風險分數。這使理由鏈在技術層面先斷裂,不是官僚不願意說理由,而是官僚本身也拿不到可解釋的理由。</w:t>
      </w:r>
      <w:proofErr w:type="gramStart"/>
      <w:r>
        <w:t>課責最終</w:t>
      </w:r>
      <w:proofErr w:type="gramEnd"/>
      <w:r>
        <w:t>靠海牙地方法院用《歐洲人權公約》第8條介入補位(District Court of The Hague, 2020)。van Bekkum與Zuiderveen Borgesius(2021)對該判決的分析指出,法院之所以只能訴諸隱私權而非直接裁決</w:t>
      </w:r>
      <w:proofErr w:type="gramStart"/>
      <w:r>
        <w:t>演算法問責</w:t>
      </w:r>
      <w:proofErr w:type="gramEnd"/>
      <w:r>
        <w:t>,正是因為SyRI立法本身對系統功能的說明付之闕如;Wieringa(2023)則以SyRI為個案指出,行政體系內部的事前</w:t>
      </w:r>
      <w:proofErr w:type="gramStart"/>
      <w:r>
        <w:t>政治課責一旦</w:t>
      </w:r>
      <w:proofErr w:type="gramEnd"/>
      <w:r>
        <w:t>失靈,後續便難以完全補救——這符合Livermore摩擦論的預測,但也暴露一個問題:如果沒有法院,SyRI</w:t>
      </w:r>
      <w:proofErr w:type="gramStart"/>
      <w:r>
        <w:t>的課責鏈條</w:t>
      </w:r>
      <w:proofErr w:type="gramEnd"/>
      <w:r>
        <w:t>上其實什麼都不會發生——</w:t>
      </w:r>
      <w:r>
        <w:lastRenderedPageBreak/>
        <w:t>這比AFST的「無法判定」更接近真正</w:t>
      </w:r>
      <w:proofErr w:type="gramStart"/>
      <w:r>
        <w:t>的課責真</w:t>
      </w:r>
      <w:proofErr w:type="gramEnd"/>
      <w:r>
        <w:t>空。</w:t>
      </w:r>
    </w:p>
    <w:p w:rsidR="00383A90" w:rsidRDefault="007241BF">
      <w:pPr>
        <w:spacing w:after="200" w:line="360" w:lineRule="auto"/>
        <w:jc w:val="both"/>
      </w:pPr>
      <w:r>
        <w:t>第三,Robodebt型</w:t>
      </w:r>
      <w:proofErr w:type="gramStart"/>
      <w:r>
        <w:t>—</w:t>
      </w:r>
      <w:proofErr w:type="gramEnd"/>
      <w:r>
        <w:t>—溢出走的是舉證責任的倒置,這是最嚴重的公正侵蝕。Robodebt的D2全面崩潰(C1-5、C1-6</w:t>
      </w:r>
      <w:proofErr w:type="gramStart"/>
      <w:r>
        <w:t>均為</w:t>
      </w:r>
      <w:proofErr w:type="gramEnd"/>
      <w:r>
        <w:t>0),代表所得平均化這個</w:t>
      </w:r>
      <w:proofErr w:type="gramStart"/>
      <w:r>
        <w:t>統計框定從</w:t>
      </w:r>
      <w:proofErr w:type="gramEnd"/>
      <w:r>
        <w:t>未被檢查是否對個案不公。更關鍵的是理由鏈的斷裂方式:一般申訴管道確實存在,但舉證負擔轉向了受影響者</w:t>
      </w:r>
      <w:proofErr w:type="gramStart"/>
      <w:r>
        <w:t>—</w:t>
      </w:r>
      <w:proofErr w:type="gramEnd"/>
      <w:r>
        <w:t>—民眾必須自己證明機關的推定所得是錯的,而不是機關必須證明推定合理。這</w:t>
      </w:r>
      <w:proofErr w:type="gramStart"/>
      <w:r>
        <w:t>不只是課責失靈</w:t>
      </w:r>
      <w:proofErr w:type="gramEnd"/>
      <w:r>
        <w:t>,而是前端的程序不公正被直接轉嫁為受害者的個人負擔,</w:t>
      </w:r>
      <w:proofErr w:type="gramStart"/>
      <w:r>
        <w:t>課</w:t>
      </w:r>
      <w:proofErr w:type="gramEnd"/>
      <w:r>
        <w:t>責(C1-12=0)因此連「事後修正」都沒有發生,直到皇家調查委員會介入才曝光(Royal Commission into the Robodebt Scheme, 2023)。Carney(2019)率先指出,Robodebt的根本病理在於法治與正當法律程序的顛覆</w:t>
      </w:r>
      <w:proofErr w:type="gramStart"/>
      <w:r>
        <w:t>—</w:t>
      </w:r>
      <w:proofErr w:type="gramEnd"/>
      <w:r>
        <w:t>—行政機關未經立法明確授權即採用「所得平均化」作為推定事實,並將查證責任結構性地轉嫁給弱勢人民,這為本文提出的C1-13(舉證責任分配)提供了堅實的行政法學理論支持。舉證責任倒置的傷害,亦可用Fricker(2007)的「認知</w:t>
      </w:r>
      <w:proofErr w:type="gramStart"/>
      <w:r>
        <w:t>不</w:t>
      </w:r>
      <w:proofErr w:type="gramEnd"/>
      <w:r>
        <w:t>正義」(epistemic injustice)概念予以定性:當制度預設受影響者的陳述先天不足</w:t>
      </w:r>
      <w:proofErr w:type="gramStart"/>
      <w:r>
        <w:t>採</w:t>
      </w:r>
      <w:proofErr w:type="gramEnd"/>
      <w:r>
        <w:t>信、必須先自證機關有錯,這既是一種「證言不正義」(testimonial injustice)——說話者的可信度被結構性地打折;也隱含「詮釋</w:t>
      </w:r>
      <w:proofErr w:type="gramStart"/>
      <w:r>
        <w:t>不</w:t>
      </w:r>
      <w:proofErr w:type="gramEnd"/>
      <w:r>
        <w:t>正義」(hermeneutical injustice)——受影響者往往缺乏挑戰</w:t>
      </w:r>
      <w:proofErr w:type="gramStart"/>
      <w:r>
        <w:t>統計框定</w:t>
      </w:r>
      <w:proofErr w:type="gramEnd"/>
      <w:r>
        <w:t>所需的技術詞彙與資源,連「如何指出問題所在」本身都是一種被剝奪的能力。</w:t>
      </w:r>
    </w:p>
    <w:p w:rsidR="00383A90" w:rsidRDefault="007241BF">
      <w:pPr>
        <w:pStyle w:val="2"/>
        <w:spacing w:before="300" w:after="200"/>
      </w:pPr>
      <w:r>
        <w:t>五、小結</w:t>
      </w:r>
    </w:p>
    <w:p w:rsidR="00383A90" w:rsidRDefault="007241BF">
      <w:pPr>
        <w:spacing w:after="200" w:line="360" w:lineRule="auto"/>
        <w:jc w:val="both"/>
      </w:pPr>
      <w:r>
        <w:t>②的雙軸診斷已經指出「P1與C1必須並列呈現」,本文在此基礎上補一句:光看C1總平均會讓AFST看起來「表現最好」(3.00分),但四大價值視角顯示,AFST真正未知的恰好是</w:t>
      </w:r>
      <w:proofErr w:type="gramStart"/>
      <w:r>
        <w:t>最</w:t>
      </w:r>
      <w:proofErr w:type="gramEnd"/>
      <w:r>
        <w:t>關鍵的「前端公正是否被個案覆核悄悄取代」這一點——這是單看C1總平均分數看不出來、但拆解到四大價值層次才會浮現的診斷落差,也是本文相對②的具體邊</w:t>
      </w:r>
      <w:r>
        <w:lastRenderedPageBreak/>
        <w:t>際貢獻。</w:t>
      </w:r>
    </w:p>
    <w:p w:rsidR="00383A90" w:rsidRDefault="007241BF">
      <w:r>
        <w:br w:type="page"/>
      </w:r>
    </w:p>
    <w:p w:rsidR="00383A90" w:rsidRDefault="007241BF">
      <w:pPr>
        <w:pStyle w:val="1"/>
        <w:spacing w:before="300" w:after="200"/>
      </w:pPr>
      <w:r>
        <w:rPr>
          <w:b/>
          <w:bCs/>
        </w:rPr>
        <w:lastRenderedPageBreak/>
        <w:t>伍、制度路徑:針對三種溢出機制的具體回應</w:t>
      </w:r>
    </w:p>
    <w:p w:rsidR="00383A90" w:rsidRDefault="007241BF">
      <w:pPr>
        <w:pStyle w:val="2"/>
        <w:spacing w:before="300" w:after="200"/>
      </w:pPr>
      <w:r>
        <w:rPr>
          <w:b/>
          <w:bCs/>
        </w:rPr>
        <w:t>一、對症而非清單</w:t>
      </w:r>
    </w:p>
    <w:p w:rsidR="00383A90" w:rsidRDefault="007241BF">
      <w:pPr>
        <w:spacing w:after="200" w:line="360" w:lineRule="auto"/>
        <w:jc w:val="both"/>
      </w:pPr>
      <w:proofErr w:type="gramStart"/>
      <w:r>
        <w:t>肆節指出</w:t>
      </w:r>
      <w:proofErr w:type="gramEnd"/>
      <w:r>
        <w:t>了三種不同的價值溢出機制(AFST的</w:t>
      </w:r>
      <w:proofErr w:type="gramStart"/>
      <w:r>
        <w:t>覆核錯</w:t>
      </w:r>
      <w:proofErr w:type="gramEnd"/>
      <w:r>
        <w:t>位、SyRI的技術不可解釋、Robodebt的舉證責任倒置)。制度路徑不能是一份放諸四海皆</w:t>
      </w:r>
      <w:proofErr w:type="gramStart"/>
      <w:r>
        <w:t>準</w:t>
      </w:r>
      <w:proofErr w:type="gramEnd"/>
      <w:r>
        <w:t>的清單,而必須逐一對症——否則又會落回「透明度不足就多公開文件」這種檢核</w:t>
      </w:r>
      <w:proofErr w:type="gramStart"/>
      <w:r>
        <w:t>清單式的老</w:t>
      </w:r>
      <w:proofErr w:type="gramEnd"/>
      <w:r>
        <w:t>路,正是本文從一開始要批判的對象。</w:t>
      </w:r>
    </w:p>
    <w:p w:rsidR="00383A90" w:rsidRDefault="007241BF">
      <w:pPr>
        <w:pStyle w:val="2"/>
        <w:spacing w:before="300" w:after="200"/>
      </w:pPr>
      <w:r>
        <w:rPr>
          <w:b/>
          <w:bCs/>
        </w:rPr>
        <w:t>二、機制</w:t>
      </w:r>
      <w:proofErr w:type="gramStart"/>
      <w:r>
        <w:rPr>
          <w:b/>
          <w:bCs/>
        </w:rPr>
        <w:t>一</w:t>
      </w:r>
      <w:proofErr w:type="gramEnd"/>
      <w:r>
        <w:rPr>
          <w:b/>
          <w:bCs/>
        </w:rPr>
        <w:t>(AFST型):把個案覆核和</w:t>
      </w:r>
      <w:proofErr w:type="gramStart"/>
      <w:r>
        <w:rPr>
          <w:b/>
          <w:bCs/>
        </w:rPr>
        <w:t>框定</w:t>
      </w:r>
      <w:proofErr w:type="gramEnd"/>
      <w:r>
        <w:rPr>
          <w:b/>
          <w:bCs/>
        </w:rPr>
        <w:t>異議制度上分開</w:t>
      </w:r>
    </w:p>
    <w:p w:rsidR="00383A90" w:rsidRDefault="007241BF">
      <w:pPr>
        <w:spacing w:after="200" w:line="360" w:lineRule="auto"/>
        <w:jc w:val="both"/>
      </w:pPr>
      <w:r>
        <w:t>AFST的問題不是沒有覆核,而是覆核可能只處理「這個孩子該不該被標記」,不處理「風險分類模型本身該不該這樣設計」。制度回應必須把這兩層明確分開,而不是假設覆核天然</w:t>
      </w:r>
      <w:proofErr w:type="gramStart"/>
      <w:r>
        <w:t>涵蓋框定異議</w:t>
      </w:r>
      <w:proofErr w:type="gramEnd"/>
      <w:r>
        <w:t>:採購與上線審查階段,要求機關寫明個案覆核的法定範圍是否包含對代理變項、</w:t>
      </w:r>
      <w:proofErr w:type="gramStart"/>
      <w:r>
        <w:t>閾</w:t>
      </w:r>
      <w:proofErr w:type="gramEnd"/>
      <w:r>
        <w:t>值本身提出質疑,若不包含,須另</w:t>
      </w:r>
      <w:proofErr w:type="gramStart"/>
      <w:r>
        <w:t>立框</w:t>
      </w:r>
      <w:proofErr w:type="gramEnd"/>
      <w:r>
        <w:t>定層級的異議管道;對應七項治理審計中的裁量邊界審計,查核「人工覆核」的裁量邊界是否止於個案結果,還是能觸及模型設計本身。這一步不需要新增母架構元素,只需要在既有C1-11的評分說明中,明訂「個案申訴」與「</w:t>
      </w:r>
      <w:proofErr w:type="gramStart"/>
      <w:r>
        <w:t>框定異議</w:t>
      </w:r>
      <w:proofErr w:type="gramEnd"/>
      <w:r>
        <w:t>」不得互相替代計分。</w:t>
      </w:r>
    </w:p>
    <w:p w:rsidR="00383A90" w:rsidRDefault="007241BF">
      <w:pPr>
        <w:pStyle w:val="2"/>
        <w:spacing w:before="300" w:after="200"/>
      </w:pPr>
      <w:r>
        <w:rPr>
          <w:b/>
          <w:bCs/>
        </w:rPr>
        <w:t>三、機制二(SyRI型):把可解釋性做成事前門檻</w:t>
      </w:r>
    </w:p>
    <w:p w:rsidR="00383A90" w:rsidRDefault="007241BF">
      <w:pPr>
        <w:spacing w:after="200" w:line="360" w:lineRule="auto"/>
        <w:jc w:val="both"/>
      </w:pPr>
      <w:r>
        <w:t>SyRI真正的問題是:即使機關想說理由,也拿不出可重建</w:t>
      </w:r>
      <w:proofErr w:type="gramStart"/>
      <w:r>
        <w:t>的框定邏輯</w:t>
      </w:r>
      <w:proofErr w:type="gramEnd"/>
      <w:r>
        <w:t>。制度回應</w:t>
      </w:r>
      <w:proofErr w:type="gramStart"/>
      <w:r>
        <w:t>應</w:t>
      </w:r>
      <w:proofErr w:type="gramEnd"/>
      <w:r>
        <w:t>為:契約控制上,採購合約應納入「</w:t>
      </w:r>
      <w:proofErr w:type="gramStart"/>
      <w:r>
        <w:t>框定邏輯</w:t>
      </w:r>
      <w:proofErr w:type="gramEnd"/>
      <w:r>
        <w:t>可重建」的驗收條件,而非僅要求演算法公平性測試報告——公平性測試可以通過,</w:t>
      </w:r>
      <w:proofErr w:type="gramStart"/>
      <w:r>
        <w:t>但框</w:t>
      </w:r>
      <w:proofErr w:type="gramEnd"/>
      <w:r>
        <w:t>定邏輯依然不可重建(這正是SyRI呈現的組合);對應七項治理審計中的組織能力審計,查核機關本身是否有能力要求供應商交出可重建的邏輯文件,而非被供應商的技術壟斷牽著走。這裡的政策意涵是:司法事後矯正成本太高,不能作為常態機制,必須把可</w:t>
      </w:r>
      <w:proofErr w:type="gramStart"/>
      <w:r>
        <w:t>重建性前移到</w:t>
      </w:r>
      <w:proofErr w:type="gramEnd"/>
      <w:r>
        <w:t>部署前的驗收關卡。</w:t>
      </w:r>
    </w:p>
    <w:p w:rsidR="00044BA7" w:rsidRDefault="00A71920">
      <w:r>
        <w:lastRenderedPageBreak/>
        <w:t>這與我國風險分類框架將「缺乏透明性或可解釋性」界定為可能妨礙法</w:t>
      </w:r>
      <w:proofErr w:type="gramStart"/>
      <w:r>
        <w:t>遵</w:t>
      </w:r>
      <w:proofErr w:type="gramEnd"/>
      <w:r>
        <w:t>監督、追究責任與改正錯誤的風險相呼應（數位發展部，</w:t>
      </w:r>
      <w:r>
        <w:t>2026</w:t>
      </w:r>
      <w:r>
        <w:t>）。但本文的主張更窄：可解釋性不是一份部署後才補交的說</w:t>
      </w:r>
      <w:r>
        <w:t>明文件，而應在採購、驗收與上線前，即被檢驗是否足以支撐理由鏈的可重建性。</w:t>
      </w:r>
    </w:p>
    <w:p w:rsidR="00383A90" w:rsidRDefault="007241BF">
      <w:pPr>
        <w:pStyle w:val="2"/>
        <w:spacing w:before="300" w:after="200"/>
      </w:pPr>
      <w:r>
        <w:rPr>
          <w:b/>
          <w:bCs/>
        </w:rPr>
        <w:t>四、機制三(Robodebt型):C1-13(舉證責任分配)之暫定提案</w:t>
      </w:r>
    </w:p>
    <w:p w:rsidR="00383A90" w:rsidRDefault="007241BF">
      <w:pPr>
        <w:spacing w:after="200" w:line="360" w:lineRule="auto"/>
        <w:jc w:val="both"/>
      </w:pPr>
      <w:r>
        <w:t>這是三種機制中最嚴重的,因為它不只是資訊不對等,而是</w:t>
      </w:r>
      <w:proofErr w:type="gramStart"/>
      <w:r>
        <w:t>把糾錯</w:t>
      </w:r>
      <w:proofErr w:type="gramEnd"/>
      <w:r>
        <w:t>的成本結構性轉嫁給受害者。既有C1十二指標裡,最接近的是C1-5(納入/排除標準)與C1-11(</w:t>
      </w:r>
      <w:proofErr w:type="gramStart"/>
      <w:r>
        <w:t>框定異議</w:t>
      </w:r>
      <w:proofErr w:type="gramEnd"/>
      <w:r>
        <w:t>管道),但兩者都沒有直接問「當異議發生時,誰負擔證明責任」。本文在此明確聲明:本文建議在C1既有十二指標之外,增列一項檢查性子指標(暫名C1-13,舉證責任分配),用於補充</w:t>
      </w:r>
      <w:proofErr w:type="gramStart"/>
      <w:r>
        <w:t>檢視框定異議</w:t>
      </w:r>
      <w:proofErr w:type="gramEnd"/>
      <w:r>
        <w:t>發生時舉證責任落在機關或受影響者一方;此為本文基於案例操作提出的初步建議,尚未經過②之Delphi校準程序,不計入C1正式平均,僅作為後續正式化前的觀察項與待驗證假說。制度回應則是:上線前的C1補正清單中,明確要求機關記載若受影響者</w:t>
      </w:r>
      <w:proofErr w:type="gramStart"/>
      <w:r>
        <w:t>對框定</w:t>
      </w:r>
      <w:proofErr w:type="gramEnd"/>
      <w:r>
        <w:t>提出異議,舉證責任預設落在何方;對應七項治理審計中的</w:t>
      </w:r>
      <w:proofErr w:type="gramStart"/>
      <w:r>
        <w:t>民主課責審計</w:t>
      </w:r>
      <w:proofErr w:type="gramEnd"/>
      <w:r>
        <w:t>,查核異議程序是否事實上要求受影響者自證機關</w:t>
      </w:r>
      <w:proofErr w:type="gramStart"/>
      <w:r>
        <w:t>的框定錯</w:t>
      </w:r>
      <w:proofErr w:type="gramEnd"/>
      <w:r>
        <w:t>誤。</w:t>
      </w:r>
    </w:p>
    <w:p w:rsidR="00044BA7" w:rsidRDefault="00A71920">
      <w:r>
        <w:t>C1-13</w:t>
      </w:r>
      <w:r>
        <w:t>暫置於情境</w:t>
      </w:r>
      <w:proofErr w:type="gramStart"/>
      <w:r>
        <w:t>建構鏈</w:t>
      </w:r>
      <w:proofErr w:type="gramEnd"/>
      <w:r>
        <w:t>，不是要把理由鏈或責任鏈併入</w:t>
      </w:r>
      <w:r>
        <w:t>C1</w:t>
      </w:r>
      <w:r>
        <w:t>。其理由在於，舉證責任的預設先決定了哪些資料、推定與風險分類得被視為「暫時成立」的行政事實，以及誰必須負擔推翻它的</w:t>
      </w:r>
      <w:r>
        <w:t>成本；此一規範設定的根源仍在前</w:t>
      </w:r>
      <w:proofErr w:type="gramStart"/>
      <w:r>
        <w:t>端框定</w:t>
      </w:r>
      <w:proofErr w:type="gramEnd"/>
      <w:r>
        <w:t>。至於該預設一旦作用於個案，決定者無法說明理由或機關未能修正損害，則分別構成理由鏈與責任鏈的後續表現。</w:t>
      </w:r>
      <w:r>
        <w:t>C1-13</w:t>
      </w:r>
      <w:r>
        <w:t>因此只觀察前端責任配置的起點，不取代後兩鏈既有的審計。</w:t>
      </w:r>
    </w:p>
    <w:p w:rsidR="00383A90" w:rsidRDefault="007241BF">
      <w:pPr>
        <w:pStyle w:val="2"/>
        <w:spacing w:before="300" w:after="200"/>
      </w:pPr>
      <w:r>
        <w:rPr>
          <w:b/>
          <w:bCs/>
        </w:rPr>
        <w:t>五、跨案例的共通建議</w:t>
      </w:r>
    </w:p>
    <w:p w:rsidR="00383A90" w:rsidRDefault="007241BF">
      <w:pPr>
        <w:spacing w:after="200" w:line="360" w:lineRule="auto"/>
        <w:jc w:val="both"/>
      </w:pPr>
      <w:r>
        <w:t>三個案例共通的政策意涵是:司法與監察介入的成本,遠高於部署前的補正成本。SyRI靠法院、Robodebt靠皇家調查委員會、AFST至今尚未有對等的外部介入</w:t>
      </w:r>
      <w:proofErr w:type="gramStart"/>
      <w:r>
        <w:t>—</w:t>
      </w:r>
      <w:proofErr w:type="gramEnd"/>
      <w:r>
        <w:t>—這呼應②結論「事前預警與輔導」的立場,本文在此基礎上補充下表。</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3050"/>
        <w:gridCol w:w="3050"/>
      </w:tblGrid>
      <w:tr w:rsidR="00383A90">
        <w:tc>
          <w:tcPr>
            <w:tcW w:w="2400" w:type="dxa"/>
            <w:shd w:val="clear" w:color="auto" w:fill="E8E8E8"/>
            <w:tcMar>
              <w:top w:w="80" w:type="dxa"/>
              <w:left w:w="100" w:type="dxa"/>
              <w:bottom w:w="80" w:type="dxa"/>
              <w:right w:w="100" w:type="dxa"/>
            </w:tcMar>
          </w:tcPr>
          <w:p w:rsidR="00383A90" w:rsidRDefault="007241BF">
            <w:r>
              <w:rPr>
                <w:b/>
                <w:bCs/>
                <w:sz w:val="20"/>
                <w:szCs w:val="20"/>
              </w:rPr>
              <w:lastRenderedPageBreak/>
              <w:t>溢出機制</w:t>
            </w:r>
          </w:p>
        </w:tc>
        <w:tc>
          <w:tcPr>
            <w:tcW w:w="3050" w:type="dxa"/>
            <w:shd w:val="clear" w:color="auto" w:fill="E8E8E8"/>
            <w:tcMar>
              <w:top w:w="80" w:type="dxa"/>
              <w:left w:w="100" w:type="dxa"/>
              <w:bottom w:w="80" w:type="dxa"/>
              <w:right w:w="100" w:type="dxa"/>
            </w:tcMar>
          </w:tcPr>
          <w:p w:rsidR="00383A90" w:rsidRDefault="007241BF">
            <w:r>
              <w:rPr>
                <w:b/>
                <w:bCs/>
                <w:sz w:val="20"/>
                <w:szCs w:val="20"/>
              </w:rPr>
              <w:t>事後矯正成本(已發生)</w:t>
            </w:r>
          </w:p>
        </w:tc>
        <w:tc>
          <w:tcPr>
            <w:tcW w:w="3050" w:type="dxa"/>
            <w:shd w:val="clear" w:color="auto" w:fill="E8E8E8"/>
            <w:tcMar>
              <w:top w:w="80" w:type="dxa"/>
              <w:left w:w="100" w:type="dxa"/>
              <w:bottom w:w="80" w:type="dxa"/>
              <w:right w:w="100" w:type="dxa"/>
            </w:tcMar>
          </w:tcPr>
          <w:p w:rsidR="00383A90" w:rsidRDefault="007241BF">
            <w:r>
              <w:rPr>
                <w:b/>
                <w:bCs/>
                <w:sz w:val="20"/>
                <w:szCs w:val="20"/>
              </w:rPr>
              <w:t>事前補正工具(本文建議)</w:t>
            </w:r>
          </w:p>
        </w:tc>
      </w:tr>
      <w:tr w:rsidR="00383A90">
        <w:tc>
          <w:tcPr>
            <w:tcW w:w="2400" w:type="dxa"/>
            <w:tcMar>
              <w:top w:w="80" w:type="dxa"/>
              <w:left w:w="100" w:type="dxa"/>
              <w:bottom w:w="80" w:type="dxa"/>
              <w:right w:w="100" w:type="dxa"/>
            </w:tcMar>
          </w:tcPr>
          <w:p w:rsidR="00383A90" w:rsidRDefault="007241BF">
            <w:proofErr w:type="gramStart"/>
            <w:r>
              <w:rPr>
                <w:sz w:val="20"/>
                <w:szCs w:val="20"/>
              </w:rPr>
              <w:t>覆核錯位</w:t>
            </w:r>
            <w:proofErr w:type="gramEnd"/>
            <w:r>
              <w:rPr>
                <w:sz w:val="20"/>
                <w:szCs w:val="20"/>
              </w:rPr>
              <w:t>(AFST型)</w:t>
            </w:r>
          </w:p>
        </w:tc>
        <w:tc>
          <w:tcPr>
            <w:tcW w:w="3050" w:type="dxa"/>
            <w:tcMar>
              <w:top w:w="80" w:type="dxa"/>
              <w:left w:w="100" w:type="dxa"/>
              <w:bottom w:w="80" w:type="dxa"/>
              <w:right w:w="100" w:type="dxa"/>
            </w:tcMar>
          </w:tcPr>
          <w:p w:rsidR="00383A90" w:rsidRDefault="007241BF">
            <w:r>
              <w:rPr>
                <w:sz w:val="20"/>
                <w:szCs w:val="20"/>
              </w:rPr>
              <w:t>尚未發生,狀態待觀察</w:t>
            </w:r>
          </w:p>
        </w:tc>
        <w:tc>
          <w:tcPr>
            <w:tcW w:w="3050" w:type="dxa"/>
            <w:tcMar>
              <w:top w:w="80" w:type="dxa"/>
              <w:left w:w="100" w:type="dxa"/>
              <w:bottom w:w="80" w:type="dxa"/>
              <w:right w:w="100" w:type="dxa"/>
            </w:tcMar>
          </w:tcPr>
          <w:p w:rsidR="00383A90" w:rsidRDefault="007241BF">
            <w:proofErr w:type="gramStart"/>
            <w:r>
              <w:rPr>
                <w:sz w:val="20"/>
                <w:szCs w:val="20"/>
              </w:rPr>
              <w:t>框定異議</w:t>
            </w:r>
            <w:proofErr w:type="gramEnd"/>
            <w:r>
              <w:rPr>
                <w:sz w:val="20"/>
                <w:szCs w:val="20"/>
              </w:rPr>
              <w:t>與個案申訴分離立法/契約條款</w:t>
            </w:r>
          </w:p>
        </w:tc>
      </w:tr>
      <w:tr w:rsidR="00383A90">
        <w:tc>
          <w:tcPr>
            <w:tcW w:w="2400" w:type="dxa"/>
            <w:tcMar>
              <w:top w:w="80" w:type="dxa"/>
              <w:left w:w="100" w:type="dxa"/>
              <w:bottom w:w="80" w:type="dxa"/>
              <w:right w:w="100" w:type="dxa"/>
            </w:tcMar>
          </w:tcPr>
          <w:p w:rsidR="00383A90" w:rsidRDefault="007241BF">
            <w:r>
              <w:rPr>
                <w:sz w:val="20"/>
                <w:szCs w:val="20"/>
              </w:rPr>
              <w:t>技術不可解釋(SyRI型)</w:t>
            </w:r>
          </w:p>
        </w:tc>
        <w:tc>
          <w:tcPr>
            <w:tcW w:w="3050" w:type="dxa"/>
            <w:tcMar>
              <w:top w:w="80" w:type="dxa"/>
              <w:left w:w="100" w:type="dxa"/>
              <w:bottom w:w="80" w:type="dxa"/>
              <w:right w:w="100" w:type="dxa"/>
            </w:tcMar>
          </w:tcPr>
          <w:p w:rsidR="00383A90" w:rsidRDefault="007241BF">
            <w:r>
              <w:rPr>
                <w:sz w:val="20"/>
                <w:szCs w:val="20"/>
              </w:rPr>
              <w:t>訴訟、制度停用</w:t>
            </w:r>
          </w:p>
        </w:tc>
        <w:tc>
          <w:tcPr>
            <w:tcW w:w="3050" w:type="dxa"/>
            <w:tcMar>
              <w:top w:w="80" w:type="dxa"/>
              <w:left w:w="100" w:type="dxa"/>
              <w:bottom w:w="80" w:type="dxa"/>
              <w:right w:w="100" w:type="dxa"/>
            </w:tcMar>
          </w:tcPr>
          <w:p w:rsidR="00383A90" w:rsidRDefault="007241BF">
            <w:r>
              <w:rPr>
                <w:sz w:val="20"/>
                <w:szCs w:val="20"/>
              </w:rPr>
              <w:t>採購驗收</w:t>
            </w:r>
            <w:proofErr w:type="gramStart"/>
            <w:r>
              <w:rPr>
                <w:sz w:val="20"/>
                <w:szCs w:val="20"/>
              </w:rPr>
              <w:t>納入框定邏輯</w:t>
            </w:r>
            <w:proofErr w:type="gramEnd"/>
            <w:r>
              <w:rPr>
                <w:sz w:val="20"/>
                <w:szCs w:val="20"/>
              </w:rPr>
              <w:t>可重建性條款</w:t>
            </w:r>
          </w:p>
        </w:tc>
      </w:tr>
      <w:tr w:rsidR="00383A90">
        <w:tc>
          <w:tcPr>
            <w:tcW w:w="2400" w:type="dxa"/>
            <w:tcMar>
              <w:top w:w="80" w:type="dxa"/>
              <w:left w:w="100" w:type="dxa"/>
              <w:bottom w:w="80" w:type="dxa"/>
              <w:right w:w="100" w:type="dxa"/>
            </w:tcMar>
          </w:tcPr>
          <w:p w:rsidR="00383A90" w:rsidRDefault="007241BF">
            <w:r>
              <w:rPr>
                <w:sz w:val="20"/>
                <w:szCs w:val="20"/>
              </w:rPr>
              <w:t>舉證倒置(Robodebt型)</w:t>
            </w:r>
          </w:p>
        </w:tc>
        <w:tc>
          <w:tcPr>
            <w:tcW w:w="3050" w:type="dxa"/>
            <w:tcMar>
              <w:top w:w="80" w:type="dxa"/>
              <w:left w:w="100" w:type="dxa"/>
              <w:bottom w:w="80" w:type="dxa"/>
              <w:right w:w="100" w:type="dxa"/>
            </w:tcMar>
          </w:tcPr>
          <w:p w:rsidR="00383A90" w:rsidRDefault="007241BF">
            <w:r>
              <w:rPr>
                <w:sz w:val="20"/>
                <w:szCs w:val="20"/>
              </w:rPr>
              <w:t>皇家調查委員會、集體訴訟</w:t>
            </w:r>
          </w:p>
        </w:tc>
        <w:tc>
          <w:tcPr>
            <w:tcW w:w="3050" w:type="dxa"/>
            <w:tcMar>
              <w:top w:w="80" w:type="dxa"/>
              <w:left w:w="100" w:type="dxa"/>
              <w:bottom w:w="80" w:type="dxa"/>
              <w:right w:w="100" w:type="dxa"/>
            </w:tcMar>
          </w:tcPr>
          <w:p w:rsidR="00383A90" w:rsidRDefault="007241BF">
            <w:r>
              <w:rPr>
                <w:sz w:val="20"/>
                <w:szCs w:val="20"/>
              </w:rPr>
              <w:t>C1-13(舉證責任分配)作為上線前檢查項</w:t>
            </w:r>
          </w:p>
        </w:tc>
      </w:tr>
    </w:tbl>
    <w:p w:rsidR="00383A90" w:rsidRDefault="007241BF">
      <w:pPr>
        <w:pStyle w:val="2"/>
        <w:spacing w:before="300" w:after="200"/>
      </w:pPr>
      <w:r>
        <w:rPr>
          <w:b/>
          <w:bCs/>
        </w:rPr>
        <w:t>六、與七項治理審計的分工重申</w:t>
      </w:r>
    </w:p>
    <w:p w:rsidR="00044BA7" w:rsidRDefault="00A71920">
      <w:pPr>
        <w:pStyle w:val="2"/>
      </w:pPr>
      <w:r>
        <w:t>就臺灣政策實務而言，《人工智慧基本法》第</w:t>
      </w:r>
      <w:r>
        <w:t>19</w:t>
      </w:r>
      <w:r>
        <w:t>條要求政府使用</w:t>
      </w:r>
      <w:r>
        <w:t>AI</w:t>
      </w:r>
      <w:r>
        <w:t>執行業務或提供服務時進行風險評估並訂定使用規範或內控管理機制；數位發展部《人工智慧風險分類框架》則以盤點情境、識別、評估與應對風險為共同程序。本文不將四鏈取代該框架，而是提供高權益影響應用在採購、驗收與上線審查時的追問方式：是否</w:t>
      </w:r>
      <w:proofErr w:type="gramStart"/>
      <w:r>
        <w:t>保有框定層級</w:t>
      </w:r>
      <w:proofErr w:type="gramEnd"/>
      <w:r>
        <w:t>異議管道、</w:t>
      </w:r>
      <w:proofErr w:type="gramStart"/>
      <w:r>
        <w:t>框定邏</w:t>
      </w:r>
      <w:proofErr w:type="gramEnd"/>
      <w:r>
        <w:t>輯是否可重建、異議時的初步舉證與修正責任是否仍由機關負擔。這三項可作為既有風險程序的補強切入點。這也呼應民間司法改革基金會</w:t>
      </w:r>
      <w:r>
        <w:t>(2025)</w:t>
      </w:r>
      <w:r>
        <w:t>對《人工智慧基本法》三讀通過之聲明</w:t>
      </w:r>
      <w:proofErr w:type="gramStart"/>
      <w:r>
        <w:t>—</w:t>
      </w:r>
      <w:proofErr w:type="gramEnd"/>
      <w:r>
        <w:t>—</w:t>
      </w:r>
      <w:r>
        <w:t>該聲明指出</w:t>
      </w:r>
      <w:r>
        <w:t>,</w:t>
      </w:r>
      <w:r>
        <w:t>法案全文欠</w:t>
      </w:r>
      <w:r>
        <w:t>缺具拘束力的實體權利條款</w:t>
      </w:r>
      <w:r>
        <w:t>,</w:t>
      </w:r>
      <w:r>
        <w:t>並呼籲盡速將「決策解釋權」與「退出決策權</w:t>
      </w:r>
      <w:r>
        <w:t>(</w:t>
      </w:r>
      <w:r>
        <w:t>人工審查權</w:t>
      </w:r>
      <w:r>
        <w:t>)</w:t>
      </w:r>
      <w:r>
        <w:t>」法制化</w:t>
      </w:r>
      <w:r>
        <w:t>,</w:t>
      </w:r>
      <w:r>
        <w:t>使受影響者於</w:t>
      </w:r>
      <w:r>
        <w:t>AI</w:t>
      </w:r>
      <w:r>
        <w:t>決策造成重大不利益時</w:t>
      </w:r>
      <w:r>
        <w:t>,</w:t>
      </w:r>
      <w:r>
        <w:t>得要求可理解之解釋並訴諸人工審查。這兩項訴求分別對應本文的理由鏈與情境</w:t>
      </w:r>
      <w:proofErr w:type="gramStart"/>
      <w:r>
        <w:t>建構鏈</w:t>
      </w:r>
      <w:proofErr w:type="gramEnd"/>
      <w:r>
        <w:t>:</w:t>
      </w:r>
      <w:r>
        <w:t>決策解釋權要求的正是</w:t>
      </w:r>
      <w:proofErr w:type="gramStart"/>
      <w:r>
        <w:t>理由鏈可回</w:t>
      </w:r>
      <w:proofErr w:type="gramEnd"/>
      <w:r>
        <w:t>連事實與規範的能力</w:t>
      </w:r>
      <w:r>
        <w:t>,</w:t>
      </w:r>
      <w:r>
        <w:t>人工審查權則預設</w:t>
      </w:r>
      <w:proofErr w:type="gramStart"/>
      <w:r>
        <w:t>了框</w:t>
      </w:r>
      <w:proofErr w:type="gramEnd"/>
      <w:r>
        <w:t>定層級異議管道</w:t>
      </w:r>
      <w:r>
        <w:t>(</w:t>
      </w:r>
      <w:r>
        <w:t>而非僅止於個案覆核</w:t>
      </w:r>
      <w:r>
        <w:t>)</w:t>
      </w:r>
      <w:r>
        <w:t>的存在。本文之三種制度回應與</w:t>
      </w:r>
      <w:r>
        <w:t>C1-13</w:t>
      </w:r>
      <w:r>
        <w:t>提案</w:t>
      </w:r>
      <w:r>
        <w:t>,</w:t>
      </w:r>
      <w:r>
        <w:t>可視為將此一本土公民社會</w:t>
      </w:r>
      <w:proofErr w:type="gramStart"/>
      <w:r>
        <w:t>訴求轉譯</w:t>
      </w:r>
      <w:proofErr w:type="gramEnd"/>
      <w:r>
        <w:t>為情境</w:t>
      </w:r>
      <w:proofErr w:type="gramStart"/>
      <w:r>
        <w:t>建構鏈上</w:t>
      </w:r>
      <w:proofErr w:type="gramEnd"/>
      <w:r>
        <w:t>線前檢查項的具體嘗試。</w:t>
      </w:r>
    </w:p>
    <w:p w:rsidR="00383A90" w:rsidRDefault="007241BF">
      <w:pPr>
        <w:spacing w:after="200" w:line="360" w:lineRule="auto"/>
        <w:jc w:val="both"/>
      </w:pPr>
      <w:r>
        <w:t>本節所有制度回應,查核依據仍是既有七項治理審計,沒有新增審計項目</w:t>
      </w:r>
      <w:proofErr w:type="gramStart"/>
      <w:r>
        <w:t>—</w:t>
      </w:r>
      <w:proofErr w:type="gramEnd"/>
      <w:r>
        <w:t>—唯一的新增是C1-13這個明確標示為未正式化的觀察項。這是刻意的節制:總</w:t>
      </w:r>
      <w:proofErr w:type="gramStart"/>
      <w:r>
        <w:t>覽</w:t>
      </w:r>
      <w:proofErr w:type="gramEnd"/>
      <w:r>
        <w:t>文件已警告不同論文各自新增判準工具卻不互相對照,會被誤認為互相競爭的量表。本文因此把新增範圍壓到最小,並在提出時就標明其驗證狀態。</w:t>
      </w:r>
    </w:p>
    <w:p w:rsidR="00383A90" w:rsidRDefault="007241BF">
      <w:pPr>
        <w:spacing w:before="200" w:after="80"/>
        <w:jc w:val="center"/>
      </w:pPr>
      <w:r>
        <w:rPr>
          <w:noProof/>
        </w:rPr>
        <w:lastRenderedPageBreak/>
        <w:drawing>
          <wp:inline distT="0" distB="0" distL="0" distR="0">
            <wp:extent cx="5334000" cy="1647825"/>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334000" cy="1647825"/>
                    </a:xfrm>
                    <a:prstGeom prst="rect">
                      <a:avLst/>
                    </a:prstGeom>
                  </pic:spPr>
                </pic:pic>
              </a:graphicData>
            </a:graphic>
          </wp:inline>
        </w:drawing>
      </w:r>
    </w:p>
    <w:p w:rsidR="00383A90" w:rsidRDefault="007241BF">
      <w:pPr>
        <w:spacing w:after="240"/>
        <w:jc w:val="center"/>
      </w:pPr>
      <w:r>
        <w:rPr>
          <w:i/>
          <w:iCs/>
          <w:color w:val="555555"/>
          <w:sz w:val="18"/>
          <w:szCs w:val="18"/>
        </w:rPr>
        <w:t>圖5.1　四條治理鏈與七項治理審計之對應關係(沿用自本系列既有圖表)</w:t>
      </w:r>
    </w:p>
    <w:p w:rsidR="00383A90" w:rsidRDefault="007241BF">
      <w:pPr>
        <w:spacing w:after="200" w:line="360" w:lineRule="auto"/>
        <w:jc w:val="both"/>
      </w:pPr>
      <w:r>
        <w:t>上表可作為伍節制度回應的查核依據索引:機制</w:t>
      </w:r>
      <w:proofErr w:type="gramStart"/>
      <w:r>
        <w:t>一</w:t>
      </w:r>
      <w:proofErr w:type="gramEnd"/>
      <w:r>
        <w:t>(AFST型)對應裁量邊界審計;機制二(SyRI型)對應組織能力審計;機制三(Robodebt型)對應</w:t>
      </w:r>
      <w:proofErr w:type="gramStart"/>
      <w:r>
        <w:t>民主課責審計</w:t>
      </w:r>
      <w:proofErr w:type="gramEnd"/>
      <w:r>
        <w:t>。C1-13之查核</w:t>
      </w:r>
      <w:proofErr w:type="gramStart"/>
      <w:r>
        <w:t>則暫附於民主課責審</w:t>
      </w:r>
      <w:proofErr w:type="gramEnd"/>
      <w:r>
        <w:t>計之下,待併入②之Delphi校準規劃後,再另行決定其正式歸屬。</w:t>
      </w:r>
    </w:p>
    <w:p w:rsidR="00383A90" w:rsidRDefault="007241BF">
      <w:r>
        <w:br w:type="page"/>
      </w:r>
    </w:p>
    <w:p w:rsidR="00383A90" w:rsidRDefault="007241BF">
      <w:pPr>
        <w:pStyle w:val="1"/>
        <w:spacing w:before="300" w:after="200"/>
      </w:pPr>
      <w:r>
        <w:rPr>
          <w:b/>
          <w:bCs/>
        </w:rPr>
        <w:lastRenderedPageBreak/>
        <w:t>陸、結論</w:t>
      </w:r>
    </w:p>
    <w:p w:rsidR="00383A90" w:rsidRDefault="007241BF">
      <w:pPr>
        <w:pStyle w:val="2"/>
        <w:spacing w:before="300" w:after="200"/>
      </w:pPr>
      <w:r>
        <w:rPr>
          <w:b/>
          <w:bCs/>
        </w:rPr>
        <w:t>一、本文對整個系列的邊際貢獻</w:t>
      </w:r>
    </w:p>
    <w:p w:rsidR="00383A90" w:rsidRDefault="007241BF">
      <w:pPr>
        <w:spacing w:after="200" w:line="360" w:lineRule="auto"/>
        <w:jc w:val="both"/>
      </w:pPr>
      <w:r>
        <w:t>第十六篇的範圍限於既有元素的再解讀與最小化擴充。其貢獻不在重新定義母架構，而在使既有測量結果能以四大核心價值的語言被辨識與討論。</w:t>
      </w:r>
    </w:p>
    <w:p w:rsidR="00383A90" w:rsidRDefault="007241BF">
      <w:pPr>
        <w:spacing w:after="200" w:line="360" w:lineRule="auto"/>
        <w:jc w:val="both"/>
      </w:pPr>
      <w:r>
        <w:t>第一,四大核心價值的鏈式映射</w:t>
      </w:r>
      <w:proofErr w:type="gramStart"/>
      <w:r>
        <w:t>—</w:t>
      </w:r>
      <w:proofErr w:type="gramEnd"/>
      <w:r>
        <w:t>—</w:t>
      </w:r>
      <w:proofErr w:type="gramStart"/>
      <w:r>
        <w:t>把課</w:t>
      </w:r>
      <w:proofErr w:type="gramEnd"/>
      <w:r>
        <w:t>責、負責、透明、公正從四個獨立檢核項,重新定位為四條治理鏈的規範性顯現,並修正了「鏈對P1/P2/P3</w:t>
      </w:r>
      <w:proofErr w:type="gramStart"/>
      <w:r>
        <w:t>一</w:t>
      </w:r>
      <w:proofErr w:type="gramEnd"/>
      <w:r>
        <w:t>一對應」這個容易犯的錯誤,改採「主要承載/次要溢出」的鬆散對應。這是概念澄清型貢獻,沒有新增測量工具。</w:t>
      </w:r>
    </w:p>
    <w:p w:rsidR="00383A90" w:rsidRDefault="007241BF">
      <w:pPr>
        <w:spacing w:after="200" w:line="360" w:lineRule="auto"/>
        <w:jc w:val="both"/>
      </w:pPr>
      <w:r>
        <w:t>第二,溢出機制的類型化</w:t>
      </w:r>
      <w:proofErr w:type="gramStart"/>
      <w:r>
        <w:t>—</w:t>
      </w:r>
      <w:proofErr w:type="gramEnd"/>
      <w:r>
        <w:t>—用AFST、SyRI、Robodebt的既有P1/C1數據,具體區分出三種價值溢出路徑(</w:t>
      </w:r>
      <w:proofErr w:type="gramStart"/>
      <w:r>
        <w:t>覆核錯</w:t>
      </w:r>
      <w:proofErr w:type="gramEnd"/>
      <w:r>
        <w:t>位、技術不可解釋、舉證責任倒置),而非停留在②「高P1暴露若與低C1完整度並存,較可能使理由鏈與責任鏈出現連鎖斷裂」這個一般性傳導命題。這是資料再利用型貢獻</w:t>
      </w:r>
      <w:proofErr w:type="gramStart"/>
      <w:r>
        <w:t>—</w:t>
      </w:r>
      <w:proofErr w:type="gramEnd"/>
      <w:r>
        <w:t>—重新解讀既有編碼,沒有重新選案或重新評分。</w:t>
      </w:r>
    </w:p>
    <w:p w:rsidR="00383A90" w:rsidRDefault="007241BF">
      <w:pPr>
        <w:spacing w:after="200" w:line="360" w:lineRule="auto"/>
        <w:jc w:val="both"/>
      </w:pPr>
      <w:r>
        <w:t>第三,C1-13(舉證責任分配)之暫定提案</w:t>
      </w:r>
      <w:proofErr w:type="gramStart"/>
      <w:r>
        <w:t>—</w:t>
      </w:r>
      <w:proofErr w:type="gramEnd"/>
      <w:r>
        <w:t>—這是本文唯一可能被視為新增子工具的部分,但已明確標示其未正式化狀態,不計入C1主平均。這是待驗證假說,不是新指標。</w:t>
      </w:r>
    </w:p>
    <w:p w:rsidR="00383A90" w:rsidRDefault="007241BF">
      <w:pPr>
        <w:spacing w:after="200" w:line="360" w:lineRule="auto"/>
        <w:jc w:val="both"/>
      </w:pPr>
      <w:r>
        <w:t>三項貢獻的共同性質是:都建立在既有測量之上做二次分析,不在二十五座標、P1/P2/P3、三項結構效應、七項治理審計任何一層新增計分邏輯。這個節制本身也是刻意的方法論立場,呼應②「母架構真正能夠成立的主張,是遠為謙遜」這個態度。</w:t>
      </w:r>
    </w:p>
    <w:p w:rsidR="00383A90" w:rsidRDefault="007241BF">
      <w:pPr>
        <w:pStyle w:val="2"/>
        <w:spacing w:before="300" w:after="200"/>
      </w:pPr>
      <w:r>
        <w:rPr>
          <w:b/>
          <w:bCs/>
        </w:rPr>
        <w:t>二、系列定位交代</w:t>
      </w:r>
    </w:p>
    <w:p w:rsidR="00383A90" w:rsidRDefault="007241BF">
      <w:pPr>
        <w:spacing w:after="200" w:line="360" w:lineRule="auto"/>
        <w:jc w:val="both"/>
      </w:pPr>
      <w:r>
        <w:t>本文屬於系列C（價值整合型）第一篇。系列A深化情境</w:t>
      </w:r>
      <w:proofErr w:type="gramStart"/>
      <w:r>
        <w:t>建構鏈的</w:t>
      </w:r>
      <w:proofErr w:type="gramEnd"/>
      <w:r>
        <w:t>測量顆粒度（P1／C1、PE／PI）；系列B將母架構用於不同治理場域；系列C則將既有測量結果重新對</w:t>
      </w:r>
      <w:r>
        <w:lastRenderedPageBreak/>
        <w:t>應至四大核心價值，作為價值語言的翻譯。</w:t>
      </w:r>
    </w:p>
    <w:p w:rsidR="00383A90" w:rsidRDefault="007241BF">
      <w:pPr>
        <w:pStyle w:val="2"/>
        <w:spacing w:before="300" w:after="200"/>
      </w:pPr>
      <w:r>
        <w:rPr>
          <w:b/>
          <w:bCs/>
        </w:rPr>
        <w:t>三、C1-13的驗證路徑</w:t>
      </w:r>
    </w:p>
    <w:p w:rsidR="00383A90" w:rsidRDefault="007241BF">
      <w:pPr>
        <w:spacing w:after="200" w:line="360" w:lineRule="auto"/>
        <w:jc w:val="both"/>
      </w:pPr>
      <w:r>
        <w:t>C1-13目前僅是本文基於</w:t>
      </w:r>
      <w:proofErr w:type="gramStart"/>
      <w:r>
        <w:t>三</w:t>
      </w:r>
      <w:proofErr w:type="gramEnd"/>
      <w:r>
        <w:t>案例操作觀察到的假說,尚未經過②結論所承諾的Delphi校準程序。依總</w:t>
      </w:r>
      <w:proofErr w:type="gramStart"/>
      <w:r>
        <w:t>覽</w:t>
      </w:r>
      <w:proofErr w:type="gramEnd"/>
      <w:r>
        <w:t>文件的一致性原則(不同判準工具若要並存,須交代適用範圍,避免被誤認互相競爭),C1-13的後續處理路徑建議明確分工:不建議由本文自行完成校準</w:t>
      </w:r>
      <w:proofErr w:type="gramStart"/>
      <w:r>
        <w:t>—</w:t>
      </w:r>
      <w:proofErr w:type="gramEnd"/>
      <w:r>
        <w:t>—本文的案例操作只有三案,樣本量與方法論強度都不足以支撐一項新指標的</w:t>
      </w:r>
      <w:proofErr w:type="gramStart"/>
      <w:r>
        <w:t>內容效度檢</w:t>
      </w:r>
      <w:proofErr w:type="gramEnd"/>
      <w:r>
        <w:t>驗,勉強做只會製造「精緻地重複同一個尚未被檢驗的假設」;建議交由②的後續正式化論文處理——②結論已承諾「以Delphi校準P1與C1內容效度及必要條件」,C1-13應併入這個既定的校準計畫,而非另立門戶。換言之,本文對C1-13的定位是提出觀察、交棒給既定的方法論下一步,</w:t>
      </w:r>
      <w:proofErr w:type="gramStart"/>
      <w:r>
        <w:t>不</w:t>
      </w:r>
      <w:proofErr w:type="gramEnd"/>
      <w:r>
        <w:t>自行收尾。</w:t>
      </w:r>
    </w:p>
    <w:p w:rsidR="00383A90" w:rsidRDefault="007241BF">
      <w:pPr>
        <w:pStyle w:val="2"/>
        <w:spacing w:before="300" w:after="200"/>
      </w:pPr>
      <w:r>
        <w:rPr>
          <w:b/>
          <w:bCs/>
        </w:rPr>
        <w:t>四、研究限制</w:t>
      </w:r>
    </w:p>
    <w:p w:rsidR="00383A90" w:rsidRDefault="007241BF">
      <w:pPr>
        <w:spacing w:after="200" w:line="360" w:lineRule="auto"/>
        <w:jc w:val="both"/>
      </w:pPr>
      <w:r>
        <w:t>本文三項貢獻均建立在②的三案例示範編碼之上,繼承其限制:單一作者重編碼、樣本非母體代表性、公開文件之可觀察</w:t>
      </w:r>
      <w:proofErr w:type="gramStart"/>
      <w:r>
        <w:t>性偏誤</w:t>
      </w:r>
      <w:proofErr w:type="gramEnd"/>
      <w:r>
        <w:t>(SyRI、Robodebt因已爆發外部摩擦而文件豐富,AFST因尚未爆發而多項指標呈NA)。</w:t>
      </w:r>
      <w:proofErr w:type="gramStart"/>
      <w:r>
        <w:t>此外,</w:t>
      </w:r>
      <w:proofErr w:type="gramEnd"/>
      <w:r>
        <w:t>「主要承載/次要溢出」的對應關係目前仍是概念性論證,尚未有量化方法檢驗溢出強度——這也是留給後續研究的空間,但不建議由系列C自行開發新的溢出強度量表,理由同前:應優先併入既定的Delphi校準規劃,而非在母架構之外</w:t>
      </w:r>
      <w:proofErr w:type="gramStart"/>
      <w:r>
        <w:t>另起量表</w:t>
      </w:r>
      <w:proofErr w:type="gramEnd"/>
      <w:r>
        <w:t>。</w:t>
      </w:r>
    </w:p>
    <w:p w:rsidR="00383A90" w:rsidRDefault="007241BF">
      <w:pPr>
        <w:pStyle w:val="2"/>
        <w:spacing w:before="300" w:after="200"/>
      </w:pPr>
      <w:r>
        <w:rPr>
          <w:b/>
          <w:bCs/>
        </w:rPr>
        <w:t>五、結語</w:t>
      </w:r>
    </w:p>
    <w:p w:rsidR="00383A90" w:rsidRDefault="007241BF">
      <w:pPr>
        <w:spacing w:after="200" w:line="360" w:lineRule="auto"/>
        <w:jc w:val="both"/>
      </w:pPr>
      <w:r>
        <w:t>四大核心價值之所以在傳統文獻中容易被工具化、碎片化,根本原因是缺乏一個能承載其動態演化性與互為表</w:t>
      </w:r>
      <w:proofErr w:type="gramStart"/>
      <w:r>
        <w:t>裏</w:t>
      </w:r>
      <w:proofErr w:type="gramEnd"/>
      <w:r>
        <w:t>性的載體。本文的貢獻不在</w:t>
      </w:r>
      <w:proofErr w:type="gramStart"/>
      <w:r>
        <w:t>提出新載體</w:t>
      </w:r>
      <w:proofErr w:type="gramEnd"/>
      <w:r>
        <w:t>,而在證明既有的四條治理鏈,已經足以承擔這個角色——代價是必須放棄「鏈對值一一對應」這種整齊但失</w:t>
      </w:r>
      <w:r>
        <w:lastRenderedPageBreak/>
        <w:t>真的簡化,改採更麻煩但更誠實的「主要承載/次要溢出」框架。這也是為什麼本文最終選擇把自己定位為系列C的翻譯者,而非另一個發明者。這個立場其實延續了盧建旭(2010)對公務倫理的主張:公務倫理的核心課題不在於增列更多獨立的倫理項目,而在於找到能整合各項分立要求的共同治理概念;本文以四條治理鏈整合四大核心價值,可視為將這個十餘年前提出的整合性關懷,具體落實到AI時代公共行政的分析架構之中。</w:t>
      </w:r>
    </w:p>
    <w:p w:rsidR="00383A90" w:rsidRDefault="007241BF">
      <w:r>
        <w:br w:type="page"/>
      </w:r>
    </w:p>
    <w:p w:rsidR="00383A90" w:rsidRDefault="007241BF">
      <w:pPr>
        <w:pStyle w:val="1"/>
        <w:spacing w:before="300" w:after="200"/>
      </w:pPr>
      <w:r>
        <w:rPr>
          <w:b/>
          <w:bCs/>
        </w:rPr>
        <w:lastRenderedPageBreak/>
        <w:t>參考文獻</w:t>
      </w:r>
    </w:p>
    <w:p w:rsidR="00383A90" w:rsidRDefault="007241BF">
      <w:pPr>
        <w:pStyle w:val="2"/>
        <w:spacing w:before="300" w:after="200"/>
      </w:pPr>
      <w:r>
        <w:rPr>
          <w:b/>
          <w:bCs/>
        </w:rPr>
        <w:t>中文文獻</w:t>
      </w:r>
    </w:p>
    <w:p w:rsidR="00383A90" w:rsidRDefault="007241BF">
      <w:pPr>
        <w:spacing w:after="200" w:line="360" w:lineRule="auto"/>
      </w:pPr>
      <w:r>
        <w:t>盧建旭(2026)。重新概念化人工智慧治理:公共行政理論視角下的二十五治理座標、三種行政權力功能性移轉、三項結構效應、四條治理鏈與七項治理審計。個人學術網站研究稿。</w:t>
      </w:r>
    </w:p>
    <w:p w:rsidR="00383A90" w:rsidRDefault="007241BF">
      <w:pPr>
        <w:spacing w:after="200" w:line="360" w:lineRule="auto"/>
      </w:pPr>
      <w:r>
        <w:t>盧建旭(2026b)。AI治理的民主</w:t>
      </w:r>
      <w:proofErr w:type="gramStart"/>
      <w:r>
        <w:t>正當性前置</w:t>
      </w:r>
      <w:proofErr w:type="gramEnd"/>
      <w:r>
        <w:t>條件:情境</w:t>
      </w:r>
      <w:proofErr w:type="gramStart"/>
      <w:r>
        <w:t>建構權移轉</w:t>
      </w:r>
      <w:proofErr w:type="gramEnd"/>
      <w:r>
        <w:t>、雙階段測量與跨案例示範。個人學術網站研究稿。</w:t>
      </w:r>
    </w:p>
    <w:p w:rsidR="00044BA7" w:rsidRDefault="00A71920">
      <w:pPr>
        <w:pStyle w:val="2"/>
      </w:pPr>
      <w:r>
        <w:t>數位發展部（</w:t>
      </w:r>
      <w:r>
        <w:t>2026</w:t>
      </w:r>
      <w:r>
        <w:t>）。人工智慧風險分類框架。</w:t>
      </w:r>
      <w:r>
        <w:t>https://law.moda.gov.tw/LawC</w:t>
      </w:r>
      <w:r>
        <w:t>ontent.aspx?id=GL000197</w:t>
      </w:r>
    </w:p>
    <w:p w:rsidR="00044BA7" w:rsidRDefault="00A71920">
      <w:pPr>
        <w:pStyle w:val="2"/>
      </w:pPr>
      <w:r>
        <w:t>人工智慧基本法（</w:t>
      </w:r>
      <w:r>
        <w:t>2026</w:t>
      </w:r>
      <w:r>
        <w:t>）。全國法規資料庫。</w:t>
      </w:r>
      <w:r>
        <w:t>https://law.moj.gov.tw/LawClass/LawAll.aspx?pcode=H0160093</w:t>
      </w:r>
    </w:p>
    <w:p w:rsidR="00044BA7" w:rsidRDefault="00A71920">
      <w:pPr>
        <w:pStyle w:val="2"/>
      </w:pPr>
      <w:r>
        <w:t>盧建旭（</w:t>
      </w:r>
      <w:r>
        <w:t>2010</w:t>
      </w:r>
      <w:r>
        <w:t>）。公務倫理：整合公共治理的概念。文官制度季刊特刊，</w:t>
      </w:r>
      <w:r>
        <w:t>39</w:t>
      </w:r>
      <w:proofErr w:type="gramStart"/>
      <w:r>
        <w:t>–</w:t>
      </w:r>
      <w:proofErr w:type="gramEnd"/>
      <w:r>
        <w:t>53</w:t>
      </w:r>
      <w:r>
        <w:t>。</w:t>
      </w:r>
    </w:p>
    <w:p w:rsidR="00044BA7" w:rsidRDefault="00A71920">
      <w:pPr>
        <w:pStyle w:val="2"/>
      </w:pPr>
      <w:r>
        <w:t>李長曄（</w:t>
      </w:r>
      <w:r>
        <w:t>2024</w:t>
      </w:r>
      <w:r>
        <w:t>）。論「全自動化行政處分」與「正當行政程序相關規定及原則」間之關係。月</w:t>
      </w:r>
      <w:proofErr w:type="gramStart"/>
      <w:r>
        <w:t>旦</w:t>
      </w:r>
      <w:proofErr w:type="gramEnd"/>
      <w:r>
        <w:t>法學雜誌，</w:t>
      </w:r>
      <w:r>
        <w:t>355</w:t>
      </w:r>
      <w:r>
        <w:t>期，</w:t>
      </w:r>
      <w:r>
        <w:t>22–31</w:t>
      </w:r>
      <w:r>
        <w:t>頁。</w:t>
      </w:r>
    </w:p>
    <w:p w:rsidR="00044BA7" w:rsidRDefault="00A71920">
      <w:pPr>
        <w:pStyle w:val="2"/>
      </w:pPr>
      <w:r>
        <w:t>張志偉（</w:t>
      </w:r>
      <w:r>
        <w:t>2025</w:t>
      </w:r>
      <w:r>
        <w:t>）。自動化行政決定之容許</w:t>
      </w:r>
      <w:proofErr w:type="gramStart"/>
      <w:r>
        <w:t>性－從行政</w:t>
      </w:r>
      <w:proofErr w:type="gramEnd"/>
      <w:r>
        <w:t>程序法及個資保護法制的觀察面向。中正大學法學集</w:t>
      </w:r>
      <w:r>
        <w:t>刊，</w:t>
      </w:r>
      <w:r>
        <w:t>88</w:t>
      </w:r>
      <w:r>
        <w:t>期，</w:t>
      </w:r>
      <w:r>
        <w:t>87</w:t>
      </w:r>
      <w:proofErr w:type="gramStart"/>
      <w:r>
        <w:t>–</w:t>
      </w:r>
      <w:proofErr w:type="gramEnd"/>
      <w:r>
        <w:t>174</w:t>
      </w:r>
      <w:r>
        <w:t>頁。</w:t>
      </w:r>
    </w:p>
    <w:p w:rsidR="00044BA7" w:rsidRDefault="00A71920">
      <w:pPr>
        <w:pStyle w:val="2"/>
      </w:pPr>
      <w:r>
        <w:t>民間司法改革基金會（</w:t>
      </w:r>
      <w:r>
        <w:t>2025</w:t>
      </w:r>
      <w:r>
        <w:t>）。聲明</w:t>
      </w:r>
      <w:proofErr w:type="gramStart"/>
      <w:r>
        <w:t>｜</w:t>
      </w:r>
      <w:proofErr w:type="gramEnd"/>
      <w:r>
        <w:t>突破政策性宣示，即刻啟動保障人民的立法工程：司改會對立法院通過《</w:t>
      </w:r>
      <w:r>
        <w:t>AI</w:t>
      </w:r>
      <w:r>
        <w:t>基本法》之聲明。</w:t>
      </w:r>
      <w:r>
        <w:t>https://www.jrf.org.tw/articles/3100</w:t>
      </w:r>
    </w:p>
    <w:p w:rsidR="00383A90" w:rsidRDefault="007241BF">
      <w:pPr>
        <w:pStyle w:val="2"/>
        <w:spacing w:before="300" w:after="200"/>
      </w:pPr>
      <w:r>
        <w:rPr>
          <w:b/>
          <w:bCs/>
        </w:rPr>
        <w:t>英文文獻</w:t>
      </w:r>
    </w:p>
    <w:p w:rsidR="00383A90" w:rsidRDefault="007241BF">
      <w:pPr>
        <w:spacing w:after="200" w:line="360" w:lineRule="auto"/>
      </w:pPr>
      <w:r>
        <w:t>Alnemr, N. (2024). Democratic self-government and the algocratic shortcut: The democratic harms in algorithmic governance of society. Contemporary Political Theory, 23(2), 205–227.</w:t>
      </w:r>
    </w:p>
    <w:p w:rsidR="00383A90" w:rsidRDefault="007241BF">
      <w:pPr>
        <w:spacing w:after="200" w:line="360" w:lineRule="auto"/>
      </w:pPr>
      <w:r>
        <w:lastRenderedPageBreak/>
        <w:t>Allegheny County Department of Human Services. (2017). Developing predictive risk models to support child maltreatment hotline screening decisions.</w:t>
      </w:r>
    </w:p>
    <w:p w:rsidR="00383A90" w:rsidRDefault="007241BF">
      <w:pPr>
        <w:spacing w:after="200" w:line="360" w:lineRule="auto"/>
      </w:pPr>
      <w:r>
        <w:t>Allegheny County Department of Human Services. (2018). Allegheny Family Screening Tool: Frequently asked questions.</w:t>
      </w:r>
    </w:p>
    <w:p w:rsidR="00383A90" w:rsidRDefault="007241BF">
      <w:pPr>
        <w:spacing w:after="200" w:line="360" w:lineRule="auto"/>
      </w:pPr>
      <w:r>
        <w:t>Bovens, M. (2007). Analysing and assessing accountability: A conceptual framework. European Law Journal, 13(4), 447–468.</w:t>
      </w:r>
    </w:p>
    <w:p w:rsidR="00383A90" w:rsidRDefault="007241BF">
      <w:pPr>
        <w:spacing w:after="200" w:line="360" w:lineRule="auto"/>
      </w:pPr>
      <w:r>
        <w:t>Bovens, M., &amp; Zouridis, S. (2002). From street-level to system-level bureaucracies: How information and communication technology is transforming administrative discretion and constitutional control. Public Administration Review, 62(2), 174–184.</w:t>
      </w:r>
    </w:p>
    <w:p w:rsidR="00383A90" w:rsidRDefault="007241BF">
      <w:pPr>
        <w:spacing w:after="200" w:line="360" w:lineRule="auto"/>
      </w:pPr>
      <w:r>
        <w:t>Bullock, J. B. (2019). Artificial intelligence, discretion, and bureaucracy. The American Review of Public Administration, 49(7), 751–761.</w:t>
      </w:r>
    </w:p>
    <w:p w:rsidR="00383A90" w:rsidRDefault="007241BF">
      <w:pPr>
        <w:spacing w:after="200" w:line="360" w:lineRule="auto"/>
      </w:pPr>
      <w:r>
        <w:t>Busuioc, M. (2021). Accountable artificial intelligence: Holding algorithms to account. Public Administration Review, 81(5), 825–836.</w:t>
      </w:r>
    </w:p>
    <w:p w:rsidR="00383A90" w:rsidRDefault="007241BF">
      <w:pPr>
        <w:spacing w:after="200" w:line="360" w:lineRule="auto"/>
      </w:pPr>
      <w:r>
        <w:t>Carney, T. (2019). Robo-debt illegality: The seven veils of failed guarantees of the rule of law? Alternative Law Journal, 44(1), 4–10.</w:t>
      </w:r>
    </w:p>
    <w:p w:rsidR="00383A90" w:rsidRDefault="007241BF">
      <w:pPr>
        <w:spacing w:after="200" w:line="360" w:lineRule="auto"/>
      </w:pPr>
      <w:r>
        <w:t>Chouldechova, A., Benavides-Prado, D., Fialko, O., &amp; Vaithianathan, R. (2018). A case study of algorithm-assisted decision making in child maltreatment hotline screening decisions. Proceedings of the 1st Conference on Fairness, Accountability and Transparency, 134–148.</w:t>
      </w:r>
    </w:p>
    <w:p w:rsidR="00383A90" w:rsidRDefault="007241BF">
      <w:pPr>
        <w:spacing w:after="200" w:line="360" w:lineRule="auto"/>
      </w:pPr>
      <w:r>
        <w:lastRenderedPageBreak/>
        <w:t>Cobbe, J., Veale, M., &amp; Singh, J. (2023). Understanding accountability in algorithmic supply chains. Proceedings of the 2023 ACM Conference on Fairness, Accountability, and Transparency, 1186–1197.</w:t>
      </w:r>
    </w:p>
    <w:p w:rsidR="00383A90" w:rsidRDefault="007241BF">
      <w:pPr>
        <w:spacing w:after="200" w:line="360" w:lineRule="auto"/>
      </w:pPr>
      <w:r>
        <w:t>Danaher, J. (2016). The threat of algocracy: Reality, resistance, and accommodation. Philosophy &amp; Technology, 29(3), 245–268.</w:t>
      </w:r>
    </w:p>
    <w:p w:rsidR="00383A90" w:rsidRDefault="007241BF">
      <w:pPr>
        <w:spacing w:after="200" w:line="360" w:lineRule="auto"/>
      </w:pPr>
      <w:r>
        <w:t>De Angelis, C. F. (2026). The algorithmic cage: Artificial intelligence, modern rationalization, and the inheritors of Max Weber. International Journal of Social Science Research and Review, 9(5), 213–226.</w:t>
      </w:r>
    </w:p>
    <w:p w:rsidR="00383A90" w:rsidRDefault="007241BF">
      <w:pPr>
        <w:spacing w:after="200" w:line="360" w:lineRule="auto"/>
      </w:pPr>
      <w:r>
        <w:t>District Court of The Hague. (2020). NCJM et al. and FNV v. The State of the Netherlands (SyRI), ECLI:</w:t>
      </w:r>
      <w:proofErr w:type="gramStart"/>
      <w:r>
        <w:t>NL:RBDHA</w:t>
      </w:r>
      <w:proofErr w:type="gramEnd"/>
      <w:r>
        <w:t>:2020:865.</w:t>
      </w:r>
    </w:p>
    <w:p w:rsidR="00383A90" w:rsidRDefault="007241BF">
      <w:pPr>
        <w:spacing w:after="200" w:line="360" w:lineRule="auto"/>
      </w:pPr>
      <w:r>
        <w:t>Entman, R. M. (1993). Framing: Toward clarification of a fractured paradigm. Journal of Communication, 43(4), 51–58.</w:t>
      </w:r>
    </w:p>
    <w:p w:rsidR="00383A90" w:rsidRDefault="007241BF">
      <w:pPr>
        <w:spacing w:after="200" w:line="360" w:lineRule="auto"/>
      </w:pPr>
      <w:r>
        <w:t>Eubanks, V. (2018). Automating inequality: How high-tech tools profile, police, and punish the poor. St. Martin’s Press.</w:t>
      </w:r>
    </w:p>
    <w:p w:rsidR="00383A90" w:rsidRDefault="007241BF">
      <w:pPr>
        <w:spacing w:after="200" w:line="360" w:lineRule="auto"/>
      </w:pPr>
      <w:r>
        <w:t>Fricker, M. (2007). Epistemic injustice: Power and the ethics of knowing. Oxford University Press.</w:t>
      </w:r>
    </w:p>
    <w:p w:rsidR="00383A90" w:rsidRDefault="007241BF">
      <w:pPr>
        <w:spacing w:after="200" w:line="360" w:lineRule="auto"/>
      </w:pPr>
      <w:r>
        <w:t>Introna, L. D. (2016). Algorithms, governance, and governmentality: On governing academic writing. Science, Technology, &amp; Human Values, 41(1), 17–49.</w:t>
      </w:r>
    </w:p>
    <w:p w:rsidR="00383A90" w:rsidRDefault="007241BF">
      <w:pPr>
        <w:spacing w:after="200" w:line="360" w:lineRule="auto"/>
      </w:pPr>
      <w:r>
        <w:t xml:space="preserve">Livermore, M. A. (2025, December 15). The political limits of algorithmic </w:t>
      </w:r>
      <w:r>
        <w:lastRenderedPageBreak/>
        <w:t>governance. The Regulatory Review.</w:t>
      </w:r>
    </w:p>
    <w:p w:rsidR="00383A90" w:rsidRDefault="007241BF">
      <w:pPr>
        <w:spacing w:after="200" w:line="360" w:lineRule="auto"/>
      </w:pPr>
      <w:r>
        <w:t>Pasquale, F. (2015). The black box society: The secret algorithms that control money and information. Harvard University Press.</w:t>
      </w:r>
    </w:p>
    <w:p w:rsidR="00383A90" w:rsidRDefault="007241BF">
      <w:pPr>
        <w:spacing w:after="200" w:line="360" w:lineRule="auto"/>
      </w:pPr>
      <w:r>
        <w:t>Pettit, P. (1997). Republicanism: A theory of freedom and government. Oxford University Press.</w:t>
      </w:r>
    </w:p>
    <w:p w:rsidR="00383A90" w:rsidRDefault="007241BF">
      <w:pPr>
        <w:spacing w:after="200" w:line="360" w:lineRule="auto"/>
      </w:pPr>
      <w:r>
        <w:t>Rochefort, D. A., &amp; Cobb, R. W. (1994). The politics of problem definition. University Press of Kansas.</w:t>
      </w:r>
    </w:p>
    <w:p w:rsidR="00383A90" w:rsidRDefault="007241BF">
      <w:pPr>
        <w:spacing w:after="200" w:line="360" w:lineRule="auto"/>
      </w:pPr>
      <w:r>
        <w:t>Romzek, B. S., &amp; Dubnick, M. J. (1987). Accountability in the public sector: Lessons from the Challenger tragedy. Public Administration Review, 47(3), 227–238.</w:t>
      </w:r>
    </w:p>
    <w:p w:rsidR="00383A90" w:rsidRDefault="007241BF">
      <w:pPr>
        <w:spacing w:after="200" w:line="360" w:lineRule="auto"/>
      </w:pPr>
      <w:r>
        <w:t>Royal Commission into the Robodebt Scheme. (2023). Report of the Royal Commission into the Robodebt Scheme. Commonwealth of Australia.</w:t>
      </w:r>
    </w:p>
    <w:p w:rsidR="00383A90" w:rsidRDefault="007241BF">
      <w:pPr>
        <w:spacing w:after="200" w:line="360" w:lineRule="auto"/>
      </w:pPr>
      <w:r>
        <w:t>Schillemans, T., &amp; Bovens, M. (2011). The challenge of multiple accountability: Does redundancy lead to overload? In M. J. Dubnick &amp; H. G. Frederickson (Eds.), Accountable governance: Problems and promises (pp. 3–21). M. E. Sharpe.</w:t>
      </w:r>
    </w:p>
    <w:p w:rsidR="00383A90" w:rsidRDefault="007241BF">
      <w:pPr>
        <w:spacing w:after="200" w:line="360" w:lineRule="auto"/>
      </w:pPr>
      <w:r>
        <w:t>Schneider, A., &amp; Ingram, H. (1993). Social construction of target populations. American Political Science Review, 87(2), 334–347.</w:t>
      </w:r>
    </w:p>
    <w:p w:rsidR="00383A90" w:rsidRDefault="007241BF">
      <w:pPr>
        <w:spacing w:after="200" w:line="360" w:lineRule="auto"/>
      </w:pPr>
      <w:r>
        <w:t>Stone, D. (1989). Policy paradox and political reason. Scott Foresman.</w:t>
      </w:r>
    </w:p>
    <w:p w:rsidR="00383A90" w:rsidRDefault="007241BF">
      <w:pPr>
        <w:spacing w:after="200" w:line="360" w:lineRule="auto"/>
      </w:pPr>
      <w:r>
        <w:t xml:space="preserve">van Bekkum, M., &amp; Zuiderveen Borgesius, F. (2021). Digital welfare fraud </w:t>
      </w:r>
      <w:r>
        <w:lastRenderedPageBreak/>
        <w:t>detection and the Dutch SyRI judgment. European Journal of Social Security, 23(4), 323–340.</w:t>
      </w:r>
    </w:p>
    <w:p w:rsidR="00383A90" w:rsidRDefault="007241BF">
      <w:pPr>
        <w:spacing w:after="200" w:line="360" w:lineRule="auto"/>
      </w:pPr>
      <w:r>
        <w:t>Weber, M. (1992). The Protestant ethic and the spirit of capitalism (T. Parsons, Trans.). Routledge. (Original work published 1904–1905)</w:t>
      </w:r>
    </w:p>
    <w:p w:rsidR="00383A90" w:rsidRDefault="007241BF">
      <w:pPr>
        <w:spacing w:after="200" w:line="360" w:lineRule="auto"/>
      </w:pPr>
      <w:r>
        <w:t>Wieringa, M. (2020). What to account for when accounting for algorithms: A systematic literature review on algorithmic accountability. Proceedings of the 2020 Conference on Fairness, Accountability, and Transparency (FAT* ’20), 1–18.</w:t>
      </w:r>
    </w:p>
    <w:p w:rsidR="00383A90" w:rsidRDefault="007241BF">
      <w:pPr>
        <w:spacing w:after="200" w:line="360" w:lineRule="auto"/>
      </w:pPr>
      <w:r>
        <w:t>Wieringa, M. (2023). “Hey SyRI, tell me about algorithmic accountability”: Lessons from a landmark case. Data &amp; Policy, 5, e2.</w:t>
      </w:r>
    </w:p>
    <w:p w:rsidR="00383A90" w:rsidRDefault="007241BF">
      <w:pPr>
        <w:spacing w:after="200" w:line="360" w:lineRule="auto"/>
      </w:pPr>
      <w:r>
        <w:t>Yeung, K. (2018). Algorithmic regulation: A critical interrogation. Regulation &amp; Governance, 12(4), 505–523.</w:t>
      </w:r>
    </w:p>
    <w:sectPr w:rsidR="00383A9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F13250"/>
    <w:multiLevelType w:val="hybridMultilevel"/>
    <w:tmpl w:val="E74CD174"/>
    <w:lvl w:ilvl="0" w:tplc="D502564A">
      <w:start w:val="1"/>
      <w:numFmt w:val="bullet"/>
      <w:lvlText w:val="●"/>
      <w:lvlJc w:val="left"/>
      <w:pPr>
        <w:ind w:left="720" w:hanging="360"/>
      </w:pPr>
    </w:lvl>
    <w:lvl w:ilvl="1" w:tplc="BAFC0672">
      <w:start w:val="1"/>
      <w:numFmt w:val="bullet"/>
      <w:lvlText w:val="○"/>
      <w:lvlJc w:val="left"/>
      <w:pPr>
        <w:ind w:left="1440" w:hanging="360"/>
      </w:pPr>
    </w:lvl>
    <w:lvl w:ilvl="2" w:tplc="800E00C6">
      <w:start w:val="1"/>
      <w:numFmt w:val="bullet"/>
      <w:lvlText w:val="■"/>
      <w:lvlJc w:val="left"/>
      <w:pPr>
        <w:ind w:left="2160" w:hanging="360"/>
      </w:pPr>
    </w:lvl>
    <w:lvl w:ilvl="3" w:tplc="FC0E42C0">
      <w:start w:val="1"/>
      <w:numFmt w:val="bullet"/>
      <w:lvlText w:val="●"/>
      <w:lvlJc w:val="left"/>
      <w:pPr>
        <w:ind w:left="2880" w:hanging="360"/>
      </w:pPr>
    </w:lvl>
    <w:lvl w:ilvl="4" w:tplc="386CDA52">
      <w:start w:val="1"/>
      <w:numFmt w:val="bullet"/>
      <w:lvlText w:val="○"/>
      <w:lvlJc w:val="left"/>
      <w:pPr>
        <w:ind w:left="3600" w:hanging="360"/>
      </w:pPr>
    </w:lvl>
    <w:lvl w:ilvl="5" w:tplc="12267BDE">
      <w:start w:val="1"/>
      <w:numFmt w:val="bullet"/>
      <w:lvlText w:val="■"/>
      <w:lvlJc w:val="left"/>
      <w:pPr>
        <w:ind w:left="4320" w:hanging="360"/>
      </w:pPr>
    </w:lvl>
    <w:lvl w:ilvl="6" w:tplc="5BAC394A">
      <w:start w:val="1"/>
      <w:numFmt w:val="bullet"/>
      <w:lvlText w:val="●"/>
      <w:lvlJc w:val="left"/>
      <w:pPr>
        <w:ind w:left="5040" w:hanging="360"/>
      </w:pPr>
    </w:lvl>
    <w:lvl w:ilvl="7" w:tplc="432A0464">
      <w:start w:val="1"/>
      <w:numFmt w:val="bullet"/>
      <w:lvlText w:val="●"/>
      <w:lvlJc w:val="left"/>
      <w:pPr>
        <w:ind w:left="5760" w:hanging="360"/>
      </w:pPr>
    </w:lvl>
    <w:lvl w:ilvl="8" w:tplc="E15E956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grammar="clean"/>
  <w:defaultTabStop w:val="48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A90"/>
    <w:rsid w:val="00044BA7"/>
    <w:rsid w:val="00383A90"/>
    <w:rsid w:val="007241BF"/>
    <w:rsid w:val="00A719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2F4C7"/>
  <w15:docId w15:val="{9F6E2C87-289F-4A68-A0A4-CF5287A9D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微軟正黑體" w:eastAsia="微軟正黑體" w:hAnsi="微軟正黑體" w:cs="微軟正黑體"/>
        <w:sz w:val="24"/>
        <w:szCs w:val="24"/>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粗體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註腳文字 字元"/>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章節附註文字 字元"/>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3267</Words>
  <Characters>18625</Characters>
  <Application>Microsoft Office Word</Application>
  <DocSecurity>0</DocSecurity>
  <Lines>155</Lines>
  <Paragraphs>43</Paragraphs>
  <ScaleCrop>false</ScaleCrop>
  <Company/>
  <LinksUpToDate>false</LinksUpToDate>
  <CharactersWithSpaces>21849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3</cp:revision>
  <dcterms:created xsi:type="dcterms:W3CDTF">2026-08-12T13:12:00Z</dcterms:created>
  <dcterms:modified xsi:type="dcterms:W3CDTF">2026-08-15T11:20:00Z</dcterms:modified>
</cp:coreProperties>
</file>