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1D35" w:rsidRDefault="008C3E62">
      <w:pPr>
        <w:pStyle w:val="a3"/>
      </w:pPr>
      <w:r>
        <w:t>Not Just a Signature:</w:t>
      </w:r>
    </w:p>
    <w:p w:rsidR="00751D35" w:rsidRDefault="008C3E62">
      <w:pPr>
        <w:pStyle w:val="a3"/>
        <w:spacing w:after="200"/>
      </w:pPr>
      <w:r>
        <w:rPr>
          <w:sz w:val="28"/>
          <w:szCs w:val="28"/>
        </w:rPr>
        <w:t>How Public Administration Can Achieve Accountability, Responsibility, Transparency, and Justice Simultaneously through Four Governance Chains</w:t>
      </w:r>
    </w:p>
    <w:p w:rsidR="00751D35" w:rsidRDefault="002A150B">
      <w:pPr>
        <w:spacing w:after="80"/>
        <w:jc w:val="center"/>
      </w:pPr>
      <w:r>
        <w:rPr>
          <w:rFonts w:asciiTheme="minorEastAsia" w:hAnsiTheme="minorEastAsia" w:hint="eastAsia"/>
          <w:sz w:val="20"/>
          <w:szCs w:val="20"/>
        </w:rPr>
        <w:t>Lancelot</w:t>
      </w:r>
      <w:r>
        <w:rPr>
          <w:rFonts w:eastAsia="Times New Roman"/>
          <w:sz w:val="20"/>
          <w:szCs w:val="20"/>
        </w:rPr>
        <w:t xml:space="preserve"> </w:t>
      </w:r>
      <w:r>
        <w:rPr>
          <w:rFonts w:asciiTheme="minorEastAsia" w:hAnsiTheme="minorEastAsia" w:hint="eastAsia"/>
          <w:sz w:val="20"/>
          <w:szCs w:val="20"/>
        </w:rPr>
        <w:t>Lu</w:t>
      </w:r>
      <w:r>
        <w:rPr>
          <w:rFonts w:eastAsia="Times New Roman"/>
          <w:sz w:val="20"/>
          <w:szCs w:val="20"/>
        </w:rPr>
        <w:t xml:space="preserve"> </w:t>
      </w:r>
      <w:bookmarkStart w:id="0" w:name="_GoBack"/>
      <w:bookmarkEnd w:id="0"/>
      <w:r w:rsidR="008C3E62">
        <w:rPr>
          <w:rFonts w:eastAsia="Times New Roman"/>
          <w:sz w:val="20"/>
          <w:szCs w:val="20"/>
        </w:rPr>
        <w:t>Working Paper | AI Governance Research Series, Series C, Paper 1</w:t>
      </w:r>
    </w:p>
    <w:p w:rsidR="00751D35" w:rsidRDefault="008C3E62">
      <w:pPr>
        <w:spacing w:after="360"/>
        <w:jc w:val="center"/>
      </w:pPr>
      <w:r>
        <w:rPr>
          <w:rFonts w:eastAsia="Times New Roman"/>
          <w:sz w:val="20"/>
          <w:szCs w:val="20"/>
        </w:rPr>
        <w:t>August 2026</w:t>
      </w:r>
    </w:p>
    <w:p w:rsidR="00751D35" w:rsidRDefault="008C3E62">
      <w:pPr>
        <w:pStyle w:val="1"/>
      </w:pPr>
      <w:r>
        <w:t>Abstract</w:t>
      </w:r>
    </w:p>
    <w:p w:rsidR="00751D35" w:rsidRDefault="008C3E62">
      <w:pPr>
        <w:spacing w:after="200"/>
        <w:ind w:firstLine="480"/>
      </w:pPr>
      <w:r>
        <w:rPr>
          <w:rFonts w:eastAsia="Times New Roman"/>
          <w:sz w:val="22"/>
          <w:szCs w:val="22"/>
        </w:rPr>
        <w:t>Accountability, responsibility, transparency, and justice are the four core values of AI governance. Yet public administration scholarship has long treated them as four independent checklist items to be measured separately, overlooking their shared structu</w:t>
      </w:r>
      <w:r>
        <w:rPr>
          <w:rFonts w:eastAsia="Times New Roman"/>
          <w:sz w:val="22"/>
          <w:szCs w:val="22"/>
        </w:rPr>
        <w:t>ral carriers and leaving the value choices made at the front-end stage of situational construction outside the vocabulary of accountability. Building on the common parent framework of “twenty-five governance coordinates—three functional transfers of admini</w:t>
      </w:r>
      <w:r>
        <w:rPr>
          <w:rFonts w:eastAsia="Times New Roman"/>
          <w:sz w:val="22"/>
          <w:szCs w:val="22"/>
        </w:rPr>
        <w:t>strative power—three structural effects—four governance chains—seven governance audits” proposed by Lu (2026), and on the P1 exposure and C1 completeness demonstration coding already completed in the series working paper Democratic Preconditions of AI Gove</w:t>
      </w:r>
      <w:r>
        <w:rPr>
          <w:rFonts w:eastAsia="Times New Roman"/>
          <w:sz w:val="22"/>
          <w:szCs w:val="22"/>
        </w:rPr>
        <w:t>rnance (Lu, 2026b; hereafter ②), this paper argues that the four core values are not abstract goals floating outside the governance process. Rather, they are the normative manifestations of whether the situational-construction chain, the authority chain, t</w:t>
      </w:r>
      <w:r>
        <w:rPr>
          <w:rFonts w:eastAsia="Times New Roman"/>
          <w:sz w:val="22"/>
          <w:szCs w:val="22"/>
        </w:rPr>
        <w:t>he reason chain, and the responsibility chain continue to sustain democratic legitimacy. The paper deliberately avoids a rigid one-to-one mapping between the four chains and the three power transfers, adopting instead a looser “primary carriage / secondary</w:t>
      </w:r>
      <w:r>
        <w:rPr>
          <w:rFonts w:eastAsia="Times New Roman"/>
          <w:sz w:val="22"/>
          <w:szCs w:val="22"/>
        </w:rPr>
        <w:t xml:space="preserve"> spillover” correspondence. Reinterpreting existing coding data from AFST, </w:t>
      </w:r>
      <w:proofErr w:type="spellStart"/>
      <w:r>
        <w:rPr>
          <w:rFonts w:eastAsia="Times New Roman"/>
          <w:sz w:val="22"/>
          <w:szCs w:val="22"/>
        </w:rPr>
        <w:t>SyRI</w:t>
      </w:r>
      <w:proofErr w:type="spellEnd"/>
      <w:r>
        <w:rPr>
          <w:rFonts w:eastAsia="Times New Roman"/>
          <w:sz w:val="22"/>
          <w:szCs w:val="22"/>
        </w:rPr>
        <w:t xml:space="preserve">, and </w:t>
      </w:r>
      <w:proofErr w:type="spellStart"/>
      <w:r>
        <w:rPr>
          <w:rFonts w:eastAsia="Times New Roman"/>
          <w:sz w:val="22"/>
          <w:szCs w:val="22"/>
        </w:rPr>
        <w:t>Robodebt</w:t>
      </w:r>
      <w:proofErr w:type="spellEnd"/>
      <w:r>
        <w:rPr>
          <w:rFonts w:eastAsia="Times New Roman"/>
          <w:sz w:val="22"/>
          <w:szCs w:val="22"/>
        </w:rPr>
        <w:t xml:space="preserve">, it distinguishes three mechanisms of value spillover—review misalignment, technical </w:t>
      </w:r>
      <w:proofErr w:type="spellStart"/>
      <w:r>
        <w:rPr>
          <w:rFonts w:eastAsia="Times New Roman"/>
          <w:sz w:val="22"/>
          <w:szCs w:val="22"/>
        </w:rPr>
        <w:t>inexplainability</w:t>
      </w:r>
      <w:proofErr w:type="spellEnd"/>
      <w:r>
        <w:rPr>
          <w:rFonts w:eastAsia="Times New Roman"/>
          <w:sz w:val="22"/>
          <w:szCs w:val="22"/>
        </w:rPr>
        <w:t>, and inversion of the burden of proof—and proposes instituti</w:t>
      </w:r>
      <w:r>
        <w:rPr>
          <w:rFonts w:eastAsia="Times New Roman"/>
          <w:sz w:val="22"/>
          <w:szCs w:val="22"/>
        </w:rPr>
        <w:t>onal responses tailored to each mechanism. The paper further proposes C1-13 (allocation of the burden of proof) as a provisional observation item, while explicitly noting its non-formalized status and recommending that it be incorporated into the Delphi ca</w:t>
      </w:r>
      <w:r>
        <w:rPr>
          <w:rFonts w:eastAsia="Times New Roman"/>
          <w:sz w:val="22"/>
          <w:szCs w:val="22"/>
        </w:rPr>
        <w:t>libration plan already established in ② rather than constituting a new architecture. The marginal contribution of this paper to the series is a translation of value language, not a new field application or a deepening of measurement.</w:t>
      </w:r>
    </w:p>
    <w:p w:rsidR="00751D35" w:rsidRDefault="008C3E62">
      <w:pPr>
        <w:spacing w:after="360"/>
      </w:pPr>
      <w:r>
        <w:rPr>
          <w:rFonts w:eastAsia="Times New Roman"/>
          <w:b/>
          <w:bCs/>
          <w:sz w:val="22"/>
          <w:szCs w:val="22"/>
        </w:rPr>
        <w:t xml:space="preserve">Keywords: </w:t>
      </w:r>
      <w:r>
        <w:rPr>
          <w:rFonts w:eastAsia="Times New Roman"/>
          <w:sz w:val="22"/>
          <w:szCs w:val="22"/>
        </w:rPr>
        <w:t>AI governanc</w:t>
      </w:r>
      <w:r>
        <w:rPr>
          <w:rFonts w:eastAsia="Times New Roman"/>
          <w:sz w:val="22"/>
          <w:szCs w:val="22"/>
        </w:rPr>
        <w:t>e, four core values, governance chains, situational construction, democratic legitimacy</w:t>
      </w:r>
    </w:p>
    <w:p w:rsidR="00751D35" w:rsidRDefault="008C3E62">
      <w:pPr>
        <w:pStyle w:val="1"/>
      </w:pPr>
      <w:r>
        <w:t>I. Introduction</w:t>
      </w:r>
    </w:p>
    <w:p w:rsidR="00751D35" w:rsidRDefault="008C3E62">
      <w:pPr>
        <w:pStyle w:val="2"/>
      </w:pPr>
      <w:r>
        <w:t>1. Research Background and Problem Statement</w:t>
      </w:r>
    </w:p>
    <w:p w:rsidR="00751D35" w:rsidRDefault="008C3E62">
      <w:pPr>
        <w:spacing w:after="200"/>
        <w:ind w:firstLine="480"/>
      </w:pPr>
      <w:r>
        <w:rPr>
          <w:rFonts w:eastAsia="Times New Roman"/>
        </w:rPr>
        <w:t>Accountability, responsibility, transparency, and justice/fairness have long been regarded as the four indi</w:t>
      </w:r>
      <w:r>
        <w:rPr>
          <w:rFonts w:eastAsia="Times New Roman"/>
        </w:rPr>
        <w:t>spensable core values of AI governance. When public administration scholars discuss these four values, however, they habitually treat them as four independent checklist items: transparency is equated with the disclosure of source code or technical document</w:t>
      </w:r>
      <w:r>
        <w:rPr>
          <w:rFonts w:eastAsia="Times New Roman"/>
        </w:rPr>
        <w:t>ation; justice is equated with the statistical elimination of algorithmic bias; responsibility is equated with the post-hoc identification of the person who should answer for a decision; and accountability is equated with the mere existence of formal signa</w:t>
      </w:r>
      <w:r>
        <w:rPr>
          <w:rFonts w:eastAsia="Times New Roman"/>
        </w:rPr>
        <w:t>ture procedures. The hidden assumption of this approach is that each value can be measured independently of the governance stage in which it occurs, and that the relationship among them is at most one of “trade-off” or “balancing.”</w:t>
      </w:r>
    </w:p>
    <w:p w:rsidR="00751D35" w:rsidRDefault="008C3E62">
      <w:pPr>
        <w:spacing w:after="200"/>
        <w:ind w:firstLine="480"/>
      </w:pPr>
      <w:r>
        <w:rPr>
          <w:rFonts w:eastAsia="Times New Roman"/>
        </w:rPr>
        <w:lastRenderedPageBreak/>
        <w:t>Once AI enters public ad</w:t>
      </w:r>
      <w:r>
        <w:rPr>
          <w:rFonts w:eastAsia="Times New Roman"/>
        </w:rPr>
        <w:t>ministration, this assumption confronts two concrete gaps. The first gap arises among the values themselves: excessive pursuit of transparency (for example, full disclosure of algorithmic parameters) may harm individual privacy and justice; excessive empha</w:t>
      </w:r>
      <w:r>
        <w:rPr>
          <w:rFonts w:eastAsia="Times New Roman"/>
        </w:rPr>
        <w:t>sis on accountability (requiring case-by-case traceability) may induce bureaucratic risk-aversion, making decisions more conservative rather than more just. The second gap arises between governance stages: traditional accountability literature (</w:t>
      </w:r>
      <w:proofErr w:type="spellStart"/>
      <w:r>
        <w:rPr>
          <w:rFonts w:eastAsia="Times New Roman"/>
        </w:rPr>
        <w:t>Bovens’s</w:t>
      </w:r>
      <w:proofErr w:type="spellEnd"/>
      <w:r>
        <w:rPr>
          <w:rFonts w:eastAsia="Times New Roman"/>
        </w:rPr>
        <w:t xml:space="preserve"> ac</w:t>
      </w:r>
      <w:r>
        <w:rPr>
          <w:rFonts w:eastAsia="Times New Roman"/>
        </w:rPr>
        <w:t xml:space="preserve">countability theory, </w:t>
      </w:r>
      <w:proofErr w:type="spellStart"/>
      <w:r>
        <w:rPr>
          <w:rFonts w:eastAsia="Times New Roman"/>
        </w:rPr>
        <w:t>Romzek</w:t>
      </w:r>
      <w:proofErr w:type="spellEnd"/>
      <w:r>
        <w:rPr>
          <w:rFonts w:eastAsia="Times New Roman"/>
        </w:rPr>
        <w:t xml:space="preserve"> and </w:t>
      </w:r>
      <w:proofErr w:type="spellStart"/>
      <w:r>
        <w:rPr>
          <w:rFonts w:eastAsia="Times New Roman"/>
        </w:rPr>
        <w:t>Dubnick’s</w:t>
      </w:r>
      <w:proofErr w:type="spellEnd"/>
      <w:r>
        <w:rPr>
          <w:rFonts w:eastAsia="Times New Roman"/>
        </w:rPr>
        <w:t xml:space="preserve"> accountability matrix) focuses primarily on “ex-post accountability”—who should answer for outcomes after a decision has been made. AI’s intervention in public administration, however, often occurs before the decis</w:t>
      </w:r>
      <w:r>
        <w:rPr>
          <w:rFonts w:eastAsia="Times New Roman"/>
        </w:rPr>
        <w:t>ion is made—selection of data fields, construction of risk classifications, setting of thresholds. These front-end links themselves already constitute value choices, yet they have long been excluded from the vocabulary of accountability.</w:t>
      </w:r>
    </w:p>
    <w:p w:rsidR="00751D35" w:rsidRDefault="008C3E62">
      <w:pPr>
        <w:spacing w:after="200"/>
        <w:ind w:firstLine="480"/>
      </w:pPr>
      <w:r>
        <w:rPr>
          <w:rFonts w:eastAsia="Times New Roman"/>
        </w:rPr>
        <w:t xml:space="preserve">In Taiwan this is </w:t>
      </w:r>
      <w:r>
        <w:rPr>
          <w:rFonts w:eastAsia="Times New Roman"/>
        </w:rPr>
        <w:t xml:space="preserve">no longer merely an abstract ethical proposition. The Artificial Intelligence Basic Act has listed human autonomy, transparency and </w:t>
      </w:r>
      <w:proofErr w:type="spellStart"/>
      <w:r>
        <w:rPr>
          <w:rFonts w:eastAsia="Times New Roman"/>
        </w:rPr>
        <w:t>explainability</w:t>
      </w:r>
      <w:proofErr w:type="spellEnd"/>
      <w:r>
        <w:rPr>
          <w:rFonts w:eastAsia="Times New Roman"/>
        </w:rPr>
        <w:t>, fairness and non-discrimination, and accountability as basic principles for government promotion of AI resea</w:t>
      </w:r>
      <w:r>
        <w:rPr>
          <w:rFonts w:eastAsia="Times New Roman"/>
        </w:rPr>
        <w:t>rch, development, and application, and requires government agencies that use AI to perform risk assessments, plan risk-response measures, and establish usage rules or internal control mechanisms when executing duties or providing services (Artificial Intel</w:t>
      </w:r>
      <w:r>
        <w:rPr>
          <w:rFonts w:eastAsia="Times New Roman"/>
        </w:rPr>
        <w:t xml:space="preserve">ligence Basic Act, 2026). What this paper seeks to supply is therefore not another list of values, but an inquiry into which governance chain </w:t>
      </w:r>
      <w:proofErr w:type="gramStart"/>
      <w:r>
        <w:rPr>
          <w:rFonts w:eastAsia="Times New Roman"/>
        </w:rPr>
        <w:t>actually carries</w:t>
      </w:r>
      <w:proofErr w:type="gramEnd"/>
      <w:r>
        <w:rPr>
          <w:rFonts w:eastAsia="Times New Roman"/>
        </w:rPr>
        <w:t xml:space="preserve"> these principles once they enter concrete administrative processes, and at which junctions they l</w:t>
      </w:r>
      <w:r>
        <w:rPr>
          <w:rFonts w:eastAsia="Times New Roman"/>
        </w:rPr>
        <w:t>ose their force.</w:t>
      </w:r>
    </w:p>
    <w:p w:rsidR="00751D35" w:rsidRDefault="008C3E62">
      <w:pPr>
        <w:spacing w:after="200"/>
        <w:ind w:firstLine="480"/>
      </w:pPr>
      <w:r>
        <w:rPr>
          <w:rFonts w:eastAsia="Times New Roman"/>
        </w:rPr>
        <w:t xml:space="preserve">The core concern of this paper is: if the four values are treated merely as four parallel checklist items, both scholarship and practice will find it difficult to answer a more fundamental question—on what carriers do these four values </w:t>
      </w:r>
      <w:proofErr w:type="gramStart"/>
      <w:r>
        <w:rPr>
          <w:rFonts w:eastAsia="Times New Roman"/>
        </w:rPr>
        <w:t>act</w:t>
      </w:r>
      <w:r>
        <w:rPr>
          <w:rFonts w:eastAsia="Times New Roman"/>
        </w:rPr>
        <w:t>ually operate</w:t>
      </w:r>
      <w:proofErr w:type="gramEnd"/>
      <w:r>
        <w:rPr>
          <w:rFonts w:eastAsia="Times New Roman"/>
        </w:rPr>
        <w:t>, and at what points are they liable to collapse simultaneously?</w:t>
      </w:r>
    </w:p>
    <w:p w:rsidR="00751D35" w:rsidRDefault="008C3E62">
      <w:pPr>
        <w:pStyle w:val="2"/>
      </w:pPr>
      <w:r>
        <w:t>2. Two Limitations of Existing Research</w:t>
      </w:r>
    </w:p>
    <w:p w:rsidR="00751D35" w:rsidRDefault="008C3E62">
      <w:pPr>
        <w:spacing w:after="200"/>
        <w:ind w:firstLine="480"/>
      </w:pPr>
      <w:r>
        <w:rPr>
          <w:rFonts w:eastAsia="Times New Roman"/>
        </w:rPr>
        <w:t xml:space="preserve">The first limitation is fragmentation. Traditional public administration theory has studied accountability, responsibility, transparency, </w:t>
      </w:r>
      <w:r>
        <w:rPr>
          <w:rFonts w:eastAsia="Times New Roman"/>
        </w:rPr>
        <w:t>and justice separately, each developing its own measurement instruments and normative standards, while rarely asking whether the four share a common structural carrier. This makes practical operation prone to “ticking boxes one by one”—even when all four c</w:t>
      </w:r>
      <w:r>
        <w:rPr>
          <w:rFonts w:eastAsia="Times New Roman"/>
        </w:rPr>
        <w:t xml:space="preserve">hecks are passed, the system may still cause substantive harm in the interstices among the four checks (the </w:t>
      </w:r>
      <w:proofErr w:type="spellStart"/>
      <w:r>
        <w:rPr>
          <w:rFonts w:eastAsia="Times New Roman"/>
        </w:rPr>
        <w:t>Robodebt</w:t>
      </w:r>
      <w:proofErr w:type="spellEnd"/>
      <w:r>
        <w:rPr>
          <w:rFonts w:eastAsia="Times New Roman"/>
        </w:rPr>
        <w:t xml:space="preserve"> case in Section IV is an instance: ordinary complaint channels “exist,” yet the inversion of the burden of proof hollows out the substantiv</w:t>
      </w:r>
      <w:r>
        <w:rPr>
          <w:rFonts w:eastAsia="Times New Roman"/>
        </w:rPr>
        <w:t>e content of justice).</w:t>
      </w:r>
    </w:p>
    <w:p w:rsidR="00751D35" w:rsidRDefault="008C3E62">
      <w:pPr>
        <w:spacing w:after="200"/>
        <w:ind w:firstLine="480"/>
      </w:pPr>
      <w:r>
        <w:rPr>
          <w:rFonts w:eastAsia="Times New Roman"/>
        </w:rPr>
        <w:t>The second limitation is instrumentalism. Traditional research tends to treat AI as a mere tool for raising administrative efficiency, regarding the presence of a bureaucratic signature as the completion of accountability obligations</w:t>
      </w:r>
      <w:r>
        <w:rPr>
          <w:rFonts w:eastAsia="Times New Roman"/>
        </w:rPr>
        <w:t xml:space="preserve">. This presupposition ignores the fact that AI already participates substantively in policy framing and value choice at the front-end stages of data screening, threshold setting, and classification labeling—what Danaher (2016) terms </w:t>
      </w:r>
      <w:proofErr w:type="spellStart"/>
      <w:r>
        <w:rPr>
          <w:rFonts w:eastAsia="Times New Roman"/>
        </w:rPr>
        <w:t>algocracy</w:t>
      </w:r>
      <w:proofErr w:type="spellEnd"/>
      <w:r>
        <w:rPr>
          <w:rFonts w:eastAsia="Times New Roman"/>
        </w:rPr>
        <w:t>, what Livermo</w:t>
      </w:r>
      <w:r>
        <w:rPr>
          <w:rFonts w:eastAsia="Times New Roman"/>
        </w:rPr>
        <w:t xml:space="preserve">re (2025) distinguishes as </w:t>
      </w:r>
      <w:proofErr w:type="spellStart"/>
      <w:r>
        <w:rPr>
          <w:rFonts w:eastAsia="Times New Roman"/>
        </w:rPr>
        <w:t>algocracy</w:t>
      </w:r>
      <w:proofErr w:type="spellEnd"/>
      <w:r>
        <w:rPr>
          <w:rFonts w:eastAsia="Times New Roman"/>
        </w:rPr>
        <w:t>/</w:t>
      </w:r>
      <w:proofErr w:type="spellStart"/>
      <w:r>
        <w:rPr>
          <w:rFonts w:eastAsia="Times New Roman"/>
        </w:rPr>
        <w:t>algoarchy</w:t>
      </w:r>
      <w:proofErr w:type="spellEnd"/>
      <w:r>
        <w:rPr>
          <w:rFonts w:eastAsia="Times New Roman"/>
        </w:rPr>
        <w:t>, and what De Angelis (2026) extends from Weber’s rationalization thesis as the algorithmic cage all point, in different scholarly registers, to the same conclusion: when AI’s role is narrowed to that of a “too</w:t>
      </w:r>
      <w:r>
        <w:rPr>
          <w:rFonts w:eastAsia="Times New Roman"/>
        </w:rPr>
        <w:t xml:space="preserve">l,” the space for realizing public values is correspondingly narrowed to the single dimension of </w:t>
      </w:r>
      <w:r>
        <w:rPr>
          <w:rFonts w:eastAsia="Times New Roman"/>
        </w:rPr>
        <w:lastRenderedPageBreak/>
        <w:t>“whether efficiency targets are met.”</w:t>
      </w:r>
    </w:p>
    <w:p w:rsidR="00751D35" w:rsidRDefault="008C3E62">
      <w:pPr>
        <w:pStyle w:val="2"/>
      </w:pPr>
      <w:r>
        <w:t>3. Research Questions</w:t>
      </w:r>
    </w:p>
    <w:p w:rsidR="00751D35" w:rsidRDefault="008C3E62">
      <w:pPr>
        <w:spacing w:after="200"/>
        <w:ind w:firstLine="480"/>
      </w:pPr>
      <w:r>
        <w:rPr>
          <w:rFonts w:eastAsia="Times New Roman"/>
        </w:rPr>
        <w:t>This paper takes the “observable breakpoints of governance chains” as its unit of analysis rather t</w:t>
      </w:r>
      <w:r>
        <w:rPr>
          <w:rFonts w:eastAsia="Times New Roman"/>
        </w:rPr>
        <w:t xml:space="preserve">han assigning separate scores to the four values. The question is not whether a given value is abstractly important, but which value first fails when a chain breaks at a </w:t>
      </w:r>
      <w:proofErr w:type="gramStart"/>
      <w:r>
        <w:rPr>
          <w:rFonts w:eastAsia="Times New Roman"/>
        </w:rPr>
        <w:t>particular node</w:t>
      </w:r>
      <w:proofErr w:type="gramEnd"/>
      <w:r>
        <w:rPr>
          <w:rFonts w:eastAsia="Times New Roman"/>
        </w:rPr>
        <w:t>, and how that failure is transmitted to other chains. Accordingly, thr</w:t>
      </w:r>
      <w:r>
        <w:rPr>
          <w:rFonts w:eastAsia="Times New Roman"/>
        </w:rPr>
        <w:t>ee research questions are posed:</w:t>
      </w:r>
    </w:p>
    <w:p w:rsidR="00751D35" w:rsidRDefault="008C3E62">
      <w:pPr>
        <w:pStyle w:val="a4"/>
        <w:numPr>
          <w:ilvl w:val="0"/>
          <w:numId w:val="2"/>
        </w:numPr>
        <w:spacing w:after="120"/>
      </w:pPr>
      <w:r>
        <w:rPr>
          <w:rFonts w:eastAsia="Times New Roman"/>
        </w:rPr>
        <w:t>Can the four core values of accountability, responsibility, transparency, and justice be mapped onto the four governance chains—situational-construction chain, authority chain, reason chain, and responsibility chain—propose</w:t>
      </w:r>
      <w:r>
        <w:rPr>
          <w:rFonts w:eastAsia="Times New Roman"/>
        </w:rPr>
        <w:t>d by the parent framework (Lu, 2026) without the need to establish a new measurement architecture?</w:t>
      </w:r>
    </w:p>
    <w:p w:rsidR="00751D35" w:rsidRDefault="008C3E62">
      <w:pPr>
        <w:pStyle w:val="a4"/>
        <w:numPr>
          <w:ilvl w:val="0"/>
          <w:numId w:val="2"/>
        </w:numPr>
        <w:spacing w:after="120"/>
      </w:pPr>
      <w:r>
        <w:rPr>
          <w:rFonts w:eastAsia="Times New Roman"/>
        </w:rPr>
        <w:t>If the four values do indeed attach to the four governance chains, do value conflicts occur inside a single chain or at the junctions between chains? What di</w:t>
      </w:r>
      <w:r>
        <w:rPr>
          <w:rFonts w:eastAsia="Times New Roman"/>
        </w:rPr>
        <w:t>fferent implications does this have for the design of institutional responses?</w:t>
      </w:r>
    </w:p>
    <w:p w:rsidR="00751D35" w:rsidRDefault="008C3E62">
      <w:pPr>
        <w:pStyle w:val="a4"/>
        <w:numPr>
          <w:ilvl w:val="0"/>
          <w:numId w:val="2"/>
        </w:numPr>
        <w:spacing w:after="200"/>
      </w:pPr>
      <w:r>
        <w:rPr>
          <w:rFonts w:eastAsia="Times New Roman"/>
        </w:rPr>
        <w:t xml:space="preserve">By reinterpreting the existing P1/C1 coding data for AFST, </w:t>
      </w:r>
      <w:proofErr w:type="spellStart"/>
      <w:r>
        <w:rPr>
          <w:rFonts w:eastAsia="Times New Roman"/>
        </w:rPr>
        <w:t>SyRI</w:t>
      </w:r>
      <w:proofErr w:type="spellEnd"/>
      <w:r>
        <w:rPr>
          <w:rFonts w:eastAsia="Times New Roman"/>
        </w:rPr>
        <w:t xml:space="preserve">, and </w:t>
      </w:r>
      <w:proofErr w:type="spellStart"/>
      <w:r>
        <w:rPr>
          <w:rFonts w:eastAsia="Times New Roman"/>
        </w:rPr>
        <w:t>Robodebt</w:t>
      </w:r>
      <w:proofErr w:type="spellEnd"/>
      <w:r>
        <w:rPr>
          <w:rFonts w:eastAsia="Times New Roman"/>
        </w:rPr>
        <w:t>, can distinct mechanisms of value spillover be identified, and can tailored institutional responses</w:t>
      </w:r>
      <w:r>
        <w:rPr>
          <w:rFonts w:eastAsia="Times New Roman"/>
        </w:rPr>
        <w:t xml:space="preserve"> be proposed for each mechanism?</w:t>
      </w:r>
    </w:p>
    <w:p w:rsidR="00751D35" w:rsidRDefault="008C3E62">
      <w:pPr>
        <w:pStyle w:val="2"/>
      </w:pPr>
      <w:r>
        <w:t>4. Research Method and Scope</w:t>
      </w:r>
    </w:p>
    <w:p w:rsidR="00751D35" w:rsidRDefault="008C3E62">
      <w:pPr>
        <w:spacing w:after="200"/>
        <w:ind w:firstLine="480"/>
      </w:pPr>
      <w:r>
        <w:rPr>
          <w:rFonts w:eastAsia="Times New Roman"/>
        </w:rPr>
        <w:t>This paper adopts conceptual construction and secondary reinterpretation of existing data, relying on the P1 exposure and C1 completeness demonstration re-coding already completed in ② Democrati</w:t>
      </w:r>
      <w:r>
        <w:rPr>
          <w:rFonts w:eastAsia="Times New Roman"/>
        </w:rPr>
        <w:t>c Preconditions of AI Governance. It does not re-select cases or re-score them; its unit of analysis is the governance-chain breakpoints and their value consequences as presented by the existing coding.</w:t>
      </w:r>
    </w:p>
    <w:p w:rsidR="00751D35" w:rsidRDefault="008C3E62">
      <w:pPr>
        <w:spacing w:after="200"/>
        <w:ind w:firstLine="480"/>
      </w:pPr>
      <w:r>
        <w:rPr>
          <w:rFonts w:eastAsia="Times New Roman"/>
        </w:rPr>
        <w:t>Apart from the provisional observation item C1-13 (allocation of the burden of proof) proposed in Section V, this paper adds no new scoring logic to the twenty-five coordinates, the three power transfers, the three structural effects, or the seven governan</w:t>
      </w:r>
      <w:r>
        <w:rPr>
          <w:rFonts w:eastAsia="Times New Roman"/>
        </w:rPr>
        <w:t>ce audits. C1-13 is not included in the formal C1 average; it serves only as a hypothesis to be verified in subsequent calibration.</w:t>
      </w:r>
    </w:p>
    <w:p w:rsidR="00751D35" w:rsidRDefault="008C3E62">
      <w:pPr>
        <w:pStyle w:val="2"/>
      </w:pPr>
      <w:r>
        <w:t>5. Organization of the Paper</w:t>
      </w:r>
    </w:p>
    <w:p w:rsidR="00751D35" w:rsidRDefault="008C3E62">
      <w:pPr>
        <w:spacing w:after="200"/>
        <w:ind w:firstLine="480"/>
      </w:pPr>
      <w:r>
        <w:rPr>
          <w:rFonts w:eastAsia="Times New Roman"/>
        </w:rPr>
        <w:t>The remainder of the paper is organized as follows. Section II reviews the limitations of exist</w:t>
      </w:r>
      <w:r>
        <w:rPr>
          <w:rFonts w:eastAsia="Times New Roman"/>
        </w:rPr>
        <w:t>ing accountability literature and connects three theoretical footholds that have not yet been mutually articulated—</w:t>
      </w:r>
      <w:proofErr w:type="spellStart"/>
      <w:r>
        <w:rPr>
          <w:rFonts w:eastAsia="Times New Roman"/>
        </w:rPr>
        <w:t>algocracy</w:t>
      </w:r>
      <w:proofErr w:type="spellEnd"/>
      <w:r>
        <w:rPr>
          <w:rFonts w:eastAsia="Times New Roman"/>
        </w:rPr>
        <w:t>, democratic friction, and the algorithmic cage—supplemented by preliminary observations from transnational governance practice. Sec</w:t>
      </w:r>
      <w:r>
        <w:rPr>
          <w:rFonts w:eastAsia="Times New Roman"/>
        </w:rPr>
        <w:t>tion III presents the correspondence architecture between the four governance chains and the four core values, and corrects the common misreading of a one-to-one mapping between chains and power transfers. Section IV reinterprets the three cases with exist</w:t>
      </w:r>
      <w:r>
        <w:rPr>
          <w:rFonts w:eastAsia="Times New Roman"/>
        </w:rPr>
        <w:t>ing P1/C1 data and distinguishes three mechanisms of value spillover. Section V proposes tailored institutional pathways for each of the three mechanisms. Section VI summarizes the paper’s marginal contribution to the series and explains how subsequent ver</w:t>
      </w:r>
      <w:r>
        <w:rPr>
          <w:rFonts w:eastAsia="Times New Roman"/>
        </w:rPr>
        <w:t xml:space="preserve">ification work should be folded into the established division of labor </w:t>
      </w:r>
      <w:r>
        <w:rPr>
          <w:rFonts w:eastAsia="Times New Roman"/>
        </w:rPr>
        <w:lastRenderedPageBreak/>
        <w:t>rather than constituting a new architecture.</w:t>
      </w:r>
    </w:p>
    <w:p w:rsidR="00751D35" w:rsidRDefault="008C3E62">
      <w:pPr>
        <w:pStyle w:val="1"/>
      </w:pPr>
      <w:r>
        <w:t>II. Literature Review: Fragmented Accountability Vocabulary and Three Unconnected Theoretical Footholds</w:t>
      </w:r>
    </w:p>
    <w:p w:rsidR="00751D35" w:rsidRDefault="008C3E62">
      <w:pPr>
        <w:pStyle w:val="2"/>
      </w:pPr>
      <w:r>
        <w:t>1. Limitations of Traditional Accoun</w:t>
      </w:r>
      <w:r>
        <w:t>tability Literature: Emphasis on the Back End, Neglect of the Front End</w:t>
      </w:r>
    </w:p>
    <w:p w:rsidR="00751D35" w:rsidRDefault="008C3E62">
      <w:pPr>
        <w:spacing w:after="200"/>
        <w:ind w:firstLine="480"/>
      </w:pPr>
      <w:proofErr w:type="spellStart"/>
      <w:r>
        <w:rPr>
          <w:rFonts w:eastAsia="Times New Roman"/>
        </w:rPr>
        <w:t>Bovens</w:t>
      </w:r>
      <w:proofErr w:type="spellEnd"/>
      <w:r>
        <w:rPr>
          <w:rFonts w:eastAsia="Times New Roman"/>
        </w:rPr>
        <w:t xml:space="preserve"> (2007) defines accountability as a social relationship in which an actor explains and justifies conduct to a forum; </w:t>
      </w:r>
      <w:proofErr w:type="spellStart"/>
      <w:r>
        <w:rPr>
          <w:rFonts w:eastAsia="Times New Roman"/>
        </w:rPr>
        <w:t>Romzek</w:t>
      </w:r>
      <w:proofErr w:type="spellEnd"/>
      <w:r>
        <w:rPr>
          <w:rFonts w:eastAsia="Times New Roman"/>
        </w:rPr>
        <w:t xml:space="preserve"> and </w:t>
      </w:r>
      <w:proofErr w:type="spellStart"/>
      <w:r>
        <w:rPr>
          <w:rFonts w:eastAsia="Times New Roman"/>
        </w:rPr>
        <w:t>Dubnick</w:t>
      </w:r>
      <w:proofErr w:type="spellEnd"/>
      <w:r>
        <w:rPr>
          <w:rFonts w:eastAsia="Times New Roman"/>
        </w:rPr>
        <w:t xml:space="preserve"> (1987) use the four accountability logics </w:t>
      </w:r>
      <w:r>
        <w:rPr>
          <w:rFonts w:eastAsia="Times New Roman"/>
        </w:rPr>
        <w:t>of bureaucratic, legal, professional, and political to analyze internal type differences in the attribution of responsibility. The contribution of this literature path is to disaggregate accountability from a unitary concept into recognizable institutional</w:t>
      </w:r>
      <w:r>
        <w:rPr>
          <w:rFonts w:eastAsia="Times New Roman"/>
        </w:rPr>
        <w:t xml:space="preserve"> types; yet its analytical starting point is almost uniformly set after “the decision has already been made”—the object of forum interrogation is conduct and outcomes that have already occurred, not how the problem itself was defined or how data were selec</w:t>
      </w:r>
      <w:r>
        <w:rPr>
          <w:rFonts w:eastAsia="Times New Roman"/>
        </w:rPr>
        <w:t>ted before the conduct took place. Once AI enters public administration, the limitation of this starting point is amplified: when risk classifications, proxy variables, and thresholds have already completed value choices at the system-design stage, account</w:t>
      </w:r>
      <w:r>
        <w:rPr>
          <w:rFonts w:eastAsia="Times New Roman"/>
        </w:rPr>
        <w:t>ability literature that continues to ask only “who should answer afterwards” misses the entire front-end segment.</w:t>
      </w:r>
    </w:p>
    <w:p w:rsidR="00751D35" w:rsidRDefault="008C3E62">
      <w:pPr>
        <w:spacing w:after="200"/>
        <w:ind w:firstLine="480"/>
      </w:pPr>
      <w:r>
        <w:rPr>
          <w:rFonts w:eastAsia="Times New Roman"/>
        </w:rPr>
        <w:t>Transparency and justice receive similar back-end treatment in traditional literature. Transparency is typically operationalized as the degree</w:t>
      </w:r>
      <w:r>
        <w:rPr>
          <w:rFonts w:eastAsia="Times New Roman"/>
        </w:rPr>
        <w:t xml:space="preserve"> of information disclosure; justice is typically operationalized as statistical indicators of group equality (for example, whether false-positive rates converge across groups). Both can be tested at the level of system output, yet rarely inquire into how t</w:t>
      </w:r>
      <w:r>
        <w:rPr>
          <w:rFonts w:eastAsia="Times New Roman"/>
        </w:rPr>
        <w:t>he problem was constructed before output.</w:t>
      </w:r>
    </w:p>
    <w:p w:rsidR="00751D35" w:rsidRDefault="008C3E62">
      <w:pPr>
        <w:spacing w:after="200"/>
        <w:ind w:firstLine="480"/>
      </w:pPr>
      <w:r>
        <w:rPr>
          <w:rFonts w:eastAsia="Times New Roman"/>
        </w:rPr>
        <w:t xml:space="preserve">This limitation has recently received more direct transnational corroboration. </w:t>
      </w:r>
      <w:proofErr w:type="spellStart"/>
      <w:r>
        <w:rPr>
          <w:rFonts w:eastAsia="Times New Roman"/>
        </w:rPr>
        <w:t>Busuioc</w:t>
      </w:r>
      <w:proofErr w:type="spellEnd"/>
      <w:r>
        <w:rPr>
          <w:rFonts w:eastAsia="Times New Roman"/>
        </w:rPr>
        <w:t xml:space="preserve"> (2021) points out that the intervention of AI systems produces an “accountability deficit” in public-sector accountability rela</w:t>
      </w:r>
      <w:r>
        <w:rPr>
          <w:rFonts w:eastAsia="Times New Roman"/>
        </w:rPr>
        <w:t xml:space="preserve">tions: traditional accountability forums often lack the technical capacity and informational advantage needed to examine the front-end design of algorithms, rendering ex-post forum interrogation unable to trace problems to their roots. </w:t>
      </w:r>
      <w:proofErr w:type="spellStart"/>
      <w:r>
        <w:rPr>
          <w:rFonts w:eastAsia="Times New Roman"/>
        </w:rPr>
        <w:t>Wieringa</w:t>
      </w:r>
      <w:proofErr w:type="spellEnd"/>
      <w:r>
        <w:rPr>
          <w:rFonts w:eastAsia="Times New Roman"/>
        </w:rPr>
        <w:t xml:space="preserve"> (2020), thr</w:t>
      </w:r>
      <w:r>
        <w:rPr>
          <w:rFonts w:eastAsia="Times New Roman"/>
        </w:rPr>
        <w:t>ough a systematic literature review, further notes that existing research on algorithmic accountability tends to “technologize” and “fragment” accountability, overlooking the institutional carriers that sustain accountability relations within public admini</w:t>
      </w:r>
      <w:r>
        <w:rPr>
          <w:rFonts w:eastAsia="Times New Roman"/>
        </w:rPr>
        <w:t>stration systems—precisely the stance this paper adopts in treating governance chains as the common carrier. Moreover, multiple accountability standards (for example, simultaneous demands for extreme transparency and extreme efficiency) that lack a unified</w:t>
      </w:r>
      <w:r>
        <w:rPr>
          <w:rFonts w:eastAsia="Times New Roman"/>
        </w:rPr>
        <w:t xml:space="preserve"> structural carrier readily produce mutual constraint among accountabilities and induce bureaucratic risk-aversion (</w:t>
      </w:r>
      <w:proofErr w:type="spellStart"/>
      <w:r>
        <w:rPr>
          <w:rFonts w:eastAsia="Times New Roman"/>
        </w:rPr>
        <w:t>Schillemans</w:t>
      </w:r>
      <w:proofErr w:type="spellEnd"/>
      <w:r>
        <w:rPr>
          <w:rFonts w:eastAsia="Times New Roman"/>
        </w:rPr>
        <w:t xml:space="preserve"> &amp; </w:t>
      </w:r>
      <w:proofErr w:type="spellStart"/>
      <w:r>
        <w:rPr>
          <w:rFonts w:eastAsia="Times New Roman"/>
        </w:rPr>
        <w:t>Bovens</w:t>
      </w:r>
      <w:proofErr w:type="spellEnd"/>
      <w:r>
        <w:rPr>
          <w:rFonts w:eastAsia="Times New Roman"/>
        </w:rPr>
        <w:t>, 2011).</w:t>
      </w:r>
    </w:p>
    <w:p w:rsidR="00751D35" w:rsidRDefault="008C3E62">
      <w:pPr>
        <w:pStyle w:val="2"/>
      </w:pPr>
      <w:r>
        <w:t>2. Three Theoretical Footholds Not Yet Mutually Connected</w:t>
      </w:r>
    </w:p>
    <w:p w:rsidR="00751D35" w:rsidRDefault="008C3E62">
      <w:pPr>
        <w:spacing w:after="200"/>
        <w:ind w:firstLine="480"/>
      </w:pPr>
      <w:r>
        <w:rPr>
          <w:rFonts w:eastAsia="Times New Roman"/>
        </w:rPr>
        <w:t>Confronting this limitation, at least three scholarly paths have in recent years pointed from different angles to the possibility that AI’s substantive impact on public administration may occur before decisions are made; yet the three have developed indepe</w:t>
      </w:r>
      <w:r>
        <w:rPr>
          <w:rFonts w:eastAsia="Times New Roman"/>
        </w:rPr>
        <w:t>ndently and have not yet been mutually articulated.</w:t>
      </w:r>
    </w:p>
    <w:p w:rsidR="00751D35" w:rsidRDefault="008C3E62">
      <w:pPr>
        <w:spacing w:after="200"/>
        <w:ind w:firstLine="480"/>
      </w:pPr>
      <w:r>
        <w:rPr>
          <w:rFonts w:eastAsia="Times New Roman"/>
        </w:rPr>
        <w:lastRenderedPageBreak/>
        <w:t>First, Danaher (2016) advances the concept of “</w:t>
      </w:r>
      <w:proofErr w:type="spellStart"/>
      <w:r>
        <w:rPr>
          <w:rFonts w:eastAsia="Times New Roman"/>
        </w:rPr>
        <w:t>algocracy</w:t>
      </w:r>
      <w:proofErr w:type="spellEnd"/>
      <w:r>
        <w:rPr>
          <w:rFonts w:eastAsia="Times New Roman"/>
        </w:rPr>
        <w:t>,” noting that when courts, legislatures, and administrative agencies delegate authority to algorithmic systems, a state of “governance without unde</w:t>
      </w:r>
      <w:r>
        <w:rPr>
          <w:rFonts w:eastAsia="Times New Roman"/>
        </w:rPr>
        <w:t>rstanding” may arise—a structural tension between the superior problem-solving capacity of algorithms and the democratic requirement that citizens understand and contest decisions. This path addresses a dilemma of governance quality but does not yet ask wh</w:t>
      </w:r>
      <w:r>
        <w:rPr>
          <w:rFonts w:eastAsia="Times New Roman"/>
        </w:rPr>
        <w:t>ether the tension systematically occurs at the front-end stages of data selection and threshold formation. Pasquale’s (2015) “black-box society” can be read as a counterpart: when public authorities delegate decision-making power to algorithms, the questio</w:t>
      </w:r>
      <w:r>
        <w:rPr>
          <w:rFonts w:eastAsia="Times New Roman"/>
        </w:rPr>
        <w:t xml:space="preserve">n of how public power operates under the concealment of technical monopoly and informational asymmetry is precisely the substantive concern of the </w:t>
      </w:r>
      <w:proofErr w:type="spellStart"/>
      <w:r>
        <w:rPr>
          <w:rFonts w:eastAsia="Times New Roman"/>
        </w:rPr>
        <w:t>algocracy</w:t>
      </w:r>
      <w:proofErr w:type="spellEnd"/>
      <w:r>
        <w:rPr>
          <w:rFonts w:eastAsia="Times New Roman"/>
        </w:rPr>
        <w:t xml:space="preserve"> concept. Yeung (2018) further describes, under the rubric of “</w:t>
      </w:r>
      <w:proofErr w:type="spellStart"/>
      <w:r>
        <w:rPr>
          <w:rFonts w:eastAsia="Times New Roman"/>
        </w:rPr>
        <w:t>hypernudge</w:t>
      </w:r>
      <w:proofErr w:type="spellEnd"/>
      <w:r>
        <w:rPr>
          <w:rFonts w:eastAsia="Times New Roman"/>
        </w:rPr>
        <w:t>,” how algorithms at the si</w:t>
      </w:r>
      <w:r>
        <w:rPr>
          <w:rFonts w:eastAsia="Times New Roman"/>
        </w:rPr>
        <w:t>tuational-construction stage silently constrict citizens’ choice and action space, eroding democratic legitimacy at the front end rather than the back end.</w:t>
      </w:r>
    </w:p>
    <w:p w:rsidR="00751D35" w:rsidRDefault="008C3E62">
      <w:pPr>
        <w:spacing w:after="200"/>
        <w:ind w:firstLine="480"/>
      </w:pPr>
      <w:r>
        <w:rPr>
          <w:rFonts w:eastAsia="Times New Roman"/>
        </w:rPr>
        <w:t xml:space="preserve">Second, Livermore (2025) distinguishes </w:t>
      </w:r>
      <w:proofErr w:type="spellStart"/>
      <w:r>
        <w:rPr>
          <w:rFonts w:eastAsia="Times New Roman"/>
        </w:rPr>
        <w:t>algocracy</w:t>
      </w:r>
      <w:proofErr w:type="spellEnd"/>
      <w:r>
        <w:rPr>
          <w:rFonts w:eastAsia="Times New Roman"/>
        </w:rPr>
        <w:t xml:space="preserve"> (algorithms assisting administration within real hu</w:t>
      </w:r>
      <w:r>
        <w:rPr>
          <w:rFonts w:eastAsia="Times New Roman"/>
        </w:rPr>
        <w:t xml:space="preserve">man institutional frameworks) from </w:t>
      </w:r>
      <w:proofErr w:type="spellStart"/>
      <w:r>
        <w:rPr>
          <w:rFonts w:eastAsia="Times New Roman"/>
        </w:rPr>
        <w:t>algoarchy</w:t>
      </w:r>
      <w:proofErr w:type="spellEnd"/>
      <w:r>
        <w:rPr>
          <w:rFonts w:eastAsia="Times New Roman"/>
        </w:rPr>
        <w:t xml:space="preserve"> (algorithms replacing that framework and ruling directly), arguing that the operation of liberal democracy has always depended on friction—the resistance that power encounters is procedural, hierarchical, and mo</w:t>
      </w:r>
      <w:r>
        <w:rPr>
          <w:rFonts w:eastAsia="Times New Roman"/>
        </w:rPr>
        <w:t>ral; such friction is not a side-effect of administrative inefficiency but a capacity for refusal deliberately retained by constitutional design. This stance resonates with Pettit’s (1997) republican conception of freedom: the substance of freedom is not f</w:t>
      </w:r>
      <w:r>
        <w:rPr>
          <w:rFonts w:eastAsia="Times New Roman"/>
        </w:rPr>
        <w:t xml:space="preserve">reedom from direct interference but freedom from domination (non-domination)—even if power is not in fact abused, a relation of domination already exists whenever the people lack institutional channels for challenge or resistance; the “friction” Livermore </w:t>
      </w:r>
      <w:r>
        <w:rPr>
          <w:rFonts w:eastAsia="Times New Roman"/>
        </w:rPr>
        <w:t xml:space="preserve">invokes is precisely the institutional resource that enables administrative subjects to resist algorithmic framing domination. </w:t>
      </w:r>
      <w:proofErr w:type="spellStart"/>
      <w:r>
        <w:rPr>
          <w:rFonts w:eastAsia="Times New Roman"/>
        </w:rPr>
        <w:t>Alnemr</w:t>
      </w:r>
      <w:proofErr w:type="spellEnd"/>
      <w:r>
        <w:rPr>
          <w:rFonts w:eastAsia="Times New Roman"/>
        </w:rPr>
        <w:t xml:space="preserve"> (2024) extends </w:t>
      </w:r>
      <w:proofErr w:type="spellStart"/>
      <w:r>
        <w:rPr>
          <w:rFonts w:eastAsia="Times New Roman"/>
        </w:rPr>
        <w:t>Lafont’s</w:t>
      </w:r>
      <w:proofErr w:type="spellEnd"/>
      <w:r>
        <w:rPr>
          <w:rFonts w:eastAsia="Times New Roman"/>
        </w:rPr>
        <w:t xml:space="preserve"> critique of “democratic shortcuts” to propose the concept of an “</w:t>
      </w:r>
      <w:proofErr w:type="spellStart"/>
      <w:r>
        <w:rPr>
          <w:rFonts w:eastAsia="Times New Roman"/>
        </w:rPr>
        <w:t>algocratic</w:t>
      </w:r>
      <w:proofErr w:type="spellEnd"/>
      <w:r>
        <w:rPr>
          <w:rFonts w:eastAsia="Times New Roman"/>
        </w:rPr>
        <w:t xml:space="preserve"> shortcut,” using </w:t>
      </w:r>
      <w:proofErr w:type="spellStart"/>
      <w:r>
        <w:rPr>
          <w:rFonts w:eastAsia="Times New Roman"/>
        </w:rPr>
        <w:t>Robod</w:t>
      </w:r>
      <w:r>
        <w:rPr>
          <w:rFonts w:eastAsia="Times New Roman"/>
        </w:rPr>
        <w:t>ebt</w:t>
      </w:r>
      <w:proofErr w:type="spellEnd"/>
      <w:r>
        <w:rPr>
          <w:rFonts w:eastAsia="Times New Roman"/>
        </w:rPr>
        <w:t xml:space="preserve"> as an illustration of how investigations by parliament and oversight bodies expose the democratic harms caused by such shortcuts; Bullock (2019), from a public-administration perspective, notes that while AI’s effect on street-level discretion is not l</w:t>
      </w:r>
      <w:r>
        <w:rPr>
          <w:rFonts w:eastAsia="Times New Roman"/>
        </w:rPr>
        <w:t xml:space="preserve">inearly monotonic, it does exhibit a systemic tendency to compress the discretionary space of front-line administrators. This critical path can be traced back to </w:t>
      </w:r>
      <w:proofErr w:type="spellStart"/>
      <w:r>
        <w:rPr>
          <w:rFonts w:eastAsia="Times New Roman"/>
        </w:rPr>
        <w:t>Bovens</w:t>
      </w:r>
      <w:proofErr w:type="spellEnd"/>
      <w:r>
        <w:rPr>
          <w:rFonts w:eastAsia="Times New Roman"/>
        </w:rPr>
        <w:t xml:space="preserve"> and </w:t>
      </w:r>
      <w:proofErr w:type="spellStart"/>
      <w:r>
        <w:rPr>
          <w:rFonts w:eastAsia="Times New Roman"/>
        </w:rPr>
        <w:t>Zouridis’s</w:t>
      </w:r>
      <w:proofErr w:type="spellEnd"/>
      <w:r>
        <w:rPr>
          <w:rFonts w:eastAsia="Times New Roman"/>
        </w:rPr>
        <w:t xml:space="preserve"> (2002) concept of “system-level bureaucracy”—when information and commun</w:t>
      </w:r>
      <w:r>
        <w:rPr>
          <w:rFonts w:eastAsia="Times New Roman"/>
        </w:rPr>
        <w:t>ication technology displaces the on-the-spot discretion of street-level bureaucrats, the flexibility and resistance formerly supplied by discretionary space are replaced by parameter choices made at the system-design stage. Although the three contributions</w:t>
      </w:r>
      <w:r>
        <w:rPr>
          <w:rFonts w:eastAsia="Times New Roman"/>
        </w:rPr>
        <w:t xml:space="preserve"> belong to the distinct scholarly communities of commentary, political theory, and public administration, they converge on the proposition that “AI expansion compresses existing sources of friction in the name of efficiency.”</w:t>
      </w:r>
    </w:p>
    <w:p w:rsidR="00751D35" w:rsidRDefault="008C3E62">
      <w:pPr>
        <w:spacing w:after="200"/>
        <w:ind w:firstLine="480"/>
      </w:pPr>
      <w:r>
        <w:rPr>
          <w:rFonts w:eastAsia="Times New Roman"/>
        </w:rPr>
        <w:t>Third, De Angelis (2026) exten</w:t>
      </w:r>
      <w:r>
        <w:rPr>
          <w:rFonts w:eastAsia="Times New Roman"/>
        </w:rPr>
        <w:t>ds Weber’s (1992) classical distinction between formal and substantive rationality to propose the concept of an “algorithmic cage”—a designation that directly echoes Weber’s original metaphor of the “iron cage” (</w:t>
      </w:r>
      <w:proofErr w:type="spellStart"/>
      <w:r>
        <w:rPr>
          <w:rFonts w:eastAsia="Times New Roman"/>
        </w:rPr>
        <w:t>stahlhartes</w:t>
      </w:r>
      <w:proofErr w:type="spellEnd"/>
      <w:r>
        <w:rPr>
          <w:rFonts w:eastAsia="Times New Roman"/>
        </w:rPr>
        <w:t xml:space="preserve"> </w:t>
      </w:r>
      <w:proofErr w:type="spellStart"/>
      <w:r>
        <w:rPr>
          <w:rFonts w:eastAsia="Times New Roman"/>
        </w:rPr>
        <w:t>Gehäuse</w:t>
      </w:r>
      <w:proofErr w:type="spellEnd"/>
      <w:r>
        <w:rPr>
          <w:rFonts w:eastAsia="Times New Roman"/>
        </w:rPr>
        <w:t>): once the bureaucratizi</w:t>
      </w:r>
      <w:r>
        <w:rPr>
          <w:rFonts w:eastAsia="Times New Roman"/>
        </w:rPr>
        <w:t>ng logic of instrumental rationality detaches from its original substantive-value roots, it becomes self-sustaining and self-reinforcing, imprisoning actors within a cage of formal rules. De Angelis contends that AI constitutes a new stage of modern ration</w:t>
      </w:r>
      <w:r>
        <w:rPr>
          <w:rFonts w:eastAsia="Times New Roman"/>
        </w:rPr>
        <w:t xml:space="preserve">alization; his conclusion is not that AI breaks the Weberian cage but that it reconfigures it into a more permeable and more opaque architecture—yet this does not close off the possibility of autonomy and democratic resistance. This path draws on the most </w:t>
      </w:r>
      <w:r>
        <w:rPr>
          <w:rFonts w:eastAsia="Times New Roman"/>
        </w:rPr>
        <w:t xml:space="preserve">classical theoretical resources and is also </w:t>
      </w:r>
      <w:r>
        <w:rPr>
          <w:rFonts w:eastAsia="Times New Roman"/>
        </w:rPr>
        <w:lastRenderedPageBreak/>
        <w:t>the closest to the intuition that animates this paper: when formal rationality wins completely, the justificatory logics that once belonged to three different languages—political, normative, and efficiency—risk b</w:t>
      </w:r>
      <w:r>
        <w:rPr>
          <w:rFonts w:eastAsia="Times New Roman"/>
        </w:rPr>
        <w:t xml:space="preserve">eing flattened into the single logic of “efficient therefore correct.” This resonates with </w:t>
      </w:r>
      <w:proofErr w:type="spellStart"/>
      <w:r>
        <w:rPr>
          <w:rFonts w:eastAsia="Times New Roman"/>
        </w:rPr>
        <w:t>Introna’s</w:t>
      </w:r>
      <w:proofErr w:type="spellEnd"/>
      <w:r>
        <w:rPr>
          <w:rFonts w:eastAsia="Times New Roman"/>
        </w:rPr>
        <w:t xml:space="preserve"> (2016) analysis employing Foucault’s governmentality: the problem of algorithmic governance is not merely the black box, but how it converts substantive no</w:t>
      </w:r>
      <w:r>
        <w:rPr>
          <w:rFonts w:eastAsia="Times New Roman"/>
        </w:rPr>
        <w:t xml:space="preserve">rmative values such as justice and responsibility into formally calculable data flows and </w:t>
      </w:r>
      <w:proofErr w:type="spellStart"/>
      <w:r>
        <w:rPr>
          <w:rFonts w:eastAsia="Times New Roman"/>
        </w:rPr>
        <w:t>indicatorized</w:t>
      </w:r>
      <w:proofErr w:type="spellEnd"/>
      <w:r>
        <w:rPr>
          <w:rFonts w:eastAsia="Times New Roman"/>
        </w:rPr>
        <w:t xml:space="preserve"> management—a theoretical precursor to De Angelis’s (2026) algorithmic-cage thesis.</w:t>
      </w:r>
    </w:p>
    <w:p w:rsidR="00751D35" w:rsidRDefault="008C3E62">
      <w:pPr>
        <w:spacing w:after="200"/>
        <w:ind w:firstLine="480"/>
      </w:pPr>
      <w:r>
        <w:rPr>
          <w:rFonts w:eastAsia="Times New Roman"/>
        </w:rPr>
        <w:t>Although these three paths belong to the distinct scholarly registers</w:t>
      </w:r>
      <w:r>
        <w:rPr>
          <w:rFonts w:eastAsia="Times New Roman"/>
        </w:rPr>
        <w:t xml:space="preserve"> of governance theory, constitutional theory, and Weberian rationalization, they jointly point to a question that has not yet been asked: when resistance, friction, and substantive rationality are ceded to the efficiency logic of algorithms, what is truly </w:t>
      </w:r>
      <w:r>
        <w:rPr>
          <w:rFonts w:eastAsia="Times New Roman"/>
        </w:rPr>
        <w:t>lost is not merely the “ex-post” link of accountability, but the political contestability that ought to have existed at the front-end stage of problem definition. Section III will show that this is precisely the theoretical reason why the situational-const</w:t>
      </w:r>
      <w:r>
        <w:rPr>
          <w:rFonts w:eastAsia="Times New Roman"/>
        </w:rPr>
        <w:t>ruction chain must be identified as an independent chain rather than absorbed into the reason chain or the responsibility chain.</w:t>
      </w:r>
    </w:p>
    <w:p w:rsidR="00751D35" w:rsidRDefault="008C3E62">
      <w:pPr>
        <w:pStyle w:val="2"/>
      </w:pPr>
      <w:r>
        <w:t>3. Preliminary Observations from Transnational Governance Practice</w:t>
      </w:r>
    </w:p>
    <w:p w:rsidR="00751D35" w:rsidRDefault="008C3E62">
      <w:pPr>
        <w:spacing w:after="200"/>
        <w:ind w:firstLine="480"/>
      </w:pPr>
      <w:r>
        <w:rPr>
          <w:rFonts w:eastAsia="Times New Roman"/>
        </w:rPr>
        <w:t>Taiwan’s recently published Artificial Intelligence Risk Cla</w:t>
      </w:r>
      <w:r>
        <w:rPr>
          <w:rFonts w:eastAsia="Times New Roman"/>
        </w:rPr>
        <w:t xml:space="preserve">ssification Framework has listed “inventory application scenarios → identify risks → assess risks → respond to risks” as the basic operational flow for agencies, and has included insufficient transparency or </w:t>
      </w:r>
      <w:proofErr w:type="spellStart"/>
      <w:r>
        <w:rPr>
          <w:rFonts w:eastAsia="Times New Roman"/>
        </w:rPr>
        <w:t>explainability</w:t>
      </w:r>
      <w:proofErr w:type="spellEnd"/>
      <w:r>
        <w:rPr>
          <w:rFonts w:eastAsia="Times New Roman"/>
        </w:rPr>
        <w:t>, and behavioral deviation from hu</w:t>
      </w:r>
      <w:r>
        <w:rPr>
          <w:rFonts w:eastAsia="Times New Roman"/>
        </w:rPr>
        <w:t>man intent and social values, among risk types (Ministry of Digital Affairs, 2026). This supplies an important institutional background for the present paper: risk governance already requires agencies to begin from scenarios, yet its principal function rem</w:t>
      </w:r>
      <w:r>
        <w:rPr>
          <w:rFonts w:eastAsia="Times New Roman"/>
        </w:rPr>
        <w:t>ains the identification and management of risk and is still insufficient to explain how value choices travel through authorization, reason-giving, and the division of responsibility. The four-chain analysis of this paper is precisely an attempt to render t</w:t>
      </w:r>
      <w:r>
        <w:rPr>
          <w:rFonts w:eastAsia="Times New Roman"/>
        </w:rPr>
        <w:t>his as-yet-undeveloped administrative process articulate.</w:t>
      </w:r>
    </w:p>
    <w:p w:rsidR="00751D35" w:rsidRDefault="008C3E62">
      <w:pPr>
        <w:spacing w:after="200"/>
        <w:ind w:firstLine="480"/>
      </w:pPr>
      <w:r>
        <w:rPr>
          <w:rFonts w:eastAsia="Times New Roman"/>
        </w:rPr>
        <w:t>The three theoretical paths above present different practical configurations under different legal systems and may serve as background for the case analyses in Section IV; the observations offered h</w:t>
      </w:r>
      <w:r>
        <w:rPr>
          <w:rFonts w:eastAsia="Times New Roman"/>
        </w:rPr>
        <w:t xml:space="preserve">ere are preliminary only and make no claim to exhaustiveness or representativeness. The </w:t>
      </w:r>
      <w:proofErr w:type="spellStart"/>
      <w:r>
        <w:rPr>
          <w:rFonts w:eastAsia="Times New Roman"/>
        </w:rPr>
        <w:t>SyRI</w:t>
      </w:r>
      <w:proofErr w:type="spellEnd"/>
      <w:r>
        <w:rPr>
          <w:rFonts w:eastAsia="Times New Roman"/>
        </w:rPr>
        <w:t xml:space="preserve"> case in the European Union and the Netherlands shows that even when a statutory framework already addresses front-end data integration and risk indication, if the </w:t>
      </w:r>
      <w:r>
        <w:rPr>
          <w:rFonts w:eastAsia="Times New Roman"/>
        </w:rPr>
        <w:t>framing logic itself remains opaque it may still be discovered only at the stage of judicial review to be imbalanced against the protection of private life, demonstrating that “having touched the front end” is not equivalent to “the front end having been p</w:t>
      </w:r>
      <w:r>
        <w:rPr>
          <w:rFonts w:eastAsia="Times New Roman"/>
        </w:rPr>
        <w:t xml:space="preserve">laced under democratic control.” The </w:t>
      </w:r>
      <w:proofErr w:type="spellStart"/>
      <w:r>
        <w:rPr>
          <w:rFonts w:eastAsia="Times New Roman"/>
        </w:rPr>
        <w:t>Robodebt</w:t>
      </w:r>
      <w:proofErr w:type="spellEnd"/>
      <w:r>
        <w:rPr>
          <w:rFonts w:eastAsia="Times New Roman"/>
        </w:rPr>
        <w:t xml:space="preserve"> case in the Anglo-American-Australian systems shows that even when back-end political accountability and judicial redress mechanisms operate (for example, the establishment of a Royal Commission), they still ca</w:t>
      </w:r>
      <w:r>
        <w:rPr>
          <w:rFonts w:eastAsia="Times New Roman"/>
        </w:rPr>
        <w:t>nnot retrospectively repair the harm caused to individual cases by front-end statistical framing, demonstrating that the cost of back-end remedy far exceeds the cost of front-end correction. Preliminary observations in East Asian contexts indicate that whi</w:t>
      </w:r>
      <w:r>
        <w:rPr>
          <w:rFonts w:eastAsia="Times New Roman"/>
        </w:rPr>
        <w:t>le administrative law systems and internal hierarchical accountability have their existing foundations, they likewise face the common challenge of lacking external channels for contesting technical framing and proxy variables at the P1 stage—an observation</w:t>
      </w:r>
      <w:r>
        <w:rPr>
          <w:rFonts w:eastAsia="Times New Roman"/>
        </w:rPr>
        <w:t xml:space="preserve"> that remains preliminary and awaits more rigorous comparative testing in subsequent papers of the series. </w:t>
      </w:r>
      <w:r>
        <w:rPr>
          <w:rFonts w:eastAsia="Times New Roman"/>
        </w:rPr>
        <w:lastRenderedPageBreak/>
        <w:t xml:space="preserve">With respect to Taiwanese public-law scholarship, Chang (2025), drawing on Article 35a of the German Federal Administrative Procedure Act concerning </w:t>
      </w:r>
      <w:r>
        <w:rPr>
          <w:rFonts w:eastAsia="Times New Roman"/>
        </w:rPr>
        <w:t>fully automated administrative acts, examines how the duty to state reasons under Article 96 of Taiwan’s Administrative Procedure Act (“written administrative acts shall state reasons”) may operate when administrative agencies employ artificial intelligenc</w:t>
      </w:r>
      <w:r>
        <w:rPr>
          <w:rFonts w:eastAsia="Times New Roman"/>
        </w:rPr>
        <w:t>e for discretion and fact-finding—if the decision process cannot be reconstructed, the reasons appended to the disposition become formalistic, constituting what this paper terms a substantive break in the reason chain. Lee (2024) further addresses the chal</w:t>
      </w:r>
      <w:r>
        <w:rPr>
          <w:rFonts w:eastAsia="Times New Roman"/>
        </w:rPr>
        <w:t>lenges that fully automated administrative acts pose to the principles of ex officio investigation, opportunity to be heard, and access to files, illustrating the trade-offs between efficiency and the protection of citizens’ procedural rights. These two co</w:t>
      </w:r>
      <w:r>
        <w:rPr>
          <w:rFonts w:eastAsia="Times New Roman"/>
        </w:rPr>
        <w:t>ntributions demonstrate that the problem of reason-chain breakage in East Asian contexts is not an inference invented by this paper but an object of concrete concern within local administrative-law scholarship.</w:t>
      </w:r>
    </w:p>
    <w:p w:rsidR="00751D35" w:rsidRDefault="008C3E62">
      <w:pPr>
        <w:pStyle w:val="2"/>
      </w:pPr>
      <w:r>
        <w:t>4. From Diagnosis to Architecture: The Four V</w:t>
      </w:r>
      <w:r>
        <w:t>alues Need a Common Carrier</w:t>
      </w:r>
    </w:p>
    <w:p w:rsidR="00751D35" w:rsidRDefault="008C3E62">
      <w:pPr>
        <w:spacing w:after="200"/>
        <w:ind w:firstLine="480"/>
      </w:pPr>
      <w:r>
        <w:rPr>
          <w:rFonts w:eastAsia="Times New Roman"/>
        </w:rPr>
        <w:t>The literature landscape sketched above reveals a common theoretical predicament: fragmented value declarations are ill-equipped to resist the holistic penetration of technical efficiency. When accountability, responsibility, tr</w:t>
      </w:r>
      <w:r>
        <w:rPr>
          <w:rFonts w:eastAsia="Times New Roman"/>
        </w:rPr>
        <w:t>ansparency, and justice are treated as independently operating ethical goals to be checked separately, AI systems can often complete the narrowing and skewing of public problems at the front end under the cover of “formal authorization.” Breaking this pred</w:t>
      </w:r>
      <w:r>
        <w:rPr>
          <w:rFonts w:eastAsia="Times New Roman"/>
        </w:rPr>
        <w:t xml:space="preserve">icament cannot rely solely on adding more back-end audits; the four values must be returned to the dynamic carriers on which they operate. Section III therefore argues that the four governance chains of the existing parent framework are already </w:t>
      </w:r>
      <w:proofErr w:type="gramStart"/>
      <w:r>
        <w:rPr>
          <w:rFonts w:eastAsia="Times New Roman"/>
        </w:rPr>
        <w:t>sufficient</w:t>
      </w:r>
      <w:proofErr w:type="gramEnd"/>
      <w:r>
        <w:rPr>
          <w:rFonts w:eastAsia="Times New Roman"/>
        </w:rPr>
        <w:t xml:space="preserve"> </w:t>
      </w:r>
      <w:r>
        <w:rPr>
          <w:rFonts w:eastAsia="Times New Roman"/>
        </w:rPr>
        <w:t>to shoulder this role and that no new value-measurement architecture is required.</w:t>
      </w:r>
    </w:p>
    <w:p w:rsidR="00751D35" w:rsidRDefault="008C3E62">
      <w:pPr>
        <w:pStyle w:val="1"/>
      </w:pPr>
      <w:r>
        <w:t>III. Theoretical Framework: Four Governance Chains as Dynamic Carriers of the Four Core Values</w:t>
      </w:r>
    </w:p>
    <w:p w:rsidR="00751D35" w:rsidRDefault="008C3E62">
      <w:pPr>
        <w:pStyle w:val="2"/>
      </w:pPr>
      <w:r>
        <w:t>1. From Checklist to Chain Carrier</w:t>
      </w:r>
    </w:p>
    <w:p w:rsidR="00751D35" w:rsidRDefault="008C3E62">
      <w:pPr>
        <w:spacing w:after="200"/>
        <w:ind w:firstLine="480"/>
      </w:pPr>
      <w:r>
        <w:rPr>
          <w:rFonts w:eastAsia="Times New Roman"/>
        </w:rPr>
        <w:t xml:space="preserve">The pathology of traditional accountability </w:t>
      </w:r>
      <w:r>
        <w:rPr>
          <w:rFonts w:eastAsia="Times New Roman"/>
        </w:rPr>
        <w:t>literature lies in treating accountability, responsibility, transparency, and justice as four columns that can be ticked separately. The hidden assumption of this practice is that each value can be measured independently of the governance stage in which it</w:t>
      </w:r>
      <w:r>
        <w:rPr>
          <w:rFonts w:eastAsia="Times New Roman"/>
        </w:rPr>
        <w:t xml:space="preserve"> occurs. The four governance chains of the parent framework (Lu, 2026)—situational-construction chain, authority chain, reason chain, and responsibility chain—reveal another possibility: the four values are not floating abstract goals but the manifestation</w:t>
      </w:r>
      <w:r>
        <w:rPr>
          <w:rFonts w:eastAsia="Times New Roman"/>
        </w:rPr>
        <w:t xml:space="preserve">s of whether each chain maintains democratic legitimacy at </w:t>
      </w:r>
      <w:proofErr w:type="gramStart"/>
      <w:r>
        <w:rPr>
          <w:rFonts w:eastAsia="Times New Roman"/>
        </w:rPr>
        <w:t>particular nodes</w:t>
      </w:r>
      <w:proofErr w:type="gramEnd"/>
      <w:r>
        <w:rPr>
          <w:rFonts w:eastAsia="Times New Roman"/>
        </w:rPr>
        <w:t>. The achievement of values is therefore not static verification but dynamic, moving with the breakpoints on the chains.</w:t>
      </w:r>
    </w:p>
    <w:p w:rsidR="00751D35" w:rsidRDefault="008C3E62">
      <w:pPr>
        <w:pStyle w:val="2"/>
      </w:pPr>
      <w:r>
        <w:t>2. The Four Chains and the Four Values: Primary Carriage, Se</w:t>
      </w:r>
      <w:r>
        <w:t>condary Spillover, and Interpretive Rules</w:t>
      </w:r>
    </w:p>
    <w:p w:rsidR="00751D35" w:rsidRDefault="008C3E62">
      <w:pPr>
        <w:spacing w:after="200"/>
        <w:ind w:firstLine="480"/>
      </w:pPr>
      <w:r>
        <w:rPr>
          <w:rFonts w:eastAsia="Times New Roman"/>
        </w:rPr>
        <w:t>The four governance chains are not synonyms for the four values, nor are they four interchangeable checklist columns. They point to different administrative relations: the situational-construction chain concerns wh</w:t>
      </w:r>
      <w:r>
        <w:rPr>
          <w:rFonts w:eastAsia="Times New Roman"/>
        </w:rPr>
        <w:t xml:space="preserve">ich facts, data, and classifications may enter a decision; the authority chain concerns whether actual influence remains constrained by statutory </w:t>
      </w:r>
      <w:r>
        <w:rPr>
          <w:rFonts w:eastAsia="Times New Roman"/>
        </w:rPr>
        <w:lastRenderedPageBreak/>
        <w:t>authorization; the reason chain concerns whether a decision can be traced back from outcome to facts, norms, a</w:t>
      </w:r>
      <w:r>
        <w:rPr>
          <w:rFonts w:eastAsia="Times New Roman"/>
        </w:rPr>
        <w:t xml:space="preserve">nd value judgments; the responsibility chain concerns whether, after error occurs, someone can answer, correct, and feed the correction back to the front end. This paper therefore takes the “location of chain breakage” as its unit of analysis and the four </w:t>
      </w:r>
      <w:r>
        <w:rPr>
          <w:rFonts w:eastAsia="Times New Roman"/>
        </w:rPr>
        <w:t>values as its diagnostic language.</w:t>
      </w:r>
    </w:p>
    <w:p w:rsidR="00751D35" w:rsidRDefault="008C3E62">
      <w:pPr>
        <w:spacing w:after="200"/>
        <w:ind w:firstLine="480"/>
      </w:pPr>
      <w:r>
        <w:rPr>
          <w:rFonts w:eastAsia="Times New Roman"/>
        </w:rPr>
        <w:t xml:space="preserve">The reason the situational-construction chain stands as an independent chain rather than merely a preliminary operation of the reason chain can be traced to a long-standing strand of public-policy research concerned with </w:t>
      </w:r>
      <w:r>
        <w:rPr>
          <w:rFonts w:eastAsia="Times New Roman"/>
        </w:rPr>
        <w:t>“how problems are defined.” Stone (1989) shows that policy problems are never neutrally discovered but are argumentatively constructed in political processes; Rochefort and Cobb (1994) further systematize how problem definition determines agenda visibility</w:t>
      </w:r>
      <w:r>
        <w:rPr>
          <w:rFonts w:eastAsia="Times New Roman"/>
        </w:rPr>
        <w:t xml:space="preserve"> and the range of subsequent policy options; Schneider and Ingram (1993) demonstrate that the social construction of target populations (for example, classifications of the “deserving” or “undeserving”) itself carries distributive consequences and directly</w:t>
      </w:r>
      <w:r>
        <w:rPr>
          <w:rFonts w:eastAsia="Times New Roman"/>
        </w:rPr>
        <w:t xml:space="preserve"> shapes which data and proxy variables are treated as natural and incorporated into models; </w:t>
      </w:r>
      <w:proofErr w:type="spellStart"/>
      <w:r>
        <w:rPr>
          <w:rFonts w:eastAsia="Times New Roman"/>
        </w:rPr>
        <w:t>Entman’s</w:t>
      </w:r>
      <w:proofErr w:type="spellEnd"/>
      <w:r>
        <w:rPr>
          <w:rFonts w:eastAsia="Times New Roman"/>
        </w:rPr>
        <w:t xml:space="preserve"> (1993) framing theory shows that frames operate simultaneously through the four functions of “defining problems, diagnosing causes, making moral evaluation</w:t>
      </w:r>
      <w:r>
        <w:rPr>
          <w:rFonts w:eastAsia="Times New Roman"/>
        </w:rPr>
        <w:t xml:space="preserve">s, and suggesting remedies,” rather than stopping at information selection. This literature demonstrates that what this paper calls “situational construction” is not a neologism but the linkage of existing problem-construction theory in policy research to </w:t>
      </w:r>
      <w:r>
        <w:rPr>
          <w:rFonts w:eastAsia="Times New Roman"/>
        </w:rPr>
        <w:t>the front-end stage of algorithmic governance.</w:t>
      </w:r>
    </w:p>
    <w:p w:rsidR="00751D35" w:rsidRDefault="008C3E62">
      <w:pPr>
        <w:spacing w:before="240" w:after="120"/>
        <w:jc w:val="center"/>
      </w:pPr>
      <w:r>
        <w:rPr>
          <w:rFonts w:eastAsia="Times New Roman"/>
          <w:b/>
          <w:bCs/>
          <w:sz w:val="20"/>
          <w:szCs w:val="20"/>
        </w:rPr>
        <w:t xml:space="preserve">Table </w:t>
      </w:r>
      <w:proofErr w:type="gramStart"/>
      <w:r>
        <w:rPr>
          <w:rFonts w:eastAsia="Times New Roman"/>
          <w:b/>
          <w:bCs/>
          <w:sz w:val="20"/>
          <w:szCs w:val="20"/>
        </w:rPr>
        <w:t>3.1  Functional</w:t>
      </w:r>
      <w:proofErr w:type="gramEnd"/>
      <w:r>
        <w:rPr>
          <w:rFonts w:eastAsia="Times New Roman"/>
          <w:b/>
          <w:bCs/>
          <w:sz w:val="20"/>
          <w:szCs w:val="20"/>
        </w:rPr>
        <w:t xml:space="preserve"> Boundaries, Primary Value Carriage, and Observable Criteria of the Four Governance Chains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2800"/>
        <w:gridCol w:w="2000"/>
        <w:gridCol w:w="2760"/>
      </w:tblGrid>
      <w:tr w:rsidR="00751D35">
        <w:tblPrEx>
          <w:tblCellMar>
            <w:top w:w="0" w:type="dxa"/>
            <w:bottom w:w="0" w:type="dxa"/>
          </w:tblCellMar>
        </w:tblPrEx>
        <w:tc>
          <w:tcPr>
            <w:tcW w:w="1800" w:type="dxa"/>
            <w:tcBorders>
              <w:top w:val="single" w:sz="1" w:space="0" w:color="333333"/>
              <w:left w:val="single" w:sz="1" w:space="0" w:color="333333"/>
              <w:bottom w:val="single" w:sz="1" w:space="0" w:color="333333"/>
              <w:right w:val="single" w:sz="1" w:space="0" w:color="333333"/>
            </w:tcBorders>
            <w:shd w:val="clear" w:color="auto" w:fill="D9E2F3"/>
            <w:tcMar>
              <w:top w:w="60" w:type="dxa"/>
              <w:left w:w="80" w:type="dxa"/>
              <w:bottom w:w="60" w:type="dxa"/>
              <w:right w:w="80" w:type="dxa"/>
            </w:tcMar>
          </w:tcPr>
          <w:p w:rsidR="00751D35" w:rsidRDefault="008C3E62">
            <w:pPr>
              <w:jc w:val="center"/>
            </w:pPr>
            <w:r>
              <w:rPr>
                <w:rFonts w:eastAsia="Times New Roman"/>
                <w:b/>
                <w:bCs/>
                <w:sz w:val="18"/>
                <w:szCs w:val="18"/>
              </w:rPr>
              <w:t>Governance Chain</w:t>
            </w:r>
          </w:p>
        </w:tc>
        <w:tc>
          <w:tcPr>
            <w:tcW w:w="2800" w:type="dxa"/>
            <w:tcBorders>
              <w:top w:val="single" w:sz="1" w:space="0" w:color="333333"/>
              <w:left w:val="single" w:sz="1" w:space="0" w:color="333333"/>
              <w:bottom w:val="single" w:sz="1" w:space="0" w:color="333333"/>
              <w:right w:val="single" w:sz="1" w:space="0" w:color="333333"/>
            </w:tcBorders>
            <w:shd w:val="clear" w:color="auto" w:fill="D9E2F3"/>
            <w:tcMar>
              <w:top w:w="60" w:type="dxa"/>
              <w:left w:w="80" w:type="dxa"/>
              <w:bottom w:w="60" w:type="dxa"/>
              <w:right w:w="80" w:type="dxa"/>
            </w:tcMar>
          </w:tcPr>
          <w:p w:rsidR="00751D35" w:rsidRDefault="008C3E62">
            <w:pPr>
              <w:jc w:val="center"/>
            </w:pPr>
            <w:r>
              <w:rPr>
                <w:rFonts w:eastAsia="Times New Roman"/>
                <w:b/>
                <w:bCs/>
                <w:sz w:val="18"/>
                <w:szCs w:val="18"/>
              </w:rPr>
              <w:t>Function and Boundary</w:t>
            </w:r>
          </w:p>
        </w:tc>
        <w:tc>
          <w:tcPr>
            <w:tcW w:w="2000" w:type="dxa"/>
            <w:tcBorders>
              <w:top w:val="single" w:sz="1" w:space="0" w:color="333333"/>
              <w:left w:val="single" w:sz="1" w:space="0" w:color="333333"/>
              <w:bottom w:val="single" w:sz="1" w:space="0" w:color="333333"/>
              <w:right w:val="single" w:sz="1" w:space="0" w:color="333333"/>
            </w:tcBorders>
            <w:shd w:val="clear" w:color="auto" w:fill="D9E2F3"/>
            <w:tcMar>
              <w:top w:w="60" w:type="dxa"/>
              <w:left w:w="80" w:type="dxa"/>
              <w:bottom w:w="60" w:type="dxa"/>
              <w:right w:w="80" w:type="dxa"/>
            </w:tcMar>
          </w:tcPr>
          <w:p w:rsidR="00751D35" w:rsidRDefault="008C3E62">
            <w:pPr>
              <w:jc w:val="center"/>
            </w:pPr>
            <w:r>
              <w:rPr>
                <w:rFonts w:eastAsia="Times New Roman"/>
                <w:b/>
                <w:bCs/>
                <w:sz w:val="18"/>
                <w:szCs w:val="18"/>
              </w:rPr>
              <w:t>Primary Value Carriage</w:t>
            </w:r>
          </w:p>
        </w:tc>
        <w:tc>
          <w:tcPr>
            <w:tcW w:w="2760" w:type="dxa"/>
            <w:tcBorders>
              <w:top w:val="single" w:sz="1" w:space="0" w:color="333333"/>
              <w:left w:val="single" w:sz="1" w:space="0" w:color="333333"/>
              <w:bottom w:val="single" w:sz="1" w:space="0" w:color="333333"/>
              <w:right w:val="single" w:sz="1" w:space="0" w:color="333333"/>
            </w:tcBorders>
            <w:shd w:val="clear" w:color="auto" w:fill="D9E2F3"/>
            <w:tcMar>
              <w:top w:w="60" w:type="dxa"/>
              <w:left w:w="80" w:type="dxa"/>
              <w:bottom w:w="60" w:type="dxa"/>
              <w:right w:w="80" w:type="dxa"/>
            </w:tcMar>
          </w:tcPr>
          <w:p w:rsidR="00751D35" w:rsidRDefault="008C3E62">
            <w:pPr>
              <w:jc w:val="center"/>
            </w:pPr>
            <w:r>
              <w:rPr>
                <w:rFonts w:eastAsia="Times New Roman"/>
                <w:b/>
                <w:bCs/>
                <w:sz w:val="18"/>
                <w:szCs w:val="18"/>
              </w:rPr>
              <w:t>Observable Criteria</w:t>
            </w:r>
          </w:p>
        </w:tc>
      </w:tr>
      <w:tr w:rsidR="00751D35">
        <w:tblPrEx>
          <w:tblCellMar>
            <w:top w:w="0" w:type="dxa"/>
            <w:bottom w:w="0" w:type="dxa"/>
          </w:tblCellMar>
        </w:tblPrEx>
        <w:tc>
          <w:tcPr>
            <w:tcW w:w="180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b/>
                <w:bCs/>
                <w:sz w:val="18"/>
                <w:szCs w:val="18"/>
              </w:rPr>
              <w:t>Situational-construction chain</w:t>
            </w:r>
          </w:p>
        </w:tc>
        <w:tc>
          <w:tcPr>
            <w:tcW w:w="280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sz w:val="18"/>
                <w:szCs w:val="18"/>
              </w:rPr>
              <w:t>Determines which problems, data, classifications, and thresholds may enter administrative judgment; does not address the final statutory decision-maker.</w:t>
            </w:r>
          </w:p>
        </w:tc>
        <w:tc>
          <w:tcPr>
            <w:tcW w:w="200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sz w:val="18"/>
                <w:szCs w:val="18"/>
              </w:rPr>
              <w:t>Transparency, front-end justice</w:t>
            </w:r>
          </w:p>
        </w:tc>
        <w:tc>
          <w:tcPr>
            <w:tcW w:w="276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sz w:val="18"/>
                <w:szCs w:val="18"/>
              </w:rPr>
              <w:t xml:space="preserve">Whether data inclusion/exclusion can be </w:t>
            </w:r>
            <w:r>
              <w:rPr>
                <w:rFonts w:eastAsia="Times New Roman"/>
                <w:sz w:val="18"/>
                <w:szCs w:val="18"/>
              </w:rPr>
              <w:t>traced, framing logic reconstructed, and proxy variables and thresholds contested.</w:t>
            </w:r>
          </w:p>
        </w:tc>
      </w:tr>
      <w:tr w:rsidR="00751D35">
        <w:tblPrEx>
          <w:tblCellMar>
            <w:top w:w="0" w:type="dxa"/>
            <w:bottom w:w="0" w:type="dxa"/>
          </w:tblCellMar>
        </w:tblPrEx>
        <w:tc>
          <w:tcPr>
            <w:tcW w:w="180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b/>
                <w:bCs/>
                <w:sz w:val="18"/>
                <w:szCs w:val="18"/>
              </w:rPr>
              <w:t>Authority chain</w:t>
            </w:r>
          </w:p>
        </w:tc>
        <w:tc>
          <w:tcPr>
            <w:tcW w:w="280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sz w:val="18"/>
                <w:szCs w:val="18"/>
              </w:rPr>
              <w:t>Checks whether substantive influence is consistent with statutory authorization; the presence of a signature is not treated as complete authorization.</w:t>
            </w:r>
          </w:p>
        </w:tc>
        <w:tc>
          <w:tcPr>
            <w:tcW w:w="200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sz w:val="18"/>
                <w:szCs w:val="18"/>
              </w:rPr>
              <w:t>Accountability (institutional attribution)</w:t>
            </w:r>
          </w:p>
        </w:tc>
        <w:tc>
          <w:tcPr>
            <w:tcW w:w="276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sz w:val="18"/>
                <w:szCs w:val="18"/>
              </w:rPr>
              <w:t xml:space="preserve">Whether the statutory decision-maker can control the systems, vendors, and procedures that </w:t>
            </w:r>
            <w:proofErr w:type="gramStart"/>
            <w:r>
              <w:rPr>
                <w:rFonts w:eastAsia="Times New Roman"/>
                <w:sz w:val="18"/>
                <w:szCs w:val="18"/>
              </w:rPr>
              <w:t>actually affect</w:t>
            </w:r>
            <w:proofErr w:type="gramEnd"/>
            <w:r>
              <w:rPr>
                <w:rFonts w:eastAsia="Times New Roman"/>
                <w:sz w:val="18"/>
                <w:szCs w:val="18"/>
              </w:rPr>
              <w:t xml:space="preserve"> outcomes.</w:t>
            </w:r>
          </w:p>
        </w:tc>
      </w:tr>
      <w:tr w:rsidR="00751D35">
        <w:tblPrEx>
          <w:tblCellMar>
            <w:top w:w="0" w:type="dxa"/>
            <w:bottom w:w="0" w:type="dxa"/>
          </w:tblCellMar>
        </w:tblPrEx>
        <w:tc>
          <w:tcPr>
            <w:tcW w:w="180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b/>
                <w:bCs/>
                <w:sz w:val="18"/>
                <w:szCs w:val="18"/>
              </w:rPr>
              <w:t>Reason chain</w:t>
            </w:r>
          </w:p>
        </w:tc>
        <w:tc>
          <w:tcPr>
            <w:tcW w:w="280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sz w:val="18"/>
                <w:szCs w:val="18"/>
              </w:rPr>
              <w:t>Requires that case or policy outcomes can be linked back to facts, norms, and judg</w:t>
            </w:r>
            <w:r>
              <w:rPr>
                <w:rFonts w:eastAsia="Times New Roman"/>
                <w:sz w:val="18"/>
                <w:szCs w:val="18"/>
              </w:rPr>
              <w:t>ment reasons; is not equivalent to mere disclosure of technical documents.</w:t>
            </w:r>
          </w:p>
        </w:tc>
        <w:tc>
          <w:tcPr>
            <w:tcW w:w="200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sz w:val="18"/>
                <w:szCs w:val="18"/>
              </w:rPr>
              <w:t>Responsibility</w:t>
            </w:r>
          </w:p>
        </w:tc>
        <w:tc>
          <w:tcPr>
            <w:tcW w:w="276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sz w:val="18"/>
                <w:szCs w:val="18"/>
              </w:rPr>
              <w:t>Whether the decision-maker can explain why system outputs were adopted, rejected, or modified.</w:t>
            </w:r>
          </w:p>
        </w:tc>
      </w:tr>
      <w:tr w:rsidR="00751D35">
        <w:tblPrEx>
          <w:tblCellMar>
            <w:top w:w="0" w:type="dxa"/>
            <w:bottom w:w="0" w:type="dxa"/>
          </w:tblCellMar>
        </w:tblPrEx>
        <w:tc>
          <w:tcPr>
            <w:tcW w:w="180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b/>
                <w:bCs/>
                <w:sz w:val="18"/>
                <w:szCs w:val="18"/>
              </w:rPr>
              <w:t>Responsibility chain</w:t>
            </w:r>
          </w:p>
        </w:tc>
        <w:tc>
          <w:tcPr>
            <w:tcW w:w="280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sz w:val="18"/>
                <w:szCs w:val="18"/>
              </w:rPr>
              <w:t>Addresses answering, remedy, correction, and feedback after error occurs; is not equivalent to finding a scapegoat after the fact.</w:t>
            </w:r>
          </w:p>
        </w:tc>
        <w:tc>
          <w:tcPr>
            <w:tcW w:w="200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sz w:val="18"/>
                <w:szCs w:val="18"/>
              </w:rPr>
              <w:t>Accountability (remedy and correction)</w:t>
            </w:r>
          </w:p>
        </w:tc>
        <w:tc>
          <w:tcPr>
            <w:tcW w:w="276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sz w:val="18"/>
                <w:szCs w:val="18"/>
              </w:rPr>
              <w:t>Whether there is a named respondent, a procedure for timely correction, and a record o</w:t>
            </w:r>
            <w:r>
              <w:rPr>
                <w:rFonts w:eastAsia="Times New Roman"/>
                <w:sz w:val="18"/>
                <w:szCs w:val="18"/>
              </w:rPr>
              <w:t>f feedback to front-end settings.</w:t>
            </w:r>
          </w:p>
        </w:tc>
      </w:tr>
    </w:tbl>
    <w:p w:rsidR="00751D35" w:rsidRDefault="008C3E62">
      <w:pPr>
        <w:spacing w:before="200" w:after="200"/>
        <w:ind w:firstLine="480"/>
      </w:pPr>
      <w:r>
        <w:rPr>
          <w:rFonts w:eastAsia="Times New Roman"/>
        </w:rPr>
        <w:t>Interpretive rule: “Primary carriage” of a value means that the value can first be observed directly on that chain; it does not mean the value occurs only on that chain. “Secondary spillover” means that a defect in an upstream chain prevents other chains f</w:t>
      </w:r>
      <w:r>
        <w:rPr>
          <w:rFonts w:eastAsia="Times New Roman"/>
        </w:rPr>
        <w:t xml:space="preserve">rom performing the functions they ought to perform. This paper therefore does not score the four values against the four chains cell by cell, nor does it allow good performance on a single chain to offset breakage </w:t>
      </w:r>
      <w:r>
        <w:rPr>
          <w:rFonts w:eastAsia="Times New Roman"/>
        </w:rPr>
        <w:lastRenderedPageBreak/>
        <w:t>on other chains.</w:t>
      </w:r>
    </w:p>
    <w:p w:rsidR="00751D35" w:rsidRDefault="008C3E62">
      <w:pPr>
        <w:spacing w:after="200"/>
        <w:ind w:firstLine="480"/>
      </w:pPr>
      <w:r>
        <w:rPr>
          <w:rFonts w:eastAsia="Times New Roman"/>
        </w:rPr>
        <w:t>The correspondence adopte</w:t>
      </w:r>
      <w:r>
        <w:rPr>
          <w:rFonts w:eastAsia="Times New Roman"/>
        </w:rPr>
        <w:t>d here deliberately avoids fixed one-to-one binding with P1/P2/P3 for two reasons: first, the parent framework itself states that the three power transfers “do not necessarily occur in sequence,” and forced correspondence would create internal contradictio</w:t>
      </w:r>
      <w:r>
        <w:rPr>
          <w:rFonts w:eastAsia="Times New Roman"/>
        </w:rPr>
        <w:t>n with existing series papers; second, in practice a single power transfer (for example P1) often impacts multiple chains simultaneously rather than only the chain to which it is primarily mapped. The table below therefore presents “primary carriage” rathe</w:t>
      </w:r>
      <w:r>
        <w:rPr>
          <w:rFonts w:eastAsia="Times New Roman"/>
        </w:rPr>
        <w:t>r than “exclusive correspondence.”</w:t>
      </w:r>
    </w:p>
    <w:p w:rsidR="00751D35" w:rsidRDefault="008C3E62">
      <w:pPr>
        <w:spacing w:before="240" w:after="120"/>
        <w:jc w:val="center"/>
      </w:pPr>
      <w:r>
        <w:rPr>
          <w:rFonts w:eastAsia="Times New Roman"/>
          <w:b/>
          <w:bCs/>
          <w:sz w:val="20"/>
          <w:szCs w:val="20"/>
        </w:rPr>
        <w:t xml:space="preserve">Table </w:t>
      </w:r>
      <w:proofErr w:type="gramStart"/>
      <w:r>
        <w:rPr>
          <w:rFonts w:eastAsia="Times New Roman"/>
          <w:b/>
          <w:bCs/>
          <w:sz w:val="20"/>
          <w:szCs w:val="20"/>
        </w:rPr>
        <w:t>3.2  Primary</w:t>
      </w:r>
      <w:proofErr w:type="gramEnd"/>
      <w:r>
        <w:rPr>
          <w:rFonts w:eastAsia="Times New Roman"/>
          <w:b/>
          <w:bCs/>
          <w:sz w:val="20"/>
          <w:szCs w:val="20"/>
        </w:rPr>
        <w:t xml:space="preserve"> Value Carriage, Secondary Spillover Effects, and Normative Standards of the Four Governance Chains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2200"/>
        <w:gridCol w:w="2800"/>
        <w:gridCol w:w="2560"/>
      </w:tblGrid>
      <w:tr w:rsidR="00751D35">
        <w:tblPrEx>
          <w:tblCellMar>
            <w:top w:w="0" w:type="dxa"/>
            <w:bottom w:w="0" w:type="dxa"/>
          </w:tblCellMar>
        </w:tblPrEx>
        <w:tc>
          <w:tcPr>
            <w:tcW w:w="1800" w:type="dxa"/>
            <w:tcBorders>
              <w:top w:val="single" w:sz="1" w:space="0" w:color="333333"/>
              <w:left w:val="single" w:sz="1" w:space="0" w:color="333333"/>
              <w:bottom w:val="single" w:sz="1" w:space="0" w:color="333333"/>
              <w:right w:val="single" w:sz="1" w:space="0" w:color="333333"/>
            </w:tcBorders>
            <w:shd w:val="clear" w:color="auto" w:fill="D9E2F3"/>
            <w:tcMar>
              <w:top w:w="60" w:type="dxa"/>
              <w:left w:w="80" w:type="dxa"/>
              <w:bottom w:w="60" w:type="dxa"/>
              <w:right w:w="80" w:type="dxa"/>
            </w:tcMar>
          </w:tcPr>
          <w:p w:rsidR="00751D35" w:rsidRDefault="008C3E62">
            <w:pPr>
              <w:jc w:val="center"/>
            </w:pPr>
            <w:r>
              <w:rPr>
                <w:rFonts w:eastAsia="Times New Roman"/>
                <w:b/>
                <w:bCs/>
                <w:sz w:val="18"/>
                <w:szCs w:val="18"/>
              </w:rPr>
              <w:t>Governance Chain</w:t>
            </w:r>
          </w:p>
        </w:tc>
        <w:tc>
          <w:tcPr>
            <w:tcW w:w="2200" w:type="dxa"/>
            <w:tcBorders>
              <w:top w:val="single" w:sz="1" w:space="0" w:color="333333"/>
              <w:left w:val="single" w:sz="1" w:space="0" w:color="333333"/>
              <w:bottom w:val="single" w:sz="1" w:space="0" w:color="333333"/>
              <w:right w:val="single" w:sz="1" w:space="0" w:color="333333"/>
            </w:tcBorders>
            <w:shd w:val="clear" w:color="auto" w:fill="D9E2F3"/>
            <w:tcMar>
              <w:top w:w="60" w:type="dxa"/>
              <w:left w:w="80" w:type="dxa"/>
              <w:bottom w:w="60" w:type="dxa"/>
              <w:right w:w="80" w:type="dxa"/>
            </w:tcMar>
          </w:tcPr>
          <w:p w:rsidR="00751D35" w:rsidRDefault="008C3E62">
            <w:pPr>
              <w:jc w:val="center"/>
            </w:pPr>
            <w:r>
              <w:rPr>
                <w:rFonts w:eastAsia="Times New Roman"/>
                <w:b/>
                <w:bCs/>
                <w:sz w:val="18"/>
                <w:szCs w:val="18"/>
              </w:rPr>
              <w:t>Primary Core Value</w:t>
            </w:r>
          </w:p>
        </w:tc>
        <w:tc>
          <w:tcPr>
            <w:tcW w:w="2800" w:type="dxa"/>
            <w:tcBorders>
              <w:top w:val="single" w:sz="1" w:space="0" w:color="333333"/>
              <w:left w:val="single" w:sz="1" w:space="0" w:color="333333"/>
              <w:bottom w:val="single" w:sz="1" w:space="0" w:color="333333"/>
              <w:right w:val="single" w:sz="1" w:space="0" w:color="333333"/>
            </w:tcBorders>
            <w:shd w:val="clear" w:color="auto" w:fill="D9E2F3"/>
            <w:tcMar>
              <w:top w:w="60" w:type="dxa"/>
              <w:left w:w="80" w:type="dxa"/>
              <w:bottom w:w="60" w:type="dxa"/>
              <w:right w:w="80" w:type="dxa"/>
            </w:tcMar>
          </w:tcPr>
          <w:p w:rsidR="00751D35" w:rsidRDefault="008C3E62">
            <w:pPr>
              <w:jc w:val="center"/>
            </w:pPr>
            <w:r>
              <w:rPr>
                <w:rFonts w:eastAsia="Times New Roman"/>
                <w:b/>
                <w:bCs/>
                <w:sz w:val="18"/>
                <w:szCs w:val="18"/>
              </w:rPr>
              <w:t>Secondary Spillover Effects</w:t>
            </w:r>
          </w:p>
        </w:tc>
        <w:tc>
          <w:tcPr>
            <w:tcW w:w="2560" w:type="dxa"/>
            <w:tcBorders>
              <w:top w:val="single" w:sz="1" w:space="0" w:color="333333"/>
              <w:left w:val="single" w:sz="1" w:space="0" w:color="333333"/>
              <w:bottom w:val="single" w:sz="1" w:space="0" w:color="333333"/>
              <w:right w:val="single" w:sz="1" w:space="0" w:color="333333"/>
            </w:tcBorders>
            <w:shd w:val="clear" w:color="auto" w:fill="D9E2F3"/>
            <w:tcMar>
              <w:top w:w="60" w:type="dxa"/>
              <w:left w:w="80" w:type="dxa"/>
              <w:bottom w:w="60" w:type="dxa"/>
              <w:right w:w="80" w:type="dxa"/>
            </w:tcMar>
          </w:tcPr>
          <w:p w:rsidR="00751D35" w:rsidRDefault="008C3E62">
            <w:pPr>
              <w:jc w:val="center"/>
            </w:pPr>
            <w:r>
              <w:rPr>
                <w:rFonts w:eastAsia="Times New Roman"/>
                <w:b/>
                <w:bCs/>
                <w:sz w:val="18"/>
                <w:szCs w:val="18"/>
              </w:rPr>
              <w:t>Normative Standards</w:t>
            </w:r>
          </w:p>
        </w:tc>
      </w:tr>
      <w:tr w:rsidR="00751D35">
        <w:tblPrEx>
          <w:tblCellMar>
            <w:top w:w="0" w:type="dxa"/>
            <w:bottom w:w="0" w:type="dxa"/>
          </w:tblCellMar>
        </w:tblPrEx>
        <w:tc>
          <w:tcPr>
            <w:tcW w:w="180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b/>
                <w:bCs/>
                <w:sz w:val="18"/>
                <w:szCs w:val="18"/>
              </w:rPr>
              <w:t>Situational-construction chain</w:t>
            </w:r>
          </w:p>
        </w:tc>
        <w:tc>
          <w:tcPr>
            <w:tcW w:w="220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sz w:val="18"/>
                <w:szCs w:val="18"/>
              </w:rPr>
              <w:t>Transparency, front-end justice</w:t>
            </w:r>
          </w:p>
        </w:tc>
        <w:tc>
          <w:tcPr>
            <w:tcW w:w="280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sz w:val="18"/>
                <w:szCs w:val="18"/>
              </w:rPr>
              <w:t>May extend to affect responsibility (whether reasons can link back to the situation) and accountability (whether error roots can be traced to situational settings).</w:t>
            </w:r>
          </w:p>
        </w:tc>
        <w:tc>
          <w:tcPr>
            <w:tcW w:w="256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sz w:val="18"/>
                <w:szCs w:val="18"/>
              </w:rPr>
              <w:t>Traceability, contestability</w:t>
            </w:r>
            <w:r>
              <w:rPr>
                <w:rFonts w:eastAsia="Times New Roman"/>
                <w:sz w:val="18"/>
                <w:szCs w:val="18"/>
              </w:rPr>
              <w:t>, correctability (the three elements of C1 in ②).</w:t>
            </w:r>
          </w:p>
        </w:tc>
      </w:tr>
      <w:tr w:rsidR="00751D35">
        <w:tblPrEx>
          <w:tblCellMar>
            <w:top w:w="0" w:type="dxa"/>
            <w:bottom w:w="0" w:type="dxa"/>
          </w:tblCellMar>
        </w:tblPrEx>
        <w:tc>
          <w:tcPr>
            <w:tcW w:w="180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b/>
                <w:bCs/>
                <w:sz w:val="18"/>
                <w:szCs w:val="18"/>
              </w:rPr>
              <w:t>Authority chain</w:t>
            </w:r>
          </w:p>
        </w:tc>
        <w:tc>
          <w:tcPr>
            <w:tcW w:w="220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sz w:val="18"/>
                <w:szCs w:val="18"/>
              </w:rPr>
              <w:t>Accountability (institutional attribution)</w:t>
            </w:r>
          </w:p>
        </w:tc>
        <w:tc>
          <w:tcPr>
            <w:tcW w:w="280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sz w:val="18"/>
                <w:szCs w:val="18"/>
              </w:rPr>
              <w:t>If P1 exposure is high and the situational-construction chain is broken, signatures on the authority chain may become formalistic.</w:t>
            </w:r>
          </w:p>
        </w:tc>
        <w:tc>
          <w:tcPr>
            <w:tcW w:w="256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sz w:val="18"/>
                <w:szCs w:val="18"/>
              </w:rPr>
              <w:t>Whether the statutory decision-maker coincides with the actual source of influence (corresponding to the parent framework’s “authority reconstruction” effect).</w:t>
            </w:r>
          </w:p>
        </w:tc>
      </w:tr>
      <w:tr w:rsidR="00751D35">
        <w:tblPrEx>
          <w:tblCellMar>
            <w:top w:w="0" w:type="dxa"/>
            <w:bottom w:w="0" w:type="dxa"/>
          </w:tblCellMar>
        </w:tblPrEx>
        <w:tc>
          <w:tcPr>
            <w:tcW w:w="180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b/>
                <w:bCs/>
                <w:sz w:val="18"/>
                <w:szCs w:val="18"/>
              </w:rPr>
              <w:t>Reason chain</w:t>
            </w:r>
          </w:p>
        </w:tc>
        <w:tc>
          <w:tcPr>
            <w:tcW w:w="220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sz w:val="18"/>
                <w:szCs w:val="18"/>
              </w:rPr>
              <w:t>Responsibility</w:t>
            </w:r>
          </w:p>
        </w:tc>
        <w:tc>
          <w:tcPr>
            <w:tcW w:w="280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sz w:val="18"/>
                <w:szCs w:val="18"/>
              </w:rPr>
              <w:t>Depends on whether the situational-construction chain supplies a tr</w:t>
            </w:r>
            <w:r>
              <w:rPr>
                <w:rFonts w:eastAsia="Times New Roman"/>
                <w:sz w:val="18"/>
                <w:szCs w:val="18"/>
              </w:rPr>
              <w:t>aceable factual basis.</w:t>
            </w:r>
          </w:p>
        </w:tc>
        <w:tc>
          <w:tcPr>
            <w:tcW w:w="256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sz w:val="18"/>
                <w:szCs w:val="18"/>
              </w:rPr>
              <w:t>Whether the decision can be linked back to facts, data, models, norms, and value judgments.</w:t>
            </w:r>
          </w:p>
        </w:tc>
      </w:tr>
      <w:tr w:rsidR="00751D35">
        <w:tblPrEx>
          <w:tblCellMar>
            <w:top w:w="0" w:type="dxa"/>
            <w:bottom w:w="0" w:type="dxa"/>
          </w:tblCellMar>
        </w:tblPrEx>
        <w:tc>
          <w:tcPr>
            <w:tcW w:w="180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b/>
                <w:bCs/>
                <w:sz w:val="18"/>
                <w:szCs w:val="18"/>
              </w:rPr>
              <w:t>Responsibility chain</w:t>
            </w:r>
          </w:p>
        </w:tc>
        <w:tc>
          <w:tcPr>
            <w:tcW w:w="220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sz w:val="18"/>
                <w:szCs w:val="18"/>
              </w:rPr>
              <w:t>Accountability (remedy and correction)</w:t>
            </w:r>
          </w:p>
        </w:tc>
        <w:tc>
          <w:tcPr>
            <w:tcW w:w="280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sz w:val="18"/>
                <w:szCs w:val="18"/>
              </w:rPr>
              <w:t>If remedial outcomes are not fed back to correct P1-end settings, accountability</w:t>
            </w:r>
            <w:r>
              <w:rPr>
                <w:rFonts w:eastAsia="Times New Roman"/>
                <w:sz w:val="18"/>
                <w:szCs w:val="18"/>
              </w:rPr>
              <w:t xml:space="preserve"> degenerates into one-off punishment rather than systemic learning.</w:t>
            </w:r>
          </w:p>
        </w:tc>
        <w:tc>
          <w:tcPr>
            <w:tcW w:w="256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sz w:val="18"/>
                <w:szCs w:val="18"/>
              </w:rPr>
              <w:t>Whether there is a clear respondent when error occurs, a correction mechanism, and feedback to the front end.</w:t>
            </w:r>
          </w:p>
        </w:tc>
      </w:tr>
    </w:tbl>
    <w:p w:rsidR="00751D35" w:rsidRDefault="008C3E62">
      <w:pPr>
        <w:pStyle w:val="2"/>
      </w:pPr>
      <w:r>
        <w:t>3. Value Conflict and Spillover: Occurring at the Junctions between Chains</w:t>
      </w:r>
    </w:p>
    <w:p w:rsidR="00751D35" w:rsidRDefault="008C3E62">
      <w:pPr>
        <w:spacing w:after="200"/>
        <w:ind w:firstLine="480"/>
      </w:pPr>
      <w:r>
        <w:rPr>
          <w:rFonts w:eastAsia="Times New Roman"/>
        </w:rPr>
        <w:t>Zero-sum conflicts among the four values (for example, raising transparency while harming individual privacy and justice) mostly do not occur inside a single chain but when a break in an upstream chain is “absorbed” in a distorted manner by a downstream ch</w:t>
      </w:r>
      <w:r>
        <w:rPr>
          <w:rFonts w:eastAsia="Times New Roman"/>
        </w:rPr>
        <w:t>ain—</w:t>
      </w:r>
      <w:proofErr w:type="spellStart"/>
      <w:r>
        <w:rPr>
          <w:rFonts w:eastAsia="Times New Roman"/>
        </w:rPr>
        <w:t>SyRI</w:t>
      </w:r>
      <w:proofErr w:type="spellEnd"/>
      <w:r>
        <w:rPr>
          <w:rFonts w:eastAsia="Times New Roman"/>
        </w:rPr>
        <w:t xml:space="preserve"> and </w:t>
      </w:r>
      <w:proofErr w:type="spellStart"/>
      <w:r>
        <w:rPr>
          <w:rFonts w:eastAsia="Times New Roman"/>
        </w:rPr>
        <w:t>Robodebt</w:t>
      </w:r>
      <w:proofErr w:type="spellEnd"/>
      <w:r>
        <w:rPr>
          <w:rFonts w:eastAsia="Times New Roman"/>
        </w:rPr>
        <w:t xml:space="preserve"> are typical: the break in the situational-construction chain (high P1 exposure, low C1 completeness) is not intercepted by the authority chain or the reason chain but sinks directly into the responsibility chain and erupts in the form</w:t>
      </w:r>
      <w:r>
        <w:rPr>
          <w:rFonts w:eastAsia="Times New Roman"/>
        </w:rPr>
        <w:t xml:space="preserve"> of individual harm. This is also why the twenty-five coordinates serve here only for location (marking the analytical level/unit at which conflict occurs) and are not suited to serve as a scoring instrument—the substantive content of conflict is determine</w:t>
      </w:r>
      <w:r>
        <w:rPr>
          <w:rFonts w:eastAsia="Times New Roman"/>
        </w:rPr>
        <w:t>d by the breakpoints of the four chains; the twenty-five coordinates merely tell the reader whether the conflict occurs at “management operations × individual” or “policy system × society.”</w:t>
      </w:r>
    </w:p>
    <w:p w:rsidR="00751D35" w:rsidRDefault="008C3E62">
      <w:pPr>
        <w:spacing w:before="200" w:after="120"/>
        <w:jc w:val="center"/>
      </w:pPr>
      <w:r>
        <w:rPr>
          <w:rFonts w:eastAsia="Times New Roman"/>
          <w:b/>
          <w:bCs/>
          <w:i/>
          <w:iCs/>
          <w:sz w:val="20"/>
          <w:szCs w:val="20"/>
        </w:rPr>
        <w:t xml:space="preserve">Figure </w:t>
      </w:r>
      <w:proofErr w:type="gramStart"/>
      <w:r>
        <w:rPr>
          <w:rFonts w:eastAsia="Times New Roman"/>
          <w:b/>
          <w:bCs/>
          <w:i/>
          <w:iCs/>
          <w:sz w:val="20"/>
          <w:szCs w:val="20"/>
        </w:rPr>
        <w:t>3.1  Core</w:t>
      </w:r>
      <w:proofErr w:type="gramEnd"/>
      <w:r>
        <w:rPr>
          <w:rFonts w:eastAsia="Times New Roman"/>
          <w:b/>
          <w:bCs/>
          <w:i/>
          <w:iCs/>
          <w:sz w:val="20"/>
          <w:szCs w:val="20"/>
        </w:rPr>
        <w:t xml:space="preserve"> Questions and Typical Breakage Patterns of the Fo</w:t>
      </w:r>
      <w:r>
        <w:rPr>
          <w:rFonts w:eastAsia="Times New Roman"/>
          <w:b/>
          <w:bCs/>
          <w:i/>
          <w:iCs/>
          <w:sz w:val="20"/>
          <w:szCs w:val="20"/>
        </w:rPr>
        <w:t>ur Governance Chains (adapted from existing series figures, marking typical breakage patterns of the four chains)</w:t>
      </w:r>
    </w:p>
    <w:p w:rsidR="00751D35" w:rsidRDefault="008C3E62">
      <w:pPr>
        <w:spacing w:after="200"/>
        <w:ind w:firstLine="480"/>
      </w:pPr>
      <w:r>
        <w:rPr>
          <w:rFonts w:eastAsia="Times New Roman"/>
        </w:rPr>
        <w:lastRenderedPageBreak/>
        <w:t>The figure names the pathologies of the four chains concretely: the typical breakage of the situational-construction chain is “algorithmic fra</w:t>
      </w:r>
      <w:r>
        <w:rPr>
          <w:rFonts w:eastAsia="Times New Roman"/>
        </w:rPr>
        <w:t>ming power displacing democratic discussion”; of the authority chain, “AI’s factual influence displacing institutional authorization”; of the reason chain, “non-linear inference rendering the duty to state reasons unfulfillable, forming a black-box break”;</w:t>
      </w:r>
      <w:r>
        <w:rPr>
          <w:rFonts w:eastAsia="Times New Roman"/>
        </w:rPr>
        <w:t xml:space="preserve"> of the responsibility chain, “responsibility dispersed among vendors, engineers, and civil servants, forming an attribution vacuum.” The collapse of the four values often occurs precisely along these established breakage patterns rather than appearing ran</w:t>
      </w:r>
      <w:r>
        <w:rPr>
          <w:rFonts w:eastAsia="Times New Roman"/>
        </w:rPr>
        <w:t>domly at arbitrary positions on the chains. The attribution vacuum on the responsibility chain receives more detailed characterization in Cobbe, Veale, and Singh’s (2023) analysis of accountability in “algorithmic supply chains”: when the development, trai</w:t>
      </w:r>
      <w:r>
        <w:rPr>
          <w:rFonts w:eastAsia="Times New Roman"/>
        </w:rPr>
        <w:t>ning, deployment, and maintenance of an algorithmic system belong to different organizations and roles, existing accountability mechanisms designed for single actors struggle to handle cross-organizational allocation of responsibility—precisely the practic</w:t>
      </w:r>
      <w:r>
        <w:rPr>
          <w:rFonts w:eastAsia="Times New Roman"/>
        </w:rPr>
        <w:t>al reason why the responsibility chain needs to be examined independently of the reason chain.</w:t>
      </w:r>
    </w:p>
    <w:p w:rsidR="00751D35" w:rsidRDefault="008C3E62">
      <w:pPr>
        <w:pStyle w:val="2"/>
      </w:pPr>
      <w:r>
        <w:t>4. Normative Thresholds Dynamically Raised with the Intensity of P1 Exposure</w:t>
      </w:r>
    </w:p>
    <w:p w:rsidR="00751D35" w:rsidRDefault="008C3E62">
      <w:pPr>
        <w:spacing w:after="200"/>
        <w:ind w:firstLine="480"/>
      </w:pPr>
      <w:r>
        <w:rPr>
          <w:rFonts w:eastAsia="Times New Roman"/>
        </w:rPr>
        <w:t>Following the two-stage measurement logic of ②, this paper does not require that the four values of every AI system reach a uniform high standard; rather, it maintains that normative thresholds should be raised dynamically with the intensity of P1 exposure</w:t>
      </w:r>
      <w:r>
        <w:rPr>
          <w:rFonts w:eastAsia="Times New Roman"/>
        </w:rPr>
        <w:t>—systems with low exposure intensity (for example, internal administrative-efficiency tools) may be subject to more relaxed completeness requirements on the four chains; systems with high exposure intensity that directly trigger P3 public-power effects (fo</w:t>
      </w:r>
      <w:r>
        <w:rPr>
          <w:rFonts w:eastAsia="Times New Roman"/>
        </w:rPr>
        <w:t>r example, eligibility determinations for benefits) must meet near-maximum standards of traceability, contestability, and correctability on the four chains—especially the articulation between the situational-construction chain and the responsibility chain.</w:t>
      </w:r>
    </w:p>
    <w:p w:rsidR="00751D35" w:rsidRDefault="008C3E62">
      <w:pPr>
        <w:spacing w:before="200" w:after="120"/>
        <w:jc w:val="center"/>
      </w:pPr>
      <w:r>
        <w:rPr>
          <w:rFonts w:eastAsia="Times New Roman"/>
          <w:b/>
          <w:bCs/>
          <w:i/>
          <w:iCs/>
          <w:sz w:val="20"/>
          <w:szCs w:val="20"/>
        </w:rPr>
        <w:t xml:space="preserve">Figure </w:t>
      </w:r>
      <w:proofErr w:type="gramStart"/>
      <w:r>
        <w:rPr>
          <w:rFonts w:eastAsia="Times New Roman"/>
          <w:b/>
          <w:bCs/>
          <w:i/>
          <w:iCs/>
          <w:sz w:val="20"/>
          <w:szCs w:val="20"/>
        </w:rPr>
        <w:t>3.2  Dynamic</w:t>
      </w:r>
      <w:proofErr w:type="gramEnd"/>
      <w:r>
        <w:rPr>
          <w:rFonts w:eastAsia="Times New Roman"/>
          <w:b/>
          <w:bCs/>
          <w:i/>
          <w:iCs/>
          <w:sz w:val="20"/>
          <w:szCs w:val="20"/>
        </w:rPr>
        <w:t xml:space="preserve"> Escalation Ladder of P1 Exposure Intensity and Normative Thresholds for the Four Values (original to this paper; P1 exposure positions of AFST, </w:t>
      </w:r>
      <w:proofErr w:type="spellStart"/>
      <w:r>
        <w:rPr>
          <w:rFonts w:eastAsia="Times New Roman"/>
          <w:b/>
          <w:bCs/>
          <w:i/>
          <w:iCs/>
          <w:sz w:val="20"/>
          <w:szCs w:val="20"/>
        </w:rPr>
        <w:t>SyRI</w:t>
      </w:r>
      <w:proofErr w:type="spellEnd"/>
      <w:r>
        <w:rPr>
          <w:rFonts w:eastAsia="Times New Roman"/>
          <w:b/>
          <w:bCs/>
          <w:i/>
          <w:iCs/>
          <w:sz w:val="20"/>
          <w:szCs w:val="20"/>
        </w:rPr>
        <w:t xml:space="preserve">, and </w:t>
      </w:r>
      <w:proofErr w:type="spellStart"/>
      <w:r>
        <w:rPr>
          <w:rFonts w:eastAsia="Times New Roman"/>
          <w:b/>
          <w:bCs/>
          <w:i/>
          <w:iCs/>
          <w:sz w:val="20"/>
          <w:szCs w:val="20"/>
        </w:rPr>
        <w:t>Robodebt</w:t>
      </w:r>
      <w:proofErr w:type="spellEnd"/>
      <w:r>
        <w:rPr>
          <w:rFonts w:eastAsia="Times New Roman"/>
          <w:b/>
          <w:bCs/>
          <w:i/>
          <w:iCs/>
          <w:sz w:val="20"/>
          <w:szCs w:val="20"/>
        </w:rPr>
        <w:t xml:space="preserve"> taken from the demonstration re-scoring in ②)</w:t>
      </w:r>
    </w:p>
    <w:p w:rsidR="00751D35" w:rsidRDefault="008C3E62">
      <w:pPr>
        <w:spacing w:after="200"/>
        <w:ind w:firstLine="480"/>
      </w:pPr>
      <w:r>
        <w:rPr>
          <w:rFonts w:eastAsia="Times New Roman"/>
        </w:rPr>
        <w:t xml:space="preserve">The figure locates the P1 </w:t>
      </w:r>
      <w:r>
        <w:rPr>
          <w:rFonts w:eastAsia="Times New Roman"/>
        </w:rPr>
        <w:t xml:space="preserve">exposure scores of the three cases in Section IV on the ladder: AFST (2.4) falls in the medium-high exposure interval; </w:t>
      </w:r>
      <w:proofErr w:type="spellStart"/>
      <w:r>
        <w:rPr>
          <w:rFonts w:eastAsia="Times New Roman"/>
        </w:rPr>
        <w:t>SyRI</w:t>
      </w:r>
      <w:proofErr w:type="spellEnd"/>
      <w:r>
        <w:rPr>
          <w:rFonts w:eastAsia="Times New Roman"/>
        </w:rPr>
        <w:t xml:space="preserve"> (3.0) and </w:t>
      </w:r>
      <w:proofErr w:type="spellStart"/>
      <w:r>
        <w:rPr>
          <w:rFonts w:eastAsia="Times New Roman"/>
        </w:rPr>
        <w:t>Robodebt</w:t>
      </w:r>
      <w:proofErr w:type="spellEnd"/>
      <w:r>
        <w:rPr>
          <w:rFonts w:eastAsia="Times New Roman"/>
        </w:rPr>
        <w:t xml:space="preserve"> (3.8) fall in the high-exposure interval and ought to be subject to the strictest standards of framing contestati</w:t>
      </w:r>
      <w:r>
        <w:rPr>
          <w:rFonts w:eastAsia="Times New Roman"/>
        </w:rPr>
        <w:t>on and correction performance—yet Section IV will show that the actual performance of the three cases in this interval exhibits varying degrees of gap relative to the required standards.</w:t>
      </w:r>
    </w:p>
    <w:p w:rsidR="00751D35" w:rsidRDefault="008C3E62">
      <w:pPr>
        <w:pStyle w:val="1"/>
      </w:pPr>
      <w:r>
        <w:t xml:space="preserve">IV. Case Operations: Reinterpreting AFST, </w:t>
      </w:r>
      <w:proofErr w:type="spellStart"/>
      <w:r>
        <w:t>SyRI</w:t>
      </w:r>
      <w:proofErr w:type="spellEnd"/>
      <w:r>
        <w:t xml:space="preserve">, and </w:t>
      </w:r>
      <w:proofErr w:type="spellStart"/>
      <w:r>
        <w:t>Robodebt</w:t>
      </w:r>
      <w:proofErr w:type="spellEnd"/>
      <w:r>
        <w:t xml:space="preserve"> through </w:t>
      </w:r>
      <w:r>
        <w:t>Breakpoints of the Four Value Chains</w:t>
      </w:r>
    </w:p>
    <w:p w:rsidR="00751D35" w:rsidRDefault="008C3E62">
      <w:pPr>
        <w:pStyle w:val="2"/>
      </w:pPr>
      <w:r>
        <w:t>1. Statement on Data Inheritance</w:t>
      </w:r>
    </w:p>
    <w:p w:rsidR="00751D35" w:rsidRDefault="008C3E62">
      <w:pPr>
        <w:spacing w:after="200"/>
        <w:ind w:firstLine="480"/>
      </w:pPr>
      <w:r>
        <w:rPr>
          <w:rFonts w:eastAsia="Times New Roman"/>
        </w:rPr>
        <w:t xml:space="preserve">This section does not re-select cases or re-code them; it directly inherits the P1 exposure and C1 completeness demonstration re-coding already completed in ② (original Tables 7 and 8). </w:t>
      </w:r>
      <w:r>
        <w:rPr>
          <w:rFonts w:eastAsia="Times New Roman"/>
        </w:rPr>
        <w:t xml:space="preserve">The difference is that ②’s unit of analysis is “how complete the situational-construction chain itself is,” whereas this paper further asks “how the high and low distributions of the twelve C1 indicators correspond to the failure of particular values, and </w:t>
      </w:r>
      <w:r>
        <w:rPr>
          <w:rFonts w:eastAsia="Times New Roman"/>
        </w:rPr>
        <w:t xml:space="preserve">how that failure spills over beyond </w:t>
      </w:r>
      <w:r>
        <w:rPr>
          <w:rFonts w:eastAsia="Times New Roman"/>
        </w:rPr>
        <w:lastRenderedPageBreak/>
        <w:t>the situational-construction chain into the other three chains.” This is data reuse, not re-measurement. The foundational documents of the three cases belong to three different genres: AFST’s system-design explanations c</w:t>
      </w:r>
      <w:r>
        <w:rPr>
          <w:rFonts w:eastAsia="Times New Roman"/>
        </w:rPr>
        <w:t xml:space="preserve">ome primarily from the developing agency’s own publications (Allegheny County Department of Human Services, 2017, 2018); </w:t>
      </w:r>
      <w:proofErr w:type="spellStart"/>
      <w:r>
        <w:rPr>
          <w:rFonts w:eastAsia="Times New Roman"/>
        </w:rPr>
        <w:t>SyRI</w:t>
      </w:r>
      <w:proofErr w:type="spellEnd"/>
      <w:r>
        <w:rPr>
          <w:rFonts w:eastAsia="Times New Roman"/>
        </w:rPr>
        <w:t xml:space="preserve"> centers on a judicial judgment; </w:t>
      </w:r>
      <w:proofErr w:type="spellStart"/>
      <w:r>
        <w:rPr>
          <w:rFonts w:eastAsia="Times New Roman"/>
        </w:rPr>
        <w:t>Robodebt</w:t>
      </w:r>
      <w:proofErr w:type="spellEnd"/>
      <w:r>
        <w:rPr>
          <w:rFonts w:eastAsia="Times New Roman"/>
        </w:rPr>
        <w:t xml:space="preserve"> centers on an official investigation report—the disparity in documentary character is its</w:t>
      </w:r>
      <w:r>
        <w:rPr>
          <w:rFonts w:eastAsia="Times New Roman"/>
        </w:rPr>
        <w:t>elf a foreshadowing of the “observability bias” to be interpreted later in Section IV.</w:t>
      </w:r>
    </w:p>
    <w:p w:rsidR="00751D35" w:rsidRDefault="008C3E62">
      <w:pPr>
        <w:spacing w:before="200" w:after="120"/>
        <w:jc w:val="center"/>
      </w:pPr>
      <w:r>
        <w:rPr>
          <w:rFonts w:eastAsia="Times New Roman"/>
          <w:b/>
          <w:bCs/>
          <w:i/>
          <w:iCs/>
          <w:sz w:val="20"/>
          <w:szCs w:val="20"/>
        </w:rPr>
        <w:t xml:space="preserve">Figure </w:t>
      </w:r>
      <w:proofErr w:type="gramStart"/>
      <w:r>
        <w:rPr>
          <w:rFonts w:eastAsia="Times New Roman"/>
          <w:b/>
          <w:bCs/>
          <w:i/>
          <w:iCs/>
          <w:sz w:val="20"/>
          <w:szCs w:val="20"/>
        </w:rPr>
        <w:t>4.1  Articulation</w:t>
      </w:r>
      <w:proofErr w:type="gramEnd"/>
      <w:r>
        <w:rPr>
          <w:rFonts w:eastAsia="Times New Roman"/>
          <w:b/>
          <w:bCs/>
          <w:i/>
          <w:iCs/>
          <w:sz w:val="20"/>
          <w:szCs w:val="20"/>
        </w:rPr>
        <w:t xml:space="preserve"> of the Four Governance Chains and Typical Breakpoints: Overview of Breakage Locations in the AFST, </w:t>
      </w:r>
      <w:proofErr w:type="spellStart"/>
      <w:r>
        <w:rPr>
          <w:rFonts w:eastAsia="Times New Roman"/>
          <w:b/>
          <w:bCs/>
          <w:i/>
          <w:iCs/>
          <w:sz w:val="20"/>
          <w:szCs w:val="20"/>
        </w:rPr>
        <w:t>SyRI</w:t>
      </w:r>
      <w:proofErr w:type="spellEnd"/>
      <w:r>
        <w:rPr>
          <w:rFonts w:eastAsia="Times New Roman"/>
          <w:b/>
          <w:bCs/>
          <w:i/>
          <w:iCs/>
          <w:sz w:val="20"/>
          <w:szCs w:val="20"/>
        </w:rPr>
        <w:t xml:space="preserve">, and </w:t>
      </w:r>
      <w:proofErr w:type="spellStart"/>
      <w:r>
        <w:rPr>
          <w:rFonts w:eastAsia="Times New Roman"/>
          <w:b/>
          <w:bCs/>
          <w:i/>
          <w:iCs/>
          <w:sz w:val="20"/>
          <w:szCs w:val="20"/>
        </w:rPr>
        <w:t>Robodebt</w:t>
      </w:r>
      <w:proofErr w:type="spellEnd"/>
      <w:r>
        <w:rPr>
          <w:rFonts w:eastAsia="Times New Roman"/>
          <w:b/>
          <w:bCs/>
          <w:i/>
          <w:iCs/>
          <w:sz w:val="20"/>
          <w:szCs w:val="20"/>
        </w:rPr>
        <w:t xml:space="preserve"> Cases (adapted from existi</w:t>
      </w:r>
      <w:r>
        <w:rPr>
          <w:rFonts w:eastAsia="Times New Roman"/>
          <w:b/>
          <w:bCs/>
          <w:i/>
          <w:iCs/>
          <w:sz w:val="20"/>
          <w:szCs w:val="20"/>
        </w:rPr>
        <w:t>ng series figures)</w:t>
      </w:r>
    </w:p>
    <w:p w:rsidR="00751D35" w:rsidRDefault="008C3E62">
      <w:pPr>
        <w:spacing w:after="200"/>
        <w:ind w:firstLine="480"/>
      </w:pPr>
      <w:r>
        <w:rPr>
          <w:rFonts w:eastAsia="Times New Roman"/>
        </w:rPr>
        <w:t xml:space="preserve">The figure marks the principal locations of breakage of the three cases on the four chains: AFST falls mainly on the situational-construction chain (data representativeness and discretion-boundary audit requiring strengthening); </w:t>
      </w:r>
      <w:proofErr w:type="spellStart"/>
      <w:r>
        <w:rPr>
          <w:rFonts w:eastAsia="Times New Roman"/>
        </w:rPr>
        <w:t>SyRI</w:t>
      </w:r>
      <w:proofErr w:type="spellEnd"/>
      <w:r>
        <w:rPr>
          <w:rFonts w:eastAsia="Times New Roman"/>
        </w:rPr>
        <w:t xml:space="preserve"> fal</w:t>
      </w:r>
      <w:r>
        <w:rPr>
          <w:rFonts w:eastAsia="Times New Roman"/>
        </w:rPr>
        <w:t xml:space="preserve">ls at the junction of the authority chain and privacy audit (discretion boundary, democratic-accountability audit); </w:t>
      </w:r>
      <w:proofErr w:type="spellStart"/>
      <w:r>
        <w:rPr>
          <w:rFonts w:eastAsia="Times New Roman"/>
        </w:rPr>
        <w:t>Robodebt</w:t>
      </w:r>
      <w:proofErr w:type="spellEnd"/>
      <w:r>
        <w:rPr>
          <w:rFonts w:eastAsia="Times New Roman"/>
        </w:rPr>
        <w:t xml:space="preserve"> falls at the junction of the reason chain and the responsibility chain (responsibility attribution, organizational-capacity audit).</w:t>
      </w:r>
      <w:r>
        <w:rPr>
          <w:rFonts w:eastAsia="Times New Roman"/>
        </w:rPr>
        <w:t xml:space="preserve"> The three breakage mechanisms are unfolded case by case below.</w:t>
      </w:r>
    </w:p>
    <w:p w:rsidR="00751D35" w:rsidRDefault="008C3E62">
      <w:pPr>
        <w:pStyle w:val="2"/>
      </w:pPr>
      <w:r>
        <w:t>2. Level Clarification: Value Division of Labor among the Four C1 Dimensions inside the Situational-Construction Chain</w:t>
      </w:r>
    </w:p>
    <w:p w:rsidR="00751D35" w:rsidRDefault="008C3E62">
      <w:pPr>
        <w:spacing w:after="200"/>
        <w:ind w:firstLine="480"/>
      </w:pPr>
      <w:r>
        <w:rPr>
          <w:rFonts w:eastAsia="Times New Roman"/>
        </w:rPr>
        <w:t xml:space="preserve">C1’s D1 through D4 (traceability, data inclusion/exclusion, </w:t>
      </w:r>
      <w:proofErr w:type="spellStart"/>
      <w:r>
        <w:rPr>
          <w:rFonts w:eastAsia="Times New Roman"/>
        </w:rPr>
        <w:t>reconstructability</w:t>
      </w:r>
      <w:proofErr w:type="spellEnd"/>
      <w:r>
        <w:rPr>
          <w:rFonts w:eastAsia="Times New Roman"/>
        </w:rPr>
        <w:t xml:space="preserve"> of framing logic, democratic scrutiny and correctability) all lie inside the situational-construction chain; they are four dimensions of the same chain, not four governance chai</w:t>
      </w:r>
      <w:r>
        <w:rPr>
          <w:rFonts w:eastAsia="Times New Roman"/>
        </w:rPr>
        <w:t xml:space="preserve">ns. This paper superimposes a further correspondence on these four dimensions: D1 and D3 (traceability, </w:t>
      </w:r>
      <w:proofErr w:type="spellStart"/>
      <w:r>
        <w:rPr>
          <w:rFonts w:eastAsia="Times New Roman"/>
        </w:rPr>
        <w:t>reconstructability</w:t>
      </w:r>
      <w:proofErr w:type="spellEnd"/>
      <w:r>
        <w:rPr>
          <w:rFonts w:eastAsia="Times New Roman"/>
        </w:rPr>
        <w:t xml:space="preserve">) primarily carry transparency; D2 (inclusion/exclusion standards and proxy risk) primarily carries front-end justice; D4 (democratic </w:t>
      </w:r>
      <w:r>
        <w:rPr>
          <w:rFonts w:eastAsia="Times New Roman"/>
        </w:rPr>
        <w:t>scrutiny, contestation, correction performance) is the substantive test point of front-end justice and simultaneously the precondition for responsibility and accountability to be established on subsequent chains. The determination of responsibility and acc</w:t>
      </w:r>
      <w:r>
        <w:rPr>
          <w:rFonts w:eastAsia="Times New Roman"/>
        </w:rPr>
        <w:t>ountability is mainly not scored inside C1 but observed by whether C1 breakage spills over into the authority chain, reason chain, and responsibility chain.</w:t>
      </w:r>
    </w:p>
    <w:p w:rsidR="00751D35" w:rsidRDefault="008C3E62">
      <w:pPr>
        <w:pStyle w:val="2"/>
      </w:pPr>
      <w:r>
        <w:t>3. Re-marking of Value Breakpoints in the Three Cases</w:t>
      </w:r>
    </w:p>
    <w:p w:rsidR="00751D35" w:rsidRDefault="008C3E62">
      <w:pPr>
        <w:spacing w:before="240" w:after="120"/>
        <w:jc w:val="center"/>
      </w:pPr>
      <w:r>
        <w:rPr>
          <w:rFonts w:eastAsia="Times New Roman"/>
          <w:b/>
          <w:bCs/>
          <w:sz w:val="20"/>
          <w:szCs w:val="20"/>
        </w:rPr>
        <w:t xml:space="preserve">Table </w:t>
      </w:r>
      <w:proofErr w:type="gramStart"/>
      <w:r>
        <w:rPr>
          <w:rFonts w:eastAsia="Times New Roman"/>
          <w:b/>
          <w:bCs/>
          <w:sz w:val="20"/>
          <w:szCs w:val="20"/>
        </w:rPr>
        <w:t>4.1  Value</w:t>
      </w:r>
      <w:proofErr w:type="gramEnd"/>
      <w:r>
        <w:rPr>
          <w:rFonts w:eastAsia="Times New Roman"/>
          <w:b/>
          <w:bCs/>
          <w:sz w:val="20"/>
          <w:szCs w:val="20"/>
        </w:rPr>
        <w:t xml:space="preserve"> Breakpoints Re-marked for th</w:t>
      </w:r>
      <w:r>
        <w:rPr>
          <w:rFonts w:eastAsia="Times New Roman"/>
          <w:b/>
          <w:bCs/>
          <w:sz w:val="20"/>
          <w:szCs w:val="20"/>
        </w:rPr>
        <w:t>e Three Cases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0"/>
        <w:gridCol w:w="2000"/>
        <w:gridCol w:w="2000"/>
        <w:gridCol w:w="1980"/>
        <w:gridCol w:w="1980"/>
      </w:tblGrid>
      <w:tr w:rsidR="00751D35">
        <w:tblPrEx>
          <w:tblCellMar>
            <w:top w:w="0" w:type="dxa"/>
            <w:bottom w:w="0" w:type="dxa"/>
          </w:tblCellMar>
        </w:tblPrEx>
        <w:tc>
          <w:tcPr>
            <w:tcW w:w="1400" w:type="dxa"/>
            <w:tcBorders>
              <w:top w:val="single" w:sz="1" w:space="0" w:color="333333"/>
              <w:left w:val="single" w:sz="1" w:space="0" w:color="333333"/>
              <w:bottom w:val="single" w:sz="1" w:space="0" w:color="333333"/>
              <w:right w:val="single" w:sz="1" w:space="0" w:color="333333"/>
            </w:tcBorders>
            <w:shd w:val="clear" w:color="auto" w:fill="D9E2F3"/>
            <w:tcMar>
              <w:top w:w="60" w:type="dxa"/>
              <w:left w:w="80" w:type="dxa"/>
              <w:bottom w:w="60" w:type="dxa"/>
              <w:right w:w="80" w:type="dxa"/>
            </w:tcMar>
          </w:tcPr>
          <w:p w:rsidR="00751D35" w:rsidRDefault="008C3E62">
            <w:pPr>
              <w:jc w:val="center"/>
            </w:pPr>
            <w:r>
              <w:rPr>
                <w:rFonts w:eastAsia="Times New Roman"/>
                <w:b/>
                <w:bCs/>
                <w:sz w:val="18"/>
                <w:szCs w:val="18"/>
              </w:rPr>
              <w:t>Case</w:t>
            </w:r>
          </w:p>
        </w:tc>
        <w:tc>
          <w:tcPr>
            <w:tcW w:w="2000" w:type="dxa"/>
            <w:tcBorders>
              <w:top w:val="single" w:sz="1" w:space="0" w:color="333333"/>
              <w:left w:val="single" w:sz="1" w:space="0" w:color="333333"/>
              <w:bottom w:val="single" w:sz="1" w:space="0" w:color="333333"/>
              <w:right w:val="single" w:sz="1" w:space="0" w:color="333333"/>
            </w:tcBorders>
            <w:shd w:val="clear" w:color="auto" w:fill="D9E2F3"/>
            <w:tcMar>
              <w:top w:w="60" w:type="dxa"/>
              <w:left w:w="80" w:type="dxa"/>
              <w:bottom w:w="60" w:type="dxa"/>
              <w:right w:w="80" w:type="dxa"/>
            </w:tcMar>
          </w:tcPr>
          <w:p w:rsidR="00751D35" w:rsidRDefault="008C3E62">
            <w:pPr>
              <w:jc w:val="center"/>
            </w:pPr>
            <w:r>
              <w:rPr>
                <w:rFonts w:eastAsia="Times New Roman"/>
                <w:b/>
                <w:bCs/>
                <w:sz w:val="18"/>
                <w:szCs w:val="18"/>
              </w:rPr>
              <w:t>Transparency (D1/D3)</w:t>
            </w:r>
          </w:p>
        </w:tc>
        <w:tc>
          <w:tcPr>
            <w:tcW w:w="2000" w:type="dxa"/>
            <w:tcBorders>
              <w:top w:val="single" w:sz="1" w:space="0" w:color="333333"/>
              <w:left w:val="single" w:sz="1" w:space="0" w:color="333333"/>
              <w:bottom w:val="single" w:sz="1" w:space="0" w:color="333333"/>
              <w:right w:val="single" w:sz="1" w:space="0" w:color="333333"/>
            </w:tcBorders>
            <w:shd w:val="clear" w:color="auto" w:fill="D9E2F3"/>
            <w:tcMar>
              <w:top w:w="60" w:type="dxa"/>
              <w:left w:w="80" w:type="dxa"/>
              <w:bottom w:w="60" w:type="dxa"/>
              <w:right w:w="80" w:type="dxa"/>
            </w:tcMar>
          </w:tcPr>
          <w:p w:rsidR="00751D35" w:rsidRDefault="008C3E62">
            <w:pPr>
              <w:jc w:val="center"/>
            </w:pPr>
            <w:r>
              <w:rPr>
                <w:rFonts w:eastAsia="Times New Roman"/>
                <w:b/>
                <w:bCs/>
                <w:sz w:val="18"/>
                <w:szCs w:val="18"/>
              </w:rPr>
              <w:t>Front-end Justice (D2)</w:t>
            </w:r>
          </w:p>
        </w:tc>
        <w:tc>
          <w:tcPr>
            <w:tcW w:w="1980" w:type="dxa"/>
            <w:tcBorders>
              <w:top w:val="single" w:sz="1" w:space="0" w:color="333333"/>
              <w:left w:val="single" w:sz="1" w:space="0" w:color="333333"/>
              <w:bottom w:val="single" w:sz="1" w:space="0" w:color="333333"/>
              <w:right w:val="single" w:sz="1" w:space="0" w:color="333333"/>
            </w:tcBorders>
            <w:shd w:val="clear" w:color="auto" w:fill="D9E2F3"/>
            <w:tcMar>
              <w:top w:w="60" w:type="dxa"/>
              <w:left w:w="80" w:type="dxa"/>
              <w:bottom w:w="60" w:type="dxa"/>
              <w:right w:w="80" w:type="dxa"/>
            </w:tcMar>
          </w:tcPr>
          <w:p w:rsidR="00751D35" w:rsidRDefault="008C3E62">
            <w:pPr>
              <w:jc w:val="center"/>
            </w:pPr>
            <w:r>
              <w:rPr>
                <w:rFonts w:eastAsia="Times New Roman"/>
                <w:b/>
                <w:bCs/>
                <w:sz w:val="18"/>
                <w:szCs w:val="18"/>
              </w:rPr>
              <w:t>Spillover Location of Responsibility</w:t>
            </w:r>
          </w:p>
        </w:tc>
        <w:tc>
          <w:tcPr>
            <w:tcW w:w="1980" w:type="dxa"/>
            <w:tcBorders>
              <w:top w:val="single" w:sz="1" w:space="0" w:color="333333"/>
              <w:left w:val="single" w:sz="1" w:space="0" w:color="333333"/>
              <w:bottom w:val="single" w:sz="1" w:space="0" w:color="333333"/>
              <w:right w:val="single" w:sz="1" w:space="0" w:color="333333"/>
            </w:tcBorders>
            <w:shd w:val="clear" w:color="auto" w:fill="D9E2F3"/>
            <w:tcMar>
              <w:top w:w="60" w:type="dxa"/>
              <w:left w:w="80" w:type="dxa"/>
              <w:bottom w:w="60" w:type="dxa"/>
              <w:right w:w="80" w:type="dxa"/>
            </w:tcMar>
          </w:tcPr>
          <w:p w:rsidR="00751D35" w:rsidRDefault="008C3E62">
            <w:pPr>
              <w:jc w:val="center"/>
            </w:pPr>
            <w:r>
              <w:rPr>
                <w:rFonts w:eastAsia="Times New Roman"/>
                <w:b/>
                <w:bCs/>
                <w:sz w:val="18"/>
                <w:szCs w:val="18"/>
              </w:rPr>
              <w:t>Spillover Location of Accountability</w:t>
            </w:r>
          </w:p>
        </w:tc>
      </w:tr>
      <w:tr w:rsidR="00751D35">
        <w:tblPrEx>
          <w:tblCellMar>
            <w:top w:w="0" w:type="dxa"/>
            <w:bottom w:w="0" w:type="dxa"/>
          </w:tblCellMar>
        </w:tblPrEx>
        <w:tc>
          <w:tcPr>
            <w:tcW w:w="140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b/>
                <w:bCs/>
                <w:sz w:val="18"/>
                <w:szCs w:val="18"/>
              </w:rPr>
              <w:t>AFST</w:t>
            </w:r>
          </w:p>
        </w:tc>
        <w:tc>
          <w:tcPr>
            <w:tcW w:w="200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sz w:val="18"/>
                <w:szCs w:val="18"/>
              </w:rPr>
              <w:t>High (C1-1=4, C1-4=4, C1-9=3)</w:t>
            </w:r>
          </w:p>
        </w:tc>
        <w:tc>
          <w:tcPr>
            <w:tcW w:w="200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sz w:val="18"/>
                <w:szCs w:val="18"/>
              </w:rPr>
              <w:t>Medium-high (C1-5=3, C1-6=3)</w:t>
            </w:r>
          </w:p>
        </w:tc>
        <w:tc>
          <w:tcPr>
            <w:tcW w:w="198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sz w:val="18"/>
                <w:szCs w:val="18"/>
              </w:rPr>
              <w:t>Reason chain unbroken—supervisory review is recorded, but C1-11 is NA-U, so it cannot be confirmed whether “contestation” and “review” are the same thing.</w:t>
            </w:r>
          </w:p>
        </w:tc>
        <w:tc>
          <w:tcPr>
            <w:tcW w:w="198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sz w:val="18"/>
                <w:szCs w:val="18"/>
              </w:rPr>
              <w:t>Accountability threshold cannot be determined; neither a pass nor a failure.</w:t>
            </w:r>
          </w:p>
        </w:tc>
      </w:tr>
      <w:tr w:rsidR="00751D35">
        <w:tblPrEx>
          <w:tblCellMar>
            <w:top w:w="0" w:type="dxa"/>
            <w:bottom w:w="0" w:type="dxa"/>
          </w:tblCellMar>
        </w:tblPrEx>
        <w:tc>
          <w:tcPr>
            <w:tcW w:w="140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proofErr w:type="spellStart"/>
            <w:r>
              <w:rPr>
                <w:rFonts w:eastAsia="Times New Roman"/>
                <w:b/>
                <w:bCs/>
                <w:sz w:val="18"/>
                <w:szCs w:val="18"/>
              </w:rPr>
              <w:t>SyRI</w:t>
            </w:r>
            <w:proofErr w:type="spellEnd"/>
          </w:p>
        </w:tc>
        <w:tc>
          <w:tcPr>
            <w:tcW w:w="200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sz w:val="18"/>
                <w:szCs w:val="18"/>
              </w:rPr>
              <w:t>Low (C1-9=0, frami</w:t>
            </w:r>
            <w:r>
              <w:rPr>
                <w:rFonts w:eastAsia="Times New Roman"/>
                <w:sz w:val="18"/>
                <w:szCs w:val="18"/>
              </w:rPr>
              <w:t xml:space="preserve">ng logic not </w:t>
            </w:r>
            <w:proofErr w:type="spellStart"/>
            <w:r>
              <w:rPr>
                <w:rFonts w:eastAsia="Times New Roman"/>
                <w:sz w:val="18"/>
                <w:szCs w:val="18"/>
              </w:rPr>
              <w:t>reconstructable</w:t>
            </w:r>
            <w:proofErr w:type="spellEnd"/>
            <w:r>
              <w:rPr>
                <w:rFonts w:eastAsia="Times New Roman"/>
                <w:sz w:val="18"/>
                <w:szCs w:val="18"/>
              </w:rPr>
              <w:t>)</w:t>
            </w:r>
          </w:p>
        </w:tc>
        <w:tc>
          <w:tcPr>
            <w:tcW w:w="200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sz w:val="18"/>
                <w:szCs w:val="18"/>
              </w:rPr>
              <w:t>Low (C1-5=1, C1-6=1)</w:t>
            </w:r>
          </w:p>
        </w:tc>
        <w:tc>
          <w:tcPr>
            <w:tcW w:w="198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sz w:val="18"/>
                <w:szCs w:val="18"/>
              </w:rPr>
              <w:t>Reason chain breaks at the technical level—the risk-model logic itself cannot be reconstructed; human decision-makers have no reasons to state.</w:t>
            </w:r>
          </w:p>
        </w:tc>
        <w:tc>
          <w:tcPr>
            <w:tcW w:w="198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sz w:val="18"/>
                <w:szCs w:val="18"/>
              </w:rPr>
              <w:t>Accountability relies on ex-post judicial intervention as a s</w:t>
            </w:r>
            <w:r>
              <w:rPr>
                <w:rFonts w:eastAsia="Times New Roman"/>
                <w:sz w:val="18"/>
                <w:szCs w:val="18"/>
              </w:rPr>
              <w:t xml:space="preserve">ubstitute, not on mechanisms built into the administrative </w:t>
            </w:r>
            <w:r>
              <w:rPr>
                <w:rFonts w:eastAsia="Times New Roman"/>
                <w:sz w:val="18"/>
                <w:szCs w:val="18"/>
              </w:rPr>
              <w:lastRenderedPageBreak/>
              <w:t>system.</w:t>
            </w:r>
          </w:p>
        </w:tc>
      </w:tr>
      <w:tr w:rsidR="00751D35">
        <w:tblPrEx>
          <w:tblCellMar>
            <w:top w:w="0" w:type="dxa"/>
            <w:bottom w:w="0" w:type="dxa"/>
          </w:tblCellMar>
        </w:tblPrEx>
        <w:tc>
          <w:tcPr>
            <w:tcW w:w="140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proofErr w:type="spellStart"/>
            <w:r>
              <w:rPr>
                <w:rFonts w:eastAsia="Times New Roman"/>
                <w:b/>
                <w:bCs/>
                <w:sz w:val="18"/>
                <w:szCs w:val="18"/>
              </w:rPr>
              <w:lastRenderedPageBreak/>
              <w:t>Robodebt</w:t>
            </w:r>
            <w:proofErr w:type="spellEnd"/>
          </w:p>
        </w:tc>
        <w:tc>
          <w:tcPr>
            <w:tcW w:w="200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sz w:val="18"/>
                <w:szCs w:val="18"/>
              </w:rPr>
              <w:t>Medium-low (C1-1=2, C1-9=0)</w:t>
            </w:r>
          </w:p>
        </w:tc>
        <w:tc>
          <w:tcPr>
            <w:tcW w:w="200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sz w:val="18"/>
                <w:szCs w:val="18"/>
              </w:rPr>
              <w:t>Total collapse (C1-5=0, C1-6=0, C1-10=0)</w:t>
            </w:r>
          </w:p>
        </w:tc>
        <w:tc>
          <w:tcPr>
            <w:tcW w:w="198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sz w:val="18"/>
                <w:szCs w:val="18"/>
              </w:rPr>
              <w:t>Reason chain breaks through inversion of the burden of proof—affected persons must prove themselves, rather th</w:t>
            </w:r>
            <w:r>
              <w:rPr>
                <w:rFonts w:eastAsia="Times New Roman"/>
                <w:sz w:val="18"/>
                <w:szCs w:val="18"/>
              </w:rPr>
              <w:t>an the agency proving the framing reasonable.</w:t>
            </w:r>
          </w:p>
        </w:tc>
        <w:tc>
          <w:tcPr>
            <w:tcW w:w="198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sz w:val="18"/>
                <w:szCs w:val="18"/>
              </w:rPr>
              <w:t>Accountability fails (C1-12=0); harm has already occurred yet no correction performance exists.</w:t>
            </w:r>
          </w:p>
        </w:tc>
      </w:tr>
    </w:tbl>
    <w:p w:rsidR="00751D35" w:rsidRDefault="008C3E62">
      <w:pPr>
        <w:pStyle w:val="2"/>
      </w:pPr>
      <w:r>
        <w:t>4. Three Mechanisms of Value Spillover: Discriminating Conditions and Boundary Cases</w:t>
      </w:r>
    </w:p>
    <w:p w:rsidR="00751D35" w:rsidRDefault="008C3E62">
      <w:pPr>
        <w:spacing w:after="200"/>
        <w:ind w:firstLine="480"/>
      </w:pPr>
      <w:r>
        <w:rPr>
          <w:rFonts w:eastAsia="Times New Roman"/>
        </w:rPr>
        <w:t>The three mechanisms are not post-hoc names for case outcomes but are distinguished by observable conditions. AFST is also a boundary case: its technical documentation and case-level review are relatively complete, so one cannot simply presume that the pre</w:t>
      </w:r>
      <w:r>
        <w:rPr>
          <w:rFonts w:eastAsia="Times New Roman"/>
        </w:rPr>
        <w:t>sence of human review guarantees the four values; it serves to test whether this paper can identify a state of surface compliance in which framing contestation remains invisible.</w:t>
      </w:r>
    </w:p>
    <w:p w:rsidR="00751D35" w:rsidRDefault="008C3E62">
      <w:pPr>
        <w:spacing w:before="240" w:after="120"/>
        <w:jc w:val="center"/>
      </w:pPr>
      <w:r>
        <w:rPr>
          <w:rFonts w:eastAsia="Times New Roman"/>
          <w:b/>
          <w:bCs/>
          <w:sz w:val="20"/>
          <w:szCs w:val="20"/>
        </w:rPr>
        <w:t xml:space="preserve">Table </w:t>
      </w:r>
      <w:proofErr w:type="gramStart"/>
      <w:r>
        <w:rPr>
          <w:rFonts w:eastAsia="Times New Roman"/>
          <w:b/>
          <w:bCs/>
          <w:sz w:val="20"/>
          <w:szCs w:val="20"/>
        </w:rPr>
        <w:t>4.2  Discriminating</w:t>
      </w:r>
      <w:proofErr w:type="gramEnd"/>
      <w:r>
        <w:rPr>
          <w:rFonts w:eastAsia="Times New Roman"/>
          <w:b/>
          <w:bCs/>
          <w:sz w:val="20"/>
          <w:szCs w:val="20"/>
        </w:rPr>
        <w:t xml:space="preserve"> Conditions for the Three Mechanisms of Value Spillo</w:t>
      </w:r>
      <w:r>
        <w:rPr>
          <w:rFonts w:eastAsia="Times New Roman"/>
          <w:b/>
          <w:bCs/>
          <w:sz w:val="20"/>
          <w:szCs w:val="20"/>
        </w:rPr>
        <w:t>ver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2600"/>
        <w:gridCol w:w="2600"/>
        <w:gridCol w:w="2360"/>
      </w:tblGrid>
      <w:tr w:rsidR="00751D35">
        <w:tblPrEx>
          <w:tblCellMar>
            <w:top w:w="0" w:type="dxa"/>
            <w:bottom w:w="0" w:type="dxa"/>
          </w:tblCellMar>
        </w:tblPrEx>
        <w:tc>
          <w:tcPr>
            <w:tcW w:w="1800" w:type="dxa"/>
            <w:tcBorders>
              <w:top w:val="single" w:sz="1" w:space="0" w:color="333333"/>
              <w:left w:val="single" w:sz="1" w:space="0" w:color="333333"/>
              <w:bottom w:val="single" w:sz="1" w:space="0" w:color="333333"/>
              <w:right w:val="single" w:sz="1" w:space="0" w:color="333333"/>
            </w:tcBorders>
            <w:shd w:val="clear" w:color="auto" w:fill="D9E2F3"/>
            <w:tcMar>
              <w:top w:w="60" w:type="dxa"/>
              <w:left w:w="80" w:type="dxa"/>
              <w:bottom w:w="60" w:type="dxa"/>
              <w:right w:w="80" w:type="dxa"/>
            </w:tcMar>
          </w:tcPr>
          <w:p w:rsidR="00751D35" w:rsidRDefault="008C3E62">
            <w:pPr>
              <w:jc w:val="center"/>
            </w:pPr>
            <w:r>
              <w:rPr>
                <w:rFonts w:eastAsia="Times New Roman"/>
                <w:b/>
                <w:bCs/>
                <w:sz w:val="18"/>
                <w:szCs w:val="18"/>
              </w:rPr>
              <w:t>Mechanism</w:t>
            </w:r>
          </w:p>
        </w:tc>
        <w:tc>
          <w:tcPr>
            <w:tcW w:w="2600" w:type="dxa"/>
            <w:tcBorders>
              <w:top w:val="single" w:sz="1" w:space="0" w:color="333333"/>
              <w:left w:val="single" w:sz="1" w:space="0" w:color="333333"/>
              <w:bottom w:val="single" w:sz="1" w:space="0" w:color="333333"/>
              <w:right w:val="single" w:sz="1" w:space="0" w:color="333333"/>
            </w:tcBorders>
            <w:shd w:val="clear" w:color="auto" w:fill="D9E2F3"/>
            <w:tcMar>
              <w:top w:w="60" w:type="dxa"/>
              <w:left w:w="80" w:type="dxa"/>
              <w:bottom w:w="60" w:type="dxa"/>
              <w:right w:w="80" w:type="dxa"/>
            </w:tcMar>
          </w:tcPr>
          <w:p w:rsidR="00751D35" w:rsidRDefault="008C3E62">
            <w:pPr>
              <w:jc w:val="center"/>
            </w:pPr>
            <w:r>
              <w:rPr>
                <w:rFonts w:eastAsia="Times New Roman"/>
                <w:b/>
                <w:bCs/>
                <w:sz w:val="18"/>
                <w:szCs w:val="18"/>
              </w:rPr>
              <w:t>Necessary Observational Conditions</w:t>
            </w:r>
          </w:p>
        </w:tc>
        <w:tc>
          <w:tcPr>
            <w:tcW w:w="2600" w:type="dxa"/>
            <w:tcBorders>
              <w:top w:val="single" w:sz="1" w:space="0" w:color="333333"/>
              <w:left w:val="single" w:sz="1" w:space="0" w:color="333333"/>
              <w:bottom w:val="single" w:sz="1" w:space="0" w:color="333333"/>
              <w:right w:val="single" w:sz="1" w:space="0" w:color="333333"/>
            </w:tcBorders>
            <w:shd w:val="clear" w:color="auto" w:fill="D9E2F3"/>
            <w:tcMar>
              <w:top w:w="60" w:type="dxa"/>
              <w:left w:w="80" w:type="dxa"/>
              <w:bottom w:w="60" w:type="dxa"/>
              <w:right w:w="80" w:type="dxa"/>
            </w:tcMar>
          </w:tcPr>
          <w:p w:rsidR="00751D35" w:rsidRDefault="008C3E62">
            <w:pPr>
              <w:jc w:val="center"/>
            </w:pPr>
            <w:r>
              <w:rPr>
                <w:rFonts w:eastAsia="Times New Roman"/>
                <w:b/>
                <w:bCs/>
                <w:sz w:val="18"/>
                <w:szCs w:val="18"/>
              </w:rPr>
              <w:t>Principal Breakage / Value Consequences</w:t>
            </w:r>
          </w:p>
        </w:tc>
        <w:tc>
          <w:tcPr>
            <w:tcW w:w="2360" w:type="dxa"/>
            <w:tcBorders>
              <w:top w:val="single" w:sz="1" w:space="0" w:color="333333"/>
              <w:left w:val="single" w:sz="1" w:space="0" w:color="333333"/>
              <w:bottom w:val="single" w:sz="1" w:space="0" w:color="333333"/>
              <w:right w:val="single" w:sz="1" w:space="0" w:color="333333"/>
            </w:tcBorders>
            <w:shd w:val="clear" w:color="auto" w:fill="D9E2F3"/>
            <w:tcMar>
              <w:top w:w="60" w:type="dxa"/>
              <w:left w:w="80" w:type="dxa"/>
              <w:bottom w:w="60" w:type="dxa"/>
              <w:right w:w="80" w:type="dxa"/>
            </w:tcMar>
          </w:tcPr>
          <w:p w:rsidR="00751D35" w:rsidRDefault="008C3E62">
            <w:pPr>
              <w:jc w:val="center"/>
            </w:pPr>
            <w:r>
              <w:rPr>
                <w:rFonts w:eastAsia="Times New Roman"/>
                <w:b/>
                <w:bCs/>
                <w:sz w:val="18"/>
                <w:szCs w:val="18"/>
              </w:rPr>
              <w:t>Excludable Near Situations</w:t>
            </w:r>
          </w:p>
        </w:tc>
      </w:tr>
      <w:tr w:rsidR="00751D35">
        <w:tblPrEx>
          <w:tblCellMar>
            <w:top w:w="0" w:type="dxa"/>
            <w:bottom w:w="0" w:type="dxa"/>
          </w:tblCellMar>
        </w:tblPrEx>
        <w:tc>
          <w:tcPr>
            <w:tcW w:w="180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b/>
                <w:bCs/>
                <w:sz w:val="18"/>
                <w:szCs w:val="18"/>
              </w:rPr>
              <w:t>Review misalignment (AFST type)</w:t>
            </w:r>
          </w:p>
        </w:tc>
        <w:tc>
          <w:tcPr>
            <w:tcW w:w="260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sz w:val="18"/>
                <w:szCs w:val="18"/>
              </w:rPr>
              <w:t>Case-level review or complaint exists, but no evidence shows that classification, proxy variables, or thresholds themselves can be contested.</w:t>
            </w:r>
          </w:p>
        </w:tc>
        <w:tc>
          <w:tcPr>
            <w:tcW w:w="260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sz w:val="18"/>
                <w:szCs w:val="18"/>
              </w:rPr>
              <w:t>Situational-construction chain is not fully examined; front-end justice may be reduced to individual remedy.</w:t>
            </w:r>
          </w:p>
        </w:tc>
        <w:tc>
          <w:tcPr>
            <w:tcW w:w="236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sz w:val="18"/>
                <w:szCs w:val="18"/>
              </w:rPr>
              <w:t>If th</w:t>
            </w:r>
            <w:r>
              <w:rPr>
                <w:rFonts w:eastAsia="Times New Roman"/>
                <w:sz w:val="18"/>
                <w:szCs w:val="18"/>
              </w:rPr>
              <w:t>e review procedure can formally initiate examination of model settings, it does not belong to this type.</w:t>
            </w:r>
          </w:p>
        </w:tc>
      </w:tr>
      <w:tr w:rsidR="00751D35">
        <w:tblPrEx>
          <w:tblCellMar>
            <w:top w:w="0" w:type="dxa"/>
            <w:bottom w:w="0" w:type="dxa"/>
          </w:tblCellMar>
        </w:tblPrEx>
        <w:tc>
          <w:tcPr>
            <w:tcW w:w="180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b/>
                <w:bCs/>
                <w:sz w:val="18"/>
                <w:szCs w:val="18"/>
              </w:rPr>
              <w:t xml:space="preserve">Technical </w:t>
            </w:r>
            <w:proofErr w:type="spellStart"/>
            <w:r>
              <w:rPr>
                <w:rFonts w:eastAsia="Times New Roman"/>
                <w:b/>
                <w:bCs/>
                <w:sz w:val="18"/>
                <w:szCs w:val="18"/>
              </w:rPr>
              <w:t>inexplainability</w:t>
            </w:r>
            <w:proofErr w:type="spellEnd"/>
            <w:r>
              <w:rPr>
                <w:rFonts w:eastAsia="Times New Roman"/>
                <w:b/>
                <w:bCs/>
                <w:sz w:val="18"/>
                <w:szCs w:val="18"/>
              </w:rPr>
              <w:t xml:space="preserve"> (</w:t>
            </w:r>
            <w:proofErr w:type="spellStart"/>
            <w:r>
              <w:rPr>
                <w:rFonts w:eastAsia="Times New Roman"/>
                <w:b/>
                <w:bCs/>
                <w:sz w:val="18"/>
                <w:szCs w:val="18"/>
              </w:rPr>
              <w:t>SyRI</w:t>
            </w:r>
            <w:proofErr w:type="spellEnd"/>
            <w:r>
              <w:rPr>
                <w:rFonts w:eastAsia="Times New Roman"/>
                <w:b/>
                <w:bCs/>
                <w:sz w:val="18"/>
                <w:szCs w:val="18"/>
              </w:rPr>
              <w:t xml:space="preserve"> type)</w:t>
            </w:r>
          </w:p>
        </w:tc>
        <w:tc>
          <w:tcPr>
            <w:tcW w:w="260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sz w:val="18"/>
                <w:szCs w:val="18"/>
              </w:rPr>
              <w:t>Neither decision-makers nor affected persons can reconstruct the framing logic on which outputs rest, so reasons cannot be linked back to facts and norms.</w:t>
            </w:r>
          </w:p>
        </w:tc>
        <w:tc>
          <w:tcPr>
            <w:tcW w:w="260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sz w:val="18"/>
                <w:szCs w:val="18"/>
              </w:rPr>
              <w:t>Reason chain fails first; the transparency gap then spills over into difficulties of responsibility a</w:t>
            </w:r>
            <w:r>
              <w:rPr>
                <w:rFonts w:eastAsia="Times New Roman"/>
                <w:sz w:val="18"/>
                <w:szCs w:val="18"/>
              </w:rPr>
              <w:t>nd accountability.</w:t>
            </w:r>
          </w:p>
        </w:tc>
        <w:tc>
          <w:tcPr>
            <w:tcW w:w="236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sz w:val="18"/>
                <w:szCs w:val="18"/>
              </w:rPr>
              <w:t xml:space="preserve">Mere non-disclosure of source code, while key logic and reasons remain </w:t>
            </w:r>
            <w:proofErr w:type="spellStart"/>
            <w:r>
              <w:rPr>
                <w:rFonts w:eastAsia="Times New Roman"/>
                <w:sz w:val="18"/>
                <w:szCs w:val="18"/>
              </w:rPr>
              <w:t>reconstructable</w:t>
            </w:r>
            <w:proofErr w:type="spellEnd"/>
            <w:r>
              <w:rPr>
                <w:rFonts w:eastAsia="Times New Roman"/>
                <w:sz w:val="18"/>
                <w:szCs w:val="18"/>
              </w:rPr>
              <w:t>, does not belong to this type.</w:t>
            </w:r>
          </w:p>
        </w:tc>
      </w:tr>
      <w:tr w:rsidR="00751D35">
        <w:tblPrEx>
          <w:tblCellMar>
            <w:top w:w="0" w:type="dxa"/>
            <w:bottom w:w="0" w:type="dxa"/>
          </w:tblCellMar>
        </w:tblPrEx>
        <w:tc>
          <w:tcPr>
            <w:tcW w:w="180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b/>
                <w:bCs/>
                <w:sz w:val="18"/>
                <w:szCs w:val="18"/>
              </w:rPr>
              <w:t>Inversion of the burden of proof (</w:t>
            </w:r>
            <w:proofErr w:type="spellStart"/>
            <w:r>
              <w:rPr>
                <w:rFonts w:eastAsia="Times New Roman"/>
                <w:b/>
                <w:bCs/>
                <w:sz w:val="18"/>
                <w:szCs w:val="18"/>
              </w:rPr>
              <w:t>Robodebt</w:t>
            </w:r>
            <w:proofErr w:type="spellEnd"/>
            <w:r>
              <w:rPr>
                <w:rFonts w:eastAsia="Times New Roman"/>
                <w:b/>
                <w:bCs/>
                <w:sz w:val="18"/>
                <w:szCs w:val="18"/>
              </w:rPr>
              <w:t xml:space="preserve"> type)</w:t>
            </w:r>
          </w:p>
        </w:tc>
        <w:tc>
          <w:tcPr>
            <w:tcW w:w="260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sz w:val="18"/>
                <w:szCs w:val="18"/>
              </w:rPr>
              <w:t xml:space="preserve">Contestation procedures exist formally, yet require affected persons </w:t>
            </w:r>
            <w:r>
              <w:rPr>
                <w:rFonts w:eastAsia="Times New Roman"/>
                <w:sz w:val="18"/>
                <w:szCs w:val="18"/>
              </w:rPr>
              <w:t>to prove first that the agency’s presumption is erroneous, and the agency has no affirmative duty to explain or correct promptly.</w:t>
            </w:r>
          </w:p>
        </w:tc>
        <w:tc>
          <w:tcPr>
            <w:tcW w:w="260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sz w:val="18"/>
                <w:szCs w:val="18"/>
              </w:rPr>
              <w:t>Reason chain and responsibility chain fail jointly; front-end injustice is shifted onto the individual as the cost of error co</w:t>
            </w:r>
            <w:r>
              <w:rPr>
                <w:rFonts w:eastAsia="Times New Roman"/>
                <w:sz w:val="18"/>
                <w:szCs w:val="18"/>
              </w:rPr>
              <w:t>rrection.</w:t>
            </w:r>
          </w:p>
        </w:tc>
        <w:tc>
          <w:tcPr>
            <w:tcW w:w="236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sz w:val="18"/>
                <w:szCs w:val="18"/>
              </w:rPr>
              <w:t>Where the agency bears the initial burden of explanation and verification and the individual only supplements counter-evidence, it does not belong to this type.</w:t>
            </w:r>
          </w:p>
        </w:tc>
      </w:tr>
    </w:tbl>
    <w:p w:rsidR="00751D35" w:rsidRDefault="008C3E62">
      <w:pPr>
        <w:spacing w:before="200" w:after="200"/>
        <w:ind w:firstLine="480"/>
      </w:pPr>
      <w:r>
        <w:rPr>
          <w:rFonts w:eastAsia="Times New Roman"/>
        </w:rPr>
        <w:t>These conditions serve only for mechanism identification and do not constitute a new</w:t>
      </w:r>
      <w:r>
        <w:rPr>
          <w:rFonts w:eastAsia="Times New Roman"/>
        </w:rPr>
        <w:t xml:space="preserve"> scoring scale; their function is to constrain interpretive arbitrariness and to render subsequent cases rebuttable.</w:t>
      </w:r>
    </w:p>
    <w:p w:rsidR="00751D35" w:rsidRDefault="008C3E62">
      <w:pPr>
        <w:spacing w:after="200"/>
        <w:ind w:firstLine="480"/>
      </w:pPr>
      <w:r>
        <w:rPr>
          <w:rFonts w:eastAsia="Times New Roman"/>
        </w:rPr>
        <w:t>The diagnostic sequence can proceed by three questions. First, does a formal channel exist for contesting proxy variables, classifications,</w:t>
      </w:r>
      <w:r>
        <w:rPr>
          <w:rFonts w:eastAsia="Times New Roman"/>
        </w:rPr>
        <w:t xml:space="preserve"> and thresholds at the framing level? If not, one must check whether review addresses only case outcomes and determine whether review misalignment is present. Second, can the agency link system outputs back to </w:t>
      </w:r>
      <w:proofErr w:type="spellStart"/>
      <w:r>
        <w:rPr>
          <w:rFonts w:eastAsia="Times New Roman"/>
        </w:rPr>
        <w:t>reconstructable</w:t>
      </w:r>
      <w:proofErr w:type="spellEnd"/>
      <w:r>
        <w:rPr>
          <w:rFonts w:eastAsia="Times New Roman"/>
        </w:rPr>
        <w:t xml:space="preserve"> facts, data, and normative rea</w:t>
      </w:r>
      <w:r>
        <w:rPr>
          <w:rFonts w:eastAsia="Times New Roman"/>
        </w:rPr>
        <w:t xml:space="preserve">sons? If not, technical </w:t>
      </w:r>
      <w:proofErr w:type="spellStart"/>
      <w:r>
        <w:rPr>
          <w:rFonts w:eastAsia="Times New Roman"/>
        </w:rPr>
        <w:t>inexplainability</w:t>
      </w:r>
      <w:proofErr w:type="spellEnd"/>
      <w:r>
        <w:rPr>
          <w:rFonts w:eastAsia="Times New Roman"/>
        </w:rPr>
        <w:t xml:space="preserve"> is present. Third, when contestation occurs, does the agency first bear the burden of initial explanation, verification, and correction? If not, and the affected person must first prove the agency’s presumption erro</w:t>
      </w:r>
      <w:r>
        <w:rPr>
          <w:rFonts w:eastAsia="Times New Roman"/>
        </w:rPr>
        <w:t xml:space="preserve">neous, inversion of the burden of proof is present. The three steps may be presented simultaneously; their order does not presume a single causal sequence, nor do they replace the existing P1/C1 </w:t>
      </w:r>
      <w:r>
        <w:rPr>
          <w:rFonts w:eastAsia="Times New Roman"/>
        </w:rPr>
        <w:lastRenderedPageBreak/>
        <w:t>coding.</w:t>
      </w:r>
    </w:p>
    <w:p w:rsidR="00751D35" w:rsidRDefault="008C3E62">
      <w:pPr>
        <w:spacing w:after="200"/>
        <w:ind w:firstLine="480"/>
      </w:pPr>
      <w:r>
        <w:rPr>
          <w:rFonts w:eastAsia="Times New Roman"/>
        </w:rPr>
        <w:t>What the three cases demonstrate is not the single ca</w:t>
      </w:r>
      <w:r>
        <w:rPr>
          <w:rFonts w:eastAsia="Times New Roman"/>
        </w:rPr>
        <w:t xml:space="preserve">usal claim “the situational-construction chain is </w:t>
      </w:r>
      <w:proofErr w:type="gramStart"/>
      <w:r>
        <w:rPr>
          <w:rFonts w:eastAsia="Times New Roman"/>
        </w:rPr>
        <w:t>broken,</w:t>
      </w:r>
      <w:proofErr w:type="gramEnd"/>
      <w:r>
        <w:rPr>
          <w:rFonts w:eastAsia="Times New Roman"/>
        </w:rPr>
        <w:t xml:space="preserve"> therefore the other chains are also broken,” but three different spillover mechanisms.</w:t>
      </w:r>
    </w:p>
    <w:p w:rsidR="00751D35" w:rsidRDefault="008C3E62">
      <w:pPr>
        <w:spacing w:after="200"/>
        <w:ind w:firstLine="480"/>
      </w:pPr>
      <w:r>
        <w:rPr>
          <w:rFonts w:eastAsia="Times New Roman"/>
        </w:rPr>
        <w:t xml:space="preserve">First, the AFST type—spillover is blocked by “review,” but blockage is not equivalent to passage. AFST’s D1–D3 scores approach full marks, showing that technical transparency can indeed be done well. Yet C1-11 (framing-contestation channel) is recorded as </w:t>
      </w:r>
      <w:r>
        <w:rPr>
          <w:rFonts w:eastAsia="Times New Roman"/>
        </w:rPr>
        <w:t>NA-U, not 0—not “no contestation channel exists,” but “existing public documents cannot confirm whether a contestation channel exists at the framing level rather than only at the case-review level.” In other words, supervisory review addresses “whether thi</w:t>
      </w:r>
      <w:r>
        <w:rPr>
          <w:rFonts w:eastAsia="Times New Roman"/>
        </w:rPr>
        <w:t>s child should be flagged,” not “whether the risk-classification model itself should be designed this way.” Transparency is achieved, but the right to contest front-end justice may be quietly replaced by a “right of individual complaint”—precisely the trap</w:t>
      </w:r>
      <w:r>
        <w:rPr>
          <w:rFonts w:eastAsia="Times New Roman"/>
        </w:rPr>
        <w:t xml:space="preserve"> into which the four values fall when </w:t>
      </w:r>
      <w:proofErr w:type="spellStart"/>
      <w:r>
        <w:rPr>
          <w:rFonts w:eastAsia="Times New Roman"/>
        </w:rPr>
        <w:t>checklisted</w:t>
      </w:r>
      <w:proofErr w:type="spellEnd"/>
      <w:r>
        <w:rPr>
          <w:rFonts w:eastAsia="Times New Roman"/>
        </w:rPr>
        <w:t xml:space="preserve">: on the surface all </w:t>
      </w:r>
      <w:proofErr w:type="gramStart"/>
      <w:r>
        <w:rPr>
          <w:rFonts w:eastAsia="Times New Roman"/>
        </w:rPr>
        <w:t>four show</w:t>
      </w:r>
      <w:proofErr w:type="gramEnd"/>
      <w:r>
        <w:rPr>
          <w:rFonts w:eastAsia="Times New Roman"/>
        </w:rPr>
        <w:t xml:space="preserve"> activity, yet justice is reduced to procedural individual remedy rather than contestation of the framing itself. This corroborates </w:t>
      </w:r>
      <w:proofErr w:type="spellStart"/>
      <w:r>
        <w:rPr>
          <w:rFonts w:eastAsia="Times New Roman"/>
        </w:rPr>
        <w:t>Eubanks’s</w:t>
      </w:r>
      <w:proofErr w:type="spellEnd"/>
      <w:r>
        <w:rPr>
          <w:rFonts w:eastAsia="Times New Roman"/>
        </w:rPr>
        <w:t xml:space="preserve"> (2018) field research on AFST: even</w:t>
      </w:r>
      <w:r>
        <w:rPr>
          <w:rFonts w:eastAsia="Times New Roman"/>
        </w:rPr>
        <w:t xml:space="preserve"> when the system is equipped with formal professional human review, front-end proxy variables (for example, indicators biased toward poor families) have already locked in marginalized groups; human review can only gatekeep case outcomes and cannot challeng</w:t>
      </w:r>
      <w:r>
        <w:rPr>
          <w:rFonts w:eastAsia="Times New Roman"/>
        </w:rPr>
        <w:t>e the design of the indicators themselves. The development team’s own validation study (</w:t>
      </w:r>
      <w:proofErr w:type="spellStart"/>
      <w:r>
        <w:rPr>
          <w:rFonts w:eastAsia="Times New Roman"/>
        </w:rPr>
        <w:t>Chouldechova</w:t>
      </w:r>
      <w:proofErr w:type="spellEnd"/>
      <w:r>
        <w:rPr>
          <w:rFonts w:eastAsia="Times New Roman"/>
        </w:rPr>
        <w:t xml:space="preserve"> et al., 2018) shows that the model’s fairness performance on statistical indicators is acceptable, yet such ex-ante fairness tests likewise stop at the out</w:t>
      </w:r>
      <w:r>
        <w:rPr>
          <w:rFonts w:eastAsia="Times New Roman"/>
        </w:rPr>
        <w:t>put level and cannot answer the question this paper cares about—whether a framing-contestation channel exists.</w:t>
      </w:r>
    </w:p>
    <w:p w:rsidR="00751D35" w:rsidRDefault="008C3E62">
      <w:pPr>
        <w:spacing w:after="200"/>
        <w:ind w:firstLine="480"/>
      </w:pPr>
      <w:r>
        <w:rPr>
          <w:rFonts w:eastAsia="Times New Roman"/>
        </w:rPr>
        <w:t xml:space="preserve">Second, the </w:t>
      </w:r>
      <w:proofErr w:type="spellStart"/>
      <w:r>
        <w:rPr>
          <w:rFonts w:eastAsia="Times New Roman"/>
        </w:rPr>
        <w:t>SyRI</w:t>
      </w:r>
      <w:proofErr w:type="spellEnd"/>
      <w:r>
        <w:rPr>
          <w:rFonts w:eastAsia="Times New Roman"/>
        </w:rPr>
        <w:t xml:space="preserve"> type—spillover travels through external judicial correction, not internal administrative friction. </w:t>
      </w:r>
      <w:proofErr w:type="spellStart"/>
      <w:r>
        <w:rPr>
          <w:rFonts w:eastAsia="Times New Roman"/>
        </w:rPr>
        <w:t>SyRI’s</w:t>
      </w:r>
      <w:proofErr w:type="spellEnd"/>
      <w:r>
        <w:rPr>
          <w:rFonts w:eastAsia="Times New Roman"/>
        </w:rPr>
        <w:t xml:space="preserve"> C1-9 (</w:t>
      </w:r>
      <w:proofErr w:type="spellStart"/>
      <w:r>
        <w:rPr>
          <w:rFonts w:eastAsia="Times New Roman"/>
        </w:rPr>
        <w:t>reconstructabili</w:t>
      </w:r>
      <w:r>
        <w:rPr>
          <w:rFonts w:eastAsia="Times New Roman"/>
        </w:rPr>
        <w:t>ty</w:t>
      </w:r>
      <w:proofErr w:type="spellEnd"/>
      <w:r>
        <w:rPr>
          <w:rFonts w:eastAsia="Times New Roman"/>
        </w:rPr>
        <w:t xml:space="preserve"> of framing logic) is 0, meaning that no one—including the executing agency itself—can fully explain how the risk model converts data into risk scores. This causes the reason chain to break first at the technical level: it is not that bureaucrats are unw</w:t>
      </w:r>
      <w:r>
        <w:rPr>
          <w:rFonts w:eastAsia="Times New Roman"/>
        </w:rPr>
        <w:t>illing to state reasons, but that bureaucrats themselves cannot obtain explainable reasons. Accountability ultimately relies on the District Court of The Hague intervening under Article 8 of the European Convention on Human Rights (District Court of The Ha</w:t>
      </w:r>
      <w:r>
        <w:rPr>
          <w:rFonts w:eastAsia="Times New Roman"/>
        </w:rPr>
        <w:t xml:space="preserve">gue, 2020). van </w:t>
      </w:r>
      <w:proofErr w:type="spellStart"/>
      <w:r>
        <w:rPr>
          <w:rFonts w:eastAsia="Times New Roman"/>
        </w:rPr>
        <w:t>Bekkum</w:t>
      </w:r>
      <w:proofErr w:type="spellEnd"/>
      <w:r>
        <w:rPr>
          <w:rFonts w:eastAsia="Times New Roman"/>
        </w:rPr>
        <w:t xml:space="preserve"> and </w:t>
      </w:r>
      <w:proofErr w:type="spellStart"/>
      <w:r>
        <w:rPr>
          <w:rFonts w:eastAsia="Times New Roman"/>
        </w:rPr>
        <w:t>Zuiderveen</w:t>
      </w:r>
      <w:proofErr w:type="spellEnd"/>
      <w:r>
        <w:rPr>
          <w:rFonts w:eastAsia="Times New Roman"/>
        </w:rPr>
        <w:t xml:space="preserve"> </w:t>
      </w:r>
      <w:proofErr w:type="spellStart"/>
      <w:r>
        <w:rPr>
          <w:rFonts w:eastAsia="Times New Roman"/>
        </w:rPr>
        <w:t>Borgesius’s</w:t>
      </w:r>
      <w:proofErr w:type="spellEnd"/>
      <w:r>
        <w:rPr>
          <w:rFonts w:eastAsia="Times New Roman"/>
        </w:rPr>
        <w:t xml:space="preserve"> (2021) analysis of the judgment notes that the court could appeal only to the right to privacy rather than directly adjudicating algorithmic accountability precisely because the </w:t>
      </w:r>
      <w:proofErr w:type="spellStart"/>
      <w:r>
        <w:rPr>
          <w:rFonts w:eastAsia="Times New Roman"/>
        </w:rPr>
        <w:t>SyRI</w:t>
      </w:r>
      <w:proofErr w:type="spellEnd"/>
      <w:r>
        <w:rPr>
          <w:rFonts w:eastAsia="Times New Roman"/>
        </w:rPr>
        <w:t xml:space="preserve"> legislation itself offe</w:t>
      </w:r>
      <w:r>
        <w:rPr>
          <w:rFonts w:eastAsia="Times New Roman"/>
        </w:rPr>
        <w:t xml:space="preserve">red virtually no explanation of system functions; </w:t>
      </w:r>
      <w:proofErr w:type="spellStart"/>
      <w:r>
        <w:rPr>
          <w:rFonts w:eastAsia="Times New Roman"/>
        </w:rPr>
        <w:t>Wieringa</w:t>
      </w:r>
      <w:proofErr w:type="spellEnd"/>
      <w:r>
        <w:rPr>
          <w:rFonts w:eastAsia="Times New Roman"/>
        </w:rPr>
        <w:t xml:space="preserve"> (2023), taking </w:t>
      </w:r>
      <w:proofErr w:type="spellStart"/>
      <w:r>
        <w:rPr>
          <w:rFonts w:eastAsia="Times New Roman"/>
        </w:rPr>
        <w:t>SyRI</w:t>
      </w:r>
      <w:proofErr w:type="spellEnd"/>
      <w:r>
        <w:rPr>
          <w:rFonts w:eastAsia="Times New Roman"/>
        </w:rPr>
        <w:t xml:space="preserve"> as a case, observes that once ex-ante political accountability inside the administrative system fails, subsequent remedy is difficult to achieve completely—consistent with Liver</w:t>
      </w:r>
      <w:r>
        <w:rPr>
          <w:rFonts w:eastAsia="Times New Roman"/>
        </w:rPr>
        <w:t xml:space="preserve">more’s friction thesis, yet also exposing a problem: without the court, nothing would actually have happened on </w:t>
      </w:r>
      <w:proofErr w:type="spellStart"/>
      <w:r>
        <w:rPr>
          <w:rFonts w:eastAsia="Times New Roman"/>
        </w:rPr>
        <w:t>SyRI’s</w:t>
      </w:r>
      <w:proofErr w:type="spellEnd"/>
      <w:r>
        <w:rPr>
          <w:rFonts w:eastAsia="Times New Roman"/>
        </w:rPr>
        <w:t xml:space="preserve"> accountability chain—closer to a genuine accountability vacuum than AFST’s “cannot be determined.”</w:t>
      </w:r>
    </w:p>
    <w:p w:rsidR="00751D35" w:rsidRDefault="008C3E62">
      <w:pPr>
        <w:spacing w:after="200"/>
        <w:ind w:firstLine="480"/>
      </w:pPr>
      <w:r>
        <w:rPr>
          <w:rFonts w:eastAsia="Times New Roman"/>
        </w:rPr>
        <w:t xml:space="preserve">Third, the </w:t>
      </w:r>
      <w:proofErr w:type="spellStart"/>
      <w:r>
        <w:rPr>
          <w:rFonts w:eastAsia="Times New Roman"/>
        </w:rPr>
        <w:t>Robodebt</w:t>
      </w:r>
      <w:proofErr w:type="spellEnd"/>
      <w:r>
        <w:rPr>
          <w:rFonts w:eastAsia="Times New Roman"/>
        </w:rPr>
        <w:t xml:space="preserve"> type—spillover tra</w:t>
      </w:r>
      <w:r>
        <w:rPr>
          <w:rFonts w:eastAsia="Times New Roman"/>
        </w:rPr>
        <w:t xml:space="preserve">vels through inversion of the burden of proof, the most severe erosion of justice. </w:t>
      </w:r>
      <w:proofErr w:type="spellStart"/>
      <w:r>
        <w:rPr>
          <w:rFonts w:eastAsia="Times New Roman"/>
        </w:rPr>
        <w:t>Robodebt’s</w:t>
      </w:r>
      <w:proofErr w:type="spellEnd"/>
      <w:r>
        <w:rPr>
          <w:rFonts w:eastAsia="Times New Roman"/>
        </w:rPr>
        <w:t xml:space="preserve"> D2 collapses completely (C1-5 and C1-6 both 0), meaning that the statistical framing of income averaging was never examined for case-level injustice. More critica</w:t>
      </w:r>
      <w:r>
        <w:rPr>
          <w:rFonts w:eastAsia="Times New Roman"/>
        </w:rPr>
        <w:t>l is the manner of breakage in the reason chain: ordinary complaint channels did exist, yet the burden of proof was shifted onto the affected—citizens had to prove that the agency’s presumed income was wrong, rather than the agency having to prove that the</w:t>
      </w:r>
      <w:r>
        <w:rPr>
          <w:rFonts w:eastAsia="Times New Roman"/>
        </w:rPr>
        <w:t xml:space="preserve"> presumption was reasonable. This is not merely accountability failure; front-end procedural </w:t>
      </w:r>
      <w:r>
        <w:rPr>
          <w:rFonts w:eastAsia="Times New Roman"/>
        </w:rPr>
        <w:lastRenderedPageBreak/>
        <w:t>injustice is directly transferred as the individual burden of the victim, and accountability (C1-12=0) therefore never even produced “ex-post correction” until the</w:t>
      </w:r>
      <w:r>
        <w:rPr>
          <w:rFonts w:eastAsia="Times New Roman"/>
        </w:rPr>
        <w:t xml:space="preserve"> Royal Commission intervened and exposed the scheme (Royal Commission into the </w:t>
      </w:r>
      <w:proofErr w:type="spellStart"/>
      <w:r>
        <w:rPr>
          <w:rFonts w:eastAsia="Times New Roman"/>
        </w:rPr>
        <w:t>Robodebt</w:t>
      </w:r>
      <w:proofErr w:type="spellEnd"/>
      <w:r>
        <w:rPr>
          <w:rFonts w:eastAsia="Times New Roman"/>
        </w:rPr>
        <w:t xml:space="preserve"> Scheme, 2023). Carney (2019) was among the first to point out that </w:t>
      </w:r>
      <w:proofErr w:type="spellStart"/>
      <w:r>
        <w:rPr>
          <w:rFonts w:eastAsia="Times New Roman"/>
        </w:rPr>
        <w:t>Robodebt’s</w:t>
      </w:r>
      <w:proofErr w:type="spellEnd"/>
      <w:r>
        <w:rPr>
          <w:rFonts w:eastAsia="Times New Roman"/>
        </w:rPr>
        <w:t xml:space="preserve"> fundamental pathology lay in the subversion of the rule of law and due process—the adminis</w:t>
      </w:r>
      <w:r>
        <w:rPr>
          <w:rFonts w:eastAsia="Times New Roman"/>
        </w:rPr>
        <w:t>trative agency adopted “income averaging” as a presumptive fact without clear legislative authorization and structurally shifted the burden of verification onto disadvantaged citizens, furnishing solid administrative-law theoretical support for the C1-13 (</w:t>
      </w:r>
      <w:r>
        <w:rPr>
          <w:rFonts w:eastAsia="Times New Roman"/>
        </w:rPr>
        <w:t>allocation of the burden of proof) proposed in this paper. The harm of inverted burden of proof can also be characterized through Fricker’s (2007) concept of “epistemic injustice”: when the institution presupposes that the statements of the affected are in</w:t>
      </w:r>
      <w:r>
        <w:rPr>
          <w:rFonts w:eastAsia="Times New Roman"/>
        </w:rPr>
        <w:t>herently less credible and that they must first prove the agency wrong, this is both a form of “testimonial injustice”—the speaker’s credibility is structurally discounted—and implies “hermeneutical injustice”—the affected often lack the technical vocabula</w:t>
      </w:r>
      <w:r>
        <w:rPr>
          <w:rFonts w:eastAsia="Times New Roman"/>
        </w:rPr>
        <w:t>ry and resources needed to challenge statistical framing, so that “how to point out where the problem lies” itself becomes a deprived capacity.</w:t>
      </w:r>
    </w:p>
    <w:p w:rsidR="00751D35" w:rsidRDefault="008C3E62">
      <w:pPr>
        <w:pStyle w:val="2"/>
      </w:pPr>
      <w:r>
        <w:t>5. Summary</w:t>
      </w:r>
    </w:p>
    <w:p w:rsidR="00751D35" w:rsidRDefault="008C3E62">
      <w:pPr>
        <w:spacing w:after="200"/>
        <w:ind w:firstLine="480"/>
      </w:pPr>
      <w:r>
        <w:rPr>
          <w:rFonts w:eastAsia="Times New Roman"/>
        </w:rPr>
        <w:t>②’s dual-axis diagnosis already indicated that “P1 and C1 must be presented side by side”; this paper</w:t>
      </w:r>
      <w:r>
        <w:rPr>
          <w:rFonts w:eastAsia="Times New Roman"/>
        </w:rPr>
        <w:t xml:space="preserve"> adds one further sentence on that foundation: looking only at the C1 overall average makes AFST appear to “perform best” (3.00), yet the four-value perspective shows that what remains unknown in AFST is precisely the most critical point—“whether front-end</w:t>
      </w:r>
      <w:r>
        <w:rPr>
          <w:rFonts w:eastAsia="Times New Roman"/>
        </w:rPr>
        <w:t xml:space="preserve"> justice has been quietly replaced by case-level review”—a diagnostic gap invisible in the C1 overall average score but emerging once the analysis is disaggregated to the level of the four values, and the concrete marginal contribution of this paper relati</w:t>
      </w:r>
      <w:r>
        <w:rPr>
          <w:rFonts w:eastAsia="Times New Roman"/>
        </w:rPr>
        <w:t>ve to ②.</w:t>
      </w:r>
    </w:p>
    <w:p w:rsidR="00751D35" w:rsidRDefault="008C3E62">
      <w:pPr>
        <w:pStyle w:val="1"/>
      </w:pPr>
      <w:r>
        <w:t>V. Institutional Pathways: Concrete Responses Tailored to the Three Spillover Mechanisms</w:t>
      </w:r>
    </w:p>
    <w:p w:rsidR="00751D35" w:rsidRDefault="008C3E62">
      <w:pPr>
        <w:pStyle w:val="2"/>
      </w:pPr>
      <w:r>
        <w:t>1. Tailored rather than Checklist</w:t>
      </w:r>
    </w:p>
    <w:p w:rsidR="00751D35" w:rsidRDefault="008C3E62">
      <w:pPr>
        <w:spacing w:after="200"/>
        <w:ind w:firstLine="480"/>
      </w:pPr>
      <w:r>
        <w:rPr>
          <w:rFonts w:eastAsia="Times New Roman"/>
        </w:rPr>
        <w:t xml:space="preserve">Section IV identified three different mechanisms of value spillover (AFST’s review misalignment, </w:t>
      </w:r>
      <w:proofErr w:type="spellStart"/>
      <w:r>
        <w:rPr>
          <w:rFonts w:eastAsia="Times New Roman"/>
        </w:rPr>
        <w:t>SyRI’s</w:t>
      </w:r>
      <w:proofErr w:type="spellEnd"/>
      <w:r>
        <w:rPr>
          <w:rFonts w:eastAsia="Times New Roman"/>
        </w:rPr>
        <w:t xml:space="preserve"> technical </w:t>
      </w:r>
      <w:proofErr w:type="spellStart"/>
      <w:r>
        <w:rPr>
          <w:rFonts w:eastAsia="Times New Roman"/>
        </w:rPr>
        <w:t>inexplaina</w:t>
      </w:r>
      <w:r>
        <w:rPr>
          <w:rFonts w:eastAsia="Times New Roman"/>
        </w:rPr>
        <w:t>bility</w:t>
      </w:r>
      <w:proofErr w:type="spellEnd"/>
      <w:r>
        <w:rPr>
          <w:rFonts w:eastAsia="Times New Roman"/>
        </w:rPr>
        <w:t xml:space="preserve">, and </w:t>
      </w:r>
      <w:proofErr w:type="spellStart"/>
      <w:r>
        <w:rPr>
          <w:rFonts w:eastAsia="Times New Roman"/>
        </w:rPr>
        <w:t>Robodebt’s</w:t>
      </w:r>
      <w:proofErr w:type="spellEnd"/>
      <w:r>
        <w:rPr>
          <w:rFonts w:eastAsia="Times New Roman"/>
        </w:rPr>
        <w:t xml:space="preserve"> inversion of the burden of proof). Institutional pathways cannot be a one-size-fits-all checklist; they must be tailored one by one—otherwise one falls back into the checklist-style path of “insufficient transparency, therefore discl</w:t>
      </w:r>
      <w:r>
        <w:rPr>
          <w:rFonts w:eastAsia="Times New Roman"/>
        </w:rPr>
        <w:t>ose more documents,” precisely the object this paper has criticized from the outset.</w:t>
      </w:r>
    </w:p>
    <w:p w:rsidR="00751D35" w:rsidRDefault="008C3E62">
      <w:pPr>
        <w:pStyle w:val="2"/>
      </w:pPr>
      <w:r>
        <w:t>2. Mechanism One (AFST Type): Institutionally Separating Case-Level Review from Framing Contestation</w:t>
      </w:r>
    </w:p>
    <w:p w:rsidR="00751D35" w:rsidRDefault="008C3E62">
      <w:pPr>
        <w:spacing w:after="200"/>
        <w:ind w:firstLine="480"/>
      </w:pPr>
      <w:r>
        <w:rPr>
          <w:rFonts w:eastAsia="Times New Roman"/>
        </w:rPr>
        <w:t>AFST’s problem is not the absence of review but that review may addres</w:t>
      </w:r>
      <w:r>
        <w:rPr>
          <w:rFonts w:eastAsia="Times New Roman"/>
        </w:rPr>
        <w:t xml:space="preserve">s only “whether this child should be flagged,” not “whether the risk-classification model itself should be designed this way.” Institutional response must clearly separate the two layers rather than </w:t>
      </w:r>
      <w:proofErr w:type="gramStart"/>
      <w:r>
        <w:rPr>
          <w:rFonts w:eastAsia="Times New Roman"/>
        </w:rPr>
        <w:t>assuming that</w:t>
      </w:r>
      <w:proofErr w:type="gramEnd"/>
      <w:r>
        <w:rPr>
          <w:rFonts w:eastAsia="Times New Roman"/>
        </w:rPr>
        <w:t xml:space="preserve"> review naturally covers framing contestatio</w:t>
      </w:r>
      <w:r>
        <w:rPr>
          <w:rFonts w:eastAsia="Times New Roman"/>
        </w:rPr>
        <w:t>n: at the procurement and go-live review stages, require agencies to state in writing whether the statutory scope of case-level review includes the right to contest proxy variables and thresholds themselves; if not, a separate framing-level contestation ch</w:t>
      </w:r>
      <w:r>
        <w:rPr>
          <w:rFonts w:eastAsia="Times New Roman"/>
        </w:rPr>
        <w:t xml:space="preserve">annel must be established. Corresponding to the discretion-boundary audit among </w:t>
      </w:r>
      <w:r>
        <w:rPr>
          <w:rFonts w:eastAsia="Times New Roman"/>
        </w:rPr>
        <w:lastRenderedPageBreak/>
        <w:t xml:space="preserve">the seven governance audits, check whether the discretionary boundary of “human review” stops at case outcomes or can reach model design itself. This step requires no addition </w:t>
      </w:r>
      <w:r>
        <w:rPr>
          <w:rFonts w:eastAsia="Times New Roman"/>
        </w:rPr>
        <w:t>to the parent-framework elements; it requires only that the scoring guidance for existing C1-11 stipulate that “individual complaint” and “framing contestation” may not substitute for each other in scoring.</w:t>
      </w:r>
    </w:p>
    <w:p w:rsidR="00751D35" w:rsidRDefault="008C3E62">
      <w:pPr>
        <w:pStyle w:val="2"/>
      </w:pPr>
      <w:r>
        <w:t>3. Mechanism Two (</w:t>
      </w:r>
      <w:proofErr w:type="spellStart"/>
      <w:r>
        <w:t>SyRI</w:t>
      </w:r>
      <w:proofErr w:type="spellEnd"/>
      <w:r>
        <w:t xml:space="preserve"> Type): Making </w:t>
      </w:r>
      <w:proofErr w:type="spellStart"/>
      <w:r>
        <w:t>Explainabili</w:t>
      </w:r>
      <w:r>
        <w:t>ty</w:t>
      </w:r>
      <w:proofErr w:type="spellEnd"/>
      <w:r>
        <w:t xml:space="preserve"> an Ex-Ante Threshold</w:t>
      </w:r>
    </w:p>
    <w:p w:rsidR="00751D35" w:rsidRDefault="008C3E62">
      <w:pPr>
        <w:spacing w:after="200"/>
        <w:ind w:firstLine="480"/>
      </w:pPr>
      <w:proofErr w:type="spellStart"/>
      <w:r>
        <w:rPr>
          <w:rFonts w:eastAsia="Times New Roman"/>
        </w:rPr>
        <w:t>SyRI’s</w:t>
      </w:r>
      <w:proofErr w:type="spellEnd"/>
      <w:r>
        <w:rPr>
          <w:rFonts w:eastAsia="Times New Roman"/>
        </w:rPr>
        <w:t xml:space="preserve"> real problem is that even if the agency wished to state reasons, it could not produce </w:t>
      </w:r>
      <w:proofErr w:type="spellStart"/>
      <w:r>
        <w:rPr>
          <w:rFonts w:eastAsia="Times New Roman"/>
        </w:rPr>
        <w:t>reconstructable</w:t>
      </w:r>
      <w:proofErr w:type="spellEnd"/>
      <w:r>
        <w:rPr>
          <w:rFonts w:eastAsia="Times New Roman"/>
        </w:rPr>
        <w:t xml:space="preserve"> framing logic. Institutional response should therefore be: in contractual control, procurement contracts should incorporate</w:t>
      </w:r>
      <w:r>
        <w:rPr>
          <w:rFonts w:eastAsia="Times New Roman"/>
        </w:rPr>
        <w:t xml:space="preserve"> “</w:t>
      </w:r>
      <w:proofErr w:type="spellStart"/>
      <w:r>
        <w:rPr>
          <w:rFonts w:eastAsia="Times New Roman"/>
        </w:rPr>
        <w:t>reconstructability</w:t>
      </w:r>
      <w:proofErr w:type="spellEnd"/>
      <w:r>
        <w:rPr>
          <w:rFonts w:eastAsia="Times New Roman"/>
        </w:rPr>
        <w:t xml:space="preserve"> of framing logic” as an acceptance condition, rather than requiring only algorithmic-fairness test reports—fairness tests can pass while framing logic remains non-</w:t>
      </w:r>
      <w:proofErr w:type="spellStart"/>
      <w:r>
        <w:rPr>
          <w:rFonts w:eastAsia="Times New Roman"/>
        </w:rPr>
        <w:t>reconstructable</w:t>
      </w:r>
      <w:proofErr w:type="spellEnd"/>
      <w:r>
        <w:rPr>
          <w:rFonts w:eastAsia="Times New Roman"/>
        </w:rPr>
        <w:t xml:space="preserve"> (precisely the combination </w:t>
      </w:r>
      <w:proofErr w:type="spellStart"/>
      <w:r>
        <w:rPr>
          <w:rFonts w:eastAsia="Times New Roman"/>
        </w:rPr>
        <w:t>SyRI</w:t>
      </w:r>
      <w:proofErr w:type="spellEnd"/>
      <w:r>
        <w:rPr>
          <w:rFonts w:eastAsia="Times New Roman"/>
        </w:rPr>
        <w:t xml:space="preserve"> presents). Corresponding</w:t>
      </w:r>
      <w:r>
        <w:rPr>
          <w:rFonts w:eastAsia="Times New Roman"/>
        </w:rPr>
        <w:t xml:space="preserve"> to the organizational-capacity audit among the seven governance audits, check whether the agency itself has the capacity to require vendors to deliver </w:t>
      </w:r>
      <w:proofErr w:type="spellStart"/>
      <w:r>
        <w:rPr>
          <w:rFonts w:eastAsia="Times New Roman"/>
        </w:rPr>
        <w:t>reconstructable</w:t>
      </w:r>
      <w:proofErr w:type="spellEnd"/>
      <w:r>
        <w:rPr>
          <w:rFonts w:eastAsia="Times New Roman"/>
        </w:rPr>
        <w:t xml:space="preserve"> logic documentation, rather than being led by the vendor’s technical monopoly. The polic</w:t>
      </w:r>
      <w:r>
        <w:rPr>
          <w:rFonts w:eastAsia="Times New Roman"/>
        </w:rPr>
        <w:t xml:space="preserve">y implication is that the cost of ex-post judicial correction is too high to serve as a routine mechanism; </w:t>
      </w:r>
      <w:proofErr w:type="spellStart"/>
      <w:r>
        <w:rPr>
          <w:rFonts w:eastAsia="Times New Roman"/>
        </w:rPr>
        <w:t>reconstructability</w:t>
      </w:r>
      <w:proofErr w:type="spellEnd"/>
      <w:r>
        <w:rPr>
          <w:rFonts w:eastAsia="Times New Roman"/>
        </w:rPr>
        <w:t xml:space="preserve"> must be moved forward to the acceptance gate before deployment.</w:t>
      </w:r>
    </w:p>
    <w:p w:rsidR="00751D35" w:rsidRDefault="008C3E62">
      <w:pPr>
        <w:spacing w:after="200"/>
        <w:ind w:firstLine="480"/>
      </w:pPr>
      <w:r>
        <w:rPr>
          <w:rFonts w:eastAsia="Times New Roman"/>
        </w:rPr>
        <w:t xml:space="preserve">This resonates with Taiwan’s risk-classification framework, which </w:t>
      </w:r>
      <w:r>
        <w:rPr>
          <w:rFonts w:eastAsia="Times New Roman"/>
        </w:rPr>
        <w:t xml:space="preserve">defines “lack of transparency or </w:t>
      </w:r>
      <w:proofErr w:type="spellStart"/>
      <w:r>
        <w:rPr>
          <w:rFonts w:eastAsia="Times New Roman"/>
        </w:rPr>
        <w:t>explainability</w:t>
      </w:r>
      <w:proofErr w:type="spellEnd"/>
      <w:r>
        <w:rPr>
          <w:rFonts w:eastAsia="Times New Roman"/>
        </w:rPr>
        <w:t xml:space="preserve">” as a risk that may impede legal compliance supervision, the pursuit of responsibility, and the correction of errors (Ministry of Digital Affairs, 2026). Yet this paper’s claim is narrower: </w:t>
      </w:r>
      <w:proofErr w:type="spellStart"/>
      <w:r>
        <w:rPr>
          <w:rFonts w:eastAsia="Times New Roman"/>
        </w:rPr>
        <w:t>explainability</w:t>
      </w:r>
      <w:proofErr w:type="spellEnd"/>
      <w:r>
        <w:rPr>
          <w:rFonts w:eastAsia="Times New Roman"/>
        </w:rPr>
        <w:t xml:space="preserve"> is </w:t>
      </w:r>
      <w:r>
        <w:rPr>
          <w:rFonts w:eastAsia="Times New Roman"/>
        </w:rPr>
        <w:t xml:space="preserve">not an explanatory document to be supplied after deployment, but must be tested, before procurement, acceptance, and go-live, as to whether it is </w:t>
      </w:r>
      <w:proofErr w:type="gramStart"/>
      <w:r>
        <w:rPr>
          <w:rFonts w:eastAsia="Times New Roman"/>
        </w:rPr>
        <w:t>sufficient</w:t>
      </w:r>
      <w:proofErr w:type="gramEnd"/>
      <w:r>
        <w:rPr>
          <w:rFonts w:eastAsia="Times New Roman"/>
        </w:rPr>
        <w:t xml:space="preserve"> to support the </w:t>
      </w:r>
      <w:proofErr w:type="spellStart"/>
      <w:r>
        <w:rPr>
          <w:rFonts w:eastAsia="Times New Roman"/>
        </w:rPr>
        <w:t>reconstructability</w:t>
      </w:r>
      <w:proofErr w:type="spellEnd"/>
      <w:r>
        <w:rPr>
          <w:rFonts w:eastAsia="Times New Roman"/>
        </w:rPr>
        <w:t xml:space="preserve"> of the reason chain.</w:t>
      </w:r>
    </w:p>
    <w:p w:rsidR="00751D35" w:rsidRDefault="008C3E62">
      <w:pPr>
        <w:pStyle w:val="2"/>
      </w:pPr>
      <w:r>
        <w:t>4. Mechanism Three (</w:t>
      </w:r>
      <w:proofErr w:type="spellStart"/>
      <w:r>
        <w:t>Robodebt</w:t>
      </w:r>
      <w:proofErr w:type="spellEnd"/>
      <w:r>
        <w:t xml:space="preserve"> Type): Provisio</w:t>
      </w:r>
      <w:r>
        <w:t>nal Proposal of C1-13 (Allocation of the Burden of Proof)</w:t>
      </w:r>
    </w:p>
    <w:p w:rsidR="00751D35" w:rsidRDefault="008C3E62">
      <w:pPr>
        <w:spacing w:after="200"/>
        <w:ind w:firstLine="480"/>
      </w:pPr>
      <w:r>
        <w:rPr>
          <w:rFonts w:eastAsia="Times New Roman"/>
        </w:rPr>
        <w:t>This is the most severe of the three mechanisms, because it is not merely informational asymmetry but the structural transfer of the cost of error correction onto the victim. Among the existing twel</w:t>
      </w:r>
      <w:r>
        <w:rPr>
          <w:rFonts w:eastAsia="Times New Roman"/>
        </w:rPr>
        <w:t>ve C1 indicators, the closest are C1-5 (inclusion/exclusion standards) and C1-11 (framing-contestation channel), yet neither directly asks “when contestation occurs, who bears the burden of proof.” This paper hereby states explicitly: it recommends that, o</w:t>
      </w:r>
      <w:r>
        <w:rPr>
          <w:rFonts w:eastAsia="Times New Roman"/>
        </w:rPr>
        <w:t>utside the existing twelve C1 indicators, a checking sub-indicator be added (provisionally named C1-13, allocation of the burden of proof) to examine, when framing contestation occurs, whether the burden of proof falls on the agency or on the affected pers</w:t>
      </w:r>
      <w:r>
        <w:rPr>
          <w:rFonts w:eastAsia="Times New Roman"/>
        </w:rPr>
        <w:t>on; this is a preliminary suggestion based on case operations, has not undergone the Delphi calibration procedure of ②, is not included in the formal C1 average, and serves only as an observation item and hypothesis to be verified before formalization. Ins</w:t>
      </w:r>
      <w:r>
        <w:rPr>
          <w:rFonts w:eastAsia="Times New Roman"/>
        </w:rPr>
        <w:t>titutional response is: in the pre-go-live C1 correction checklist, explicitly require agencies to record on which side the burden of proof is presumed to fall if affected persons contest the framing; corresponding to the democratic-accountability audit am</w:t>
      </w:r>
      <w:r>
        <w:rPr>
          <w:rFonts w:eastAsia="Times New Roman"/>
        </w:rPr>
        <w:t>ong the seven governance audits, check whether contestation procedures in fact require affected persons to prove that the agency’s framing is erroneous.</w:t>
      </w:r>
    </w:p>
    <w:p w:rsidR="00751D35" w:rsidRDefault="008C3E62">
      <w:pPr>
        <w:spacing w:after="200"/>
        <w:ind w:firstLine="480"/>
      </w:pPr>
      <w:r>
        <w:rPr>
          <w:rFonts w:eastAsia="Times New Roman"/>
        </w:rPr>
        <w:t xml:space="preserve">C1-13 is provisionally placed on the situational-construction chain not </w:t>
      </w:r>
      <w:proofErr w:type="gramStart"/>
      <w:r>
        <w:rPr>
          <w:rFonts w:eastAsia="Times New Roman"/>
        </w:rPr>
        <w:t>in order to</w:t>
      </w:r>
      <w:proofErr w:type="gramEnd"/>
      <w:r>
        <w:rPr>
          <w:rFonts w:eastAsia="Times New Roman"/>
        </w:rPr>
        <w:t xml:space="preserve"> fold the reason cha</w:t>
      </w:r>
      <w:r>
        <w:rPr>
          <w:rFonts w:eastAsia="Times New Roman"/>
        </w:rPr>
        <w:t xml:space="preserve">in or the responsibility chain into C1. The reason is that the presumption of the burden of proof first determines which data, presumptions, and risk classifications may be treated as “provisionally established” administrative facts, and who must bear the </w:t>
      </w:r>
      <w:r>
        <w:rPr>
          <w:rFonts w:eastAsia="Times New Roman"/>
        </w:rPr>
        <w:t xml:space="preserve">cost of overturning them; </w:t>
      </w:r>
      <w:r>
        <w:rPr>
          <w:rFonts w:eastAsia="Times New Roman"/>
        </w:rPr>
        <w:lastRenderedPageBreak/>
        <w:t>the root of this normative setting remains in front-end framing. Once that presumption operates on individual cases, the decision-maker’s inability to state reasons or the agency’s failure to correct harm constitutes subsequent pe</w:t>
      </w:r>
      <w:r>
        <w:rPr>
          <w:rFonts w:eastAsia="Times New Roman"/>
        </w:rPr>
        <w:t>rformance of the reason chain and the responsibility chain respectively. C1-13 therefore observes only the starting point of front-end responsibility allocation and does not replace the existing audits of the latter two chains.</w:t>
      </w:r>
    </w:p>
    <w:p w:rsidR="00751D35" w:rsidRDefault="008C3E62">
      <w:pPr>
        <w:pStyle w:val="2"/>
      </w:pPr>
      <w:r>
        <w:t>5. Cross-Case Common Recommendations</w:t>
      </w:r>
    </w:p>
    <w:p w:rsidR="00751D35" w:rsidRDefault="008C3E62">
      <w:pPr>
        <w:spacing w:after="200"/>
        <w:ind w:firstLine="480"/>
      </w:pPr>
      <w:r>
        <w:rPr>
          <w:rFonts w:eastAsia="Times New Roman"/>
        </w:rPr>
        <w:t xml:space="preserve">The common policy implication of the three cases is that the cost of judicial and oversight intervention far exceeds the cost of pre-deployment correction. </w:t>
      </w:r>
      <w:proofErr w:type="spellStart"/>
      <w:r>
        <w:rPr>
          <w:rFonts w:eastAsia="Times New Roman"/>
        </w:rPr>
        <w:t>SyRI</w:t>
      </w:r>
      <w:proofErr w:type="spellEnd"/>
      <w:r>
        <w:rPr>
          <w:rFonts w:eastAsia="Times New Roman"/>
        </w:rPr>
        <w:t xml:space="preserve"> relied on the court, </w:t>
      </w:r>
      <w:proofErr w:type="spellStart"/>
      <w:r>
        <w:rPr>
          <w:rFonts w:eastAsia="Times New Roman"/>
        </w:rPr>
        <w:t>Robodebt</w:t>
      </w:r>
      <w:proofErr w:type="spellEnd"/>
      <w:r>
        <w:rPr>
          <w:rFonts w:eastAsia="Times New Roman"/>
        </w:rPr>
        <w:t xml:space="preserve"> on a Royal Commission, AFST </w:t>
      </w:r>
      <w:r>
        <w:rPr>
          <w:rFonts w:eastAsia="Times New Roman"/>
        </w:rPr>
        <w:t>has not yet seen equivalent external intervention—this echoes ②’s concluding stance of “ex-ante warning and guidance”; this paper supplements the following table on that foundation.</w:t>
      </w:r>
    </w:p>
    <w:p w:rsidR="00751D35" w:rsidRDefault="008C3E62">
      <w:pPr>
        <w:spacing w:before="240" w:after="120"/>
        <w:jc w:val="center"/>
      </w:pPr>
      <w:r>
        <w:rPr>
          <w:rFonts w:eastAsia="Times New Roman"/>
          <w:b/>
          <w:bCs/>
          <w:sz w:val="20"/>
          <w:szCs w:val="20"/>
        </w:rPr>
        <w:t xml:space="preserve">Table </w:t>
      </w:r>
      <w:proofErr w:type="gramStart"/>
      <w:r>
        <w:rPr>
          <w:rFonts w:eastAsia="Times New Roman"/>
          <w:b/>
          <w:bCs/>
          <w:sz w:val="20"/>
          <w:szCs w:val="20"/>
        </w:rPr>
        <w:t>5.1  Ex</w:t>
      </w:r>
      <w:proofErr w:type="gramEnd"/>
      <w:r>
        <w:rPr>
          <w:rFonts w:eastAsia="Times New Roman"/>
          <w:b/>
          <w:bCs/>
          <w:sz w:val="20"/>
          <w:szCs w:val="20"/>
        </w:rPr>
        <w:t>-Post Correction Costs and Pre-Deployment Correction Instrume</w:t>
      </w:r>
      <w:r>
        <w:rPr>
          <w:rFonts w:eastAsia="Times New Roman"/>
          <w:b/>
          <w:bCs/>
          <w:sz w:val="20"/>
          <w:szCs w:val="20"/>
        </w:rPr>
        <w:t>nts for the Three Spillover Mechanisms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3280"/>
        <w:gridCol w:w="3280"/>
      </w:tblGrid>
      <w:tr w:rsidR="00751D35">
        <w:tblPrEx>
          <w:tblCellMar>
            <w:top w:w="0" w:type="dxa"/>
            <w:bottom w:w="0" w:type="dxa"/>
          </w:tblCellMar>
        </w:tblPrEx>
        <w:tc>
          <w:tcPr>
            <w:tcW w:w="2800" w:type="dxa"/>
            <w:tcBorders>
              <w:top w:val="single" w:sz="1" w:space="0" w:color="333333"/>
              <w:left w:val="single" w:sz="1" w:space="0" w:color="333333"/>
              <w:bottom w:val="single" w:sz="1" w:space="0" w:color="333333"/>
              <w:right w:val="single" w:sz="1" w:space="0" w:color="333333"/>
            </w:tcBorders>
            <w:shd w:val="clear" w:color="auto" w:fill="D9E2F3"/>
            <w:tcMar>
              <w:top w:w="60" w:type="dxa"/>
              <w:left w:w="80" w:type="dxa"/>
              <w:bottom w:w="60" w:type="dxa"/>
              <w:right w:w="80" w:type="dxa"/>
            </w:tcMar>
          </w:tcPr>
          <w:p w:rsidR="00751D35" w:rsidRDefault="008C3E62">
            <w:pPr>
              <w:jc w:val="center"/>
            </w:pPr>
            <w:r>
              <w:rPr>
                <w:rFonts w:eastAsia="Times New Roman"/>
                <w:b/>
                <w:bCs/>
                <w:sz w:val="18"/>
                <w:szCs w:val="18"/>
              </w:rPr>
              <w:t>Spillover Mechanism</w:t>
            </w:r>
          </w:p>
        </w:tc>
        <w:tc>
          <w:tcPr>
            <w:tcW w:w="3280" w:type="dxa"/>
            <w:tcBorders>
              <w:top w:val="single" w:sz="1" w:space="0" w:color="333333"/>
              <w:left w:val="single" w:sz="1" w:space="0" w:color="333333"/>
              <w:bottom w:val="single" w:sz="1" w:space="0" w:color="333333"/>
              <w:right w:val="single" w:sz="1" w:space="0" w:color="333333"/>
            </w:tcBorders>
            <w:shd w:val="clear" w:color="auto" w:fill="D9E2F3"/>
            <w:tcMar>
              <w:top w:w="60" w:type="dxa"/>
              <w:left w:w="80" w:type="dxa"/>
              <w:bottom w:w="60" w:type="dxa"/>
              <w:right w:w="80" w:type="dxa"/>
            </w:tcMar>
          </w:tcPr>
          <w:p w:rsidR="00751D35" w:rsidRDefault="008C3E62">
            <w:pPr>
              <w:jc w:val="center"/>
            </w:pPr>
            <w:r>
              <w:rPr>
                <w:rFonts w:eastAsia="Times New Roman"/>
                <w:b/>
                <w:bCs/>
                <w:sz w:val="18"/>
                <w:szCs w:val="18"/>
              </w:rPr>
              <w:t>Ex-Post Correction Cost (Already Incurred)</w:t>
            </w:r>
          </w:p>
        </w:tc>
        <w:tc>
          <w:tcPr>
            <w:tcW w:w="3280" w:type="dxa"/>
            <w:tcBorders>
              <w:top w:val="single" w:sz="1" w:space="0" w:color="333333"/>
              <w:left w:val="single" w:sz="1" w:space="0" w:color="333333"/>
              <w:bottom w:val="single" w:sz="1" w:space="0" w:color="333333"/>
              <w:right w:val="single" w:sz="1" w:space="0" w:color="333333"/>
            </w:tcBorders>
            <w:shd w:val="clear" w:color="auto" w:fill="D9E2F3"/>
            <w:tcMar>
              <w:top w:w="60" w:type="dxa"/>
              <w:left w:w="80" w:type="dxa"/>
              <w:bottom w:w="60" w:type="dxa"/>
              <w:right w:w="80" w:type="dxa"/>
            </w:tcMar>
          </w:tcPr>
          <w:p w:rsidR="00751D35" w:rsidRDefault="008C3E62">
            <w:pPr>
              <w:jc w:val="center"/>
            </w:pPr>
            <w:r>
              <w:rPr>
                <w:rFonts w:eastAsia="Times New Roman"/>
                <w:b/>
                <w:bCs/>
                <w:sz w:val="18"/>
                <w:szCs w:val="18"/>
              </w:rPr>
              <w:t>Pre-Deployment Correction Instrument (This Paper’s Recommendation)</w:t>
            </w:r>
          </w:p>
        </w:tc>
      </w:tr>
      <w:tr w:rsidR="00751D35">
        <w:tblPrEx>
          <w:tblCellMar>
            <w:top w:w="0" w:type="dxa"/>
            <w:bottom w:w="0" w:type="dxa"/>
          </w:tblCellMar>
        </w:tblPrEx>
        <w:tc>
          <w:tcPr>
            <w:tcW w:w="280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sz w:val="18"/>
                <w:szCs w:val="18"/>
              </w:rPr>
              <w:t>Review misalignment (AFST type)</w:t>
            </w:r>
          </w:p>
        </w:tc>
        <w:tc>
          <w:tcPr>
            <w:tcW w:w="328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sz w:val="18"/>
                <w:szCs w:val="18"/>
              </w:rPr>
              <w:t>Not yet incurred; status under observation</w:t>
            </w:r>
          </w:p>
        </w:tc>
        <w:tc>
          <w:tcPr>
            <w:tcW w:w="328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sz w:val="18"/>
                <w:szCs w:val="18"/>
              </w:rPr>
              <w:t>Legislative/contractual clauses separating framing contestation from individual complaint</w:t>
            </w:r>
          </w:p>
        </w:tc>
      </w:tr>
      <w:tr w:rsidR="00751D35">
        <w:tblPrEx>
          <w:tblCellMar>
            <w:top w:w="0" w:type="dxa"/>
            <w:bottom w:w="0" w:type="dxa"/>
          </w:tblCellMar>
        </w:tblPrEx>
        <w:tc>
          <w:tcPr>
            <w:tcW w:w="280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sz w:val="18"/>
                <w:szCs w:val="18"/>
              </w:rPr>
              <w:t xml:space="preserve">Technical </w:t>
            </w:r>
            <w:proofErr w:type="spellStart"/>
            <w:r>
              <w:rPr>
                <w:rFonts w:eastAsia="Times New Roman"/>
                <w:sz w:val="18"/>
                <w:szCs w:val="18"/>
              </w:rPr>
              <w:t>inexplainability</w:t>
            </w:r>
            <w:proofErr w:type="spellEnd"/>
            <w:r>
              <w:rPr>
                <w:rFonts w:eastAsia="Times New Roman"/>
                <w:sz w:val="18"/>
                <w:szCs w:val="18"/>
              </w:rPr>
              <w:t xml:space="preserve"> (</w:t>
            </w:r>
            <w:proofErr w:type="spellStart"/>
            <w:r>
              <w:rPr>
                <w:rFonts w:eastAsia="Times New Roman"/>
                <w:sz w:val="18"/>
                <w:szCs w:val="18"/>
              </w:rPr>
              <w:t>SyRI</w:t>
            </w:r>
            <w:proofErr w:type="spellEnd"/>
            <w:r>
              <w:rPr>
                <w:rFonts w:eastAsia="Times New Roman"/>
                <w:sz w:val="18"/>
                <w:szCs w:val="18"/>
              </w:rPr>
              <w:t xml:space="preserve"> type)</w:t>
            </w:r>
          </w:p>
        </w:tc>
        <w:tc>
          <w:tcPr>
            <w:tcW w:w="328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sz w:val="18"/>
                <w:szCs w:val="18"/>
              </w:rPr>
              <w:t>Litigation, system discontinuation</w:t>
            </w:r>
          </w:p>
        </w:tc>
        <w:tc>
          <w:tcPr>
            <w:tcW w:w="328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sz w:val="18"/>
                <w:szCs w:val="18"/>
              </w:rPr>
              <w:t xml:space="preserve">Incorporation of </w:t>
            </w:r>
            <w:proofErr w:type="spellStart"/>
            <w:r>
              <w:rPr>
                <w:rFonts w:eastAsia="Times New Roman"/>
                <w:sz w:val="18"/>
                <w:szCs w:val="18"/>
              </w:rPr>
              <w:t>reconstructability</w:t>
            </w:r>
            <w:proofErr w:type="spellEnd"/>
            <w:r>
              <w:rPr>
                <w:rFonts w:eastAsia="Times New Roman"/>
                <w:sz w:val="18"/>
                <w:szCs w:val="18"/>
              </w:rPr>
              <w:t>-of-framing-logic clauses into procurement acceptance</w:t>
            </w:r>
          </w:p>
        </w:tc>
      </w:tr>
      <w:tr w:rsidR="00751D35">
        <w:tblPrEx>
          <w:tblCellMar>
            <w:top w:w="0" w:type="dxa"/>
            <w:bottom w:w="0" w:type="dxa"/>
          </w:tblCellMar>
        </w:tblPrEx>
        <w:tc>
          <w:tcPr>
            <w:tcW w:w="280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sz w:val="18"/>
                <w:szCs w:val="18"/>
              </w:rPr>
              <w:t>Inversion of burden of proof (</w:t>
            </w:r>
            <w:proofErr w:type="spellStart"/>
            <w:r>
              <w:rPr>
                <w:rFonts w:eastAsia="Times New Roman"/>
                <w:sz w:val="18"/>
                <w:szCs w:val="18"/>
              </w:rPr>
              <w:t>Robodebt</w:t>
            </w:r>
            <w:proofErr w:type="spellEnd"/>
            <w:r>
              <w:rPr>
                <w:rFonts w:eastAsia="Times New Roman"/>
                <w:sz w:val="18"/>
                <w:szCs w:val="18"/>
              </w:rPr>
              <w:t xml:space="preserve"> type)</w:t>
            </w:r>
          </w:p>
        </w:tc>
        <w:tc>
          <w:tcPr>
            <w:tcW w:w="328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sz w:val="18"/>
                <w:szCs w:val="18"/>
              </w:rPr>
              <w:t>Royal Commission, class actions</w:t>
            </w:r>
          </w:p>
        </w:tc>
        <w:tc>
          <w:tcPr>
            <w:tcW w:w="3280" w:type="dxa"/>
            <w:tcBorders>
              <w:top w:val="single" w:sz="1" w:space="0" w:color="666666"/>
              <w:left w:val="single" w:sz="1" w:space="0" w:color="666666"/>
              <w:bottom w:val="single" w:sz="1" w:space="0" w:color="666666"/>
              <w:right w:val="single" w:sz="1" w:space="0" w:color="666666"/>
            </w:tcBorders>
            <w:tcMar>
              <w:top w:w="60" w:type="dxa"/>
              <w:left w:w="80" w:type="dxa"/>
              <w:bottom w:w="60" w:type="dxa"/>
              <w:right w:w="80" w:type="dxa"/>
            </w:tcMar>
          </w:tcPr>
          <w:p w:rsidR="00751D35" w:rsidRDefault="008C3E62">
            <w:r>
              <w:rPr>
                <w:rFonts w:eastAsia="Times New Roman"/>
                <w:sz w:val="18"/>
                <w:szCs w:val="18"/>
              </w:rPr>
              <w:t>C1-13 (allocation of burden of proof) as a pre-go-live checking item</w:t>
            </w:r>
          </w:p>
        </w:tc>
      </w:tr>
    </w:tbl>
    <w:p w:rsidR="00751D35" w:rsidRDefault="008C3E62">
      <w:pPr>
        <w:pStyle w:val="2"/>
      </w:pPr>
      <w:r>
        <w:t>6. Reaffirmation of the Division of Labor with the Seven Governance Audits</w:t>
      </w:r>
    </w:p>
    <w:p w:rsidR="00751D35" w:rsidRDefault="008C3E62">
      <w:pPr>
        <w:spacing w:after="200"/>
        <w:ind w:firstLine="480"/>
      </w:pPr>
      <w:r>
        <w:rPr>
          <w:rFonts w:eastAsia="Times New Roman"/>
        </w:rPr>
        <w:t>With respect to Taiwanese policy p</w:t>
      </w:r>
      <w:r>
        <w:rPr>
          <w:rFonts w:eastAsia="Times New Roman"/>
        </w:rPr>
        <w:t xml:space="preserve">ractice, Article 19 of the Artificial Intelligence Basic Act requires government agencies that use AI to perform risk assessments and establish usage rules or internal control mechanisms when executing duties or providing services; the Ministry of Digital </w:t>
      </w:r>
      <w:r>
        <w:rPr>
          <w:rFonts w:eastAsia="Times New Roman"/>
        </w:rPr>
        <w:t>Affairs’ Artificial Intelligence Risk Classification Framework adopts inventory of scenarios, identification, assessment, and response to risk as a common procedure. This paper does not replace that framework with the four chains; rather, it supplies modes</w:t>
      </w:r>
      <w:r>
        <w:rPr>
          <w:rFonts w:eastAsia="Times New Roman"/>
        </w:rPr>
        <w:t xml:space="preserve"> of questioning for high-stakes applications at the stages of procurement, acceptance, and go-live review: whether a framing-level contestation channel is preserved, whether framing logic is </w:t>
      </w:r>
      <w:proofErr w:type="spellStart"/>
      <w:r>
        <w:rPr>
          <w:rFonts w:eastAsia="Times New Roman"/>
        </w:rPr>
        <w:t>reconstructable</w:t>
      </w:r>
      <w:proofErr w:type="spellEnd"/>
      <w:r>
        <w:rPr>
          <w:rFonts w:eastAsia="Times New Roman"/>
        </w:rPr>
        <w:t>, and whether the initial burden of proof and corr</w:t>
      </w:r>
      <w:r>
        <w:rPr>
          <w:rFonts w:eastAsia="Times New Roman"/>
        </w:rPr>
        <w:t>ection when contestation occurs remains with the agency. These three items may serve as reinforcement entry points for existing risk procedures. This also resonates with the statement of the Judicial Reform Foundation (2025) on the passage of the Artificia</w:t>
      </w:r>
      <w:r>
        <w:rPr>
          <w:rFonts w:eastAsia="Times New Roman"/>
        </w:rPr>
        <w:t xml:space="preserve">l Intelligence Basic Act on third reading—the statement notes that the bill as a whole lacks binding substantive-rights clauses and calls for the earliest possible legalization of a “right to explanation of decisions” and a “right to exit decisions (right </w:t>
      </w:r>
      <w:r>
        <w:rPr>
          <w:rFonts w:eastAsia="Times New Roman"/>
        </w:rPr>
        <w:t xml:space="preserve">to human review),” so that affected persons may demand intelligible explanations and resort to human review when AI decisions cause major adverse effects. These two demands correspond respectively to the reason chain and the situational-construction chain </w:t>
      </w:r>
      <w:r>
        <w:rPr>
          <w:rFonts w:eastAsia="Times New Roman"/>
        </w:rPr>
        <w:t xml:space="preserve">of this paper: the right to explanation of decisions requires precisely the capacity of the reason chain to link back to facts and norms; the right to human review presupposes the existence of a framing-level contestation channel (rather than </w:t>
      </w:r>
      <w:r>
        <w:rPr>
          <w:rFonts w:eastAsia="Times New Roman"/>
        </w:rPr>
        <w:lastRenderedPageBreak/>
        <w:t>stopping at c</w:t>
      </w:r>
      <w:r>
        <w:rPr>
          <w:rFonts w:eastAsia="Times New Roman"/>
        </w:rPr>
        <w:t>ase-level review). The three institutional responses and the C1-13 proposal of this paper may be viewed as a concrete attempt to translate this local civil-society demand into pre-go-live checking items on the situational-construction chain.</w:t>
      </w:r>
    </w:p>
    <w:p w:rsidR="00751D35" w:rsidRDefault="008C3E62">
      <w:pPr>
        <w:spacing w:after="200"/>
        <w:ind w:firstLine="480"/>
      </w:pPr>
      <w:r>
        <w:rPr>
          <w:rFonts w:eastAsia="Times New Roman"/>
        </w:rPr>
        <w:t>All institutio</w:t>
      </w:r>
      <w:r>
        <w:rPr>
          <w:rFonts w:eastAsia="Times New Roman"/>
        </w:rPr>
        <w:t>nal responses in this section continue to rely on the existing seven governance audits for their checking basis; no new audit items have been added—the sole addition is C1-13, explicitly marked as an observation item not yet formalized. This restraint is d</w:t>
      </w:r>
      <w:r>
        <w:rPr>
          <w:rFonts w:eastAsia="Times New Roman"/>
        </w:rPr>
        <w:t>eliberate: the overview document has already warned that if different papers each add criterion instruments without mutual cross-reference, they risk being misread as competing scales. This paper therefore compresses the scope of addition to the minimum an</w:t>
      </w:r>
      <w:r>
        <w:rPr>
          <w:rFonts w:eastAsia="Times New Roman"/>
        </w:rPr>
        <w:t xml:space="preserve">d marks the verification status </w:t>
      </w:r>
      <w:proofErr w:type="gramStart"/>
      <w:r>
        <w:rPr>
          <w:rFonts w:eastAsia="Times New Roman"/>
        </w:rPr>
        <w:t>at the moment</w:t>
      </w:r>
      <w:proofErr w:type="gramEnd"/>
      <w:r>
        <w:rPr>
          <w:rFonts w:eastAsia="Times New Roman"/>
        </w:rPr>
        <w:t xml:space="preserve"> of proposal.</w:t>
      </w:r>
    </w:p>
    <w:p w:rsidR="00751D35" w:rsidRDefault="008C3E62">
      <w:pPr>
        <w:spacing w:before="200" w:after="120"/>
        <w:jc w:val="center"/>
      </w:pPr>
      <w:r>
        <w:rPr>
          <w:rFonts w:eastAsia="Times New Roman"/>
          <w:b/>
          <w:bCs/>
          <w:i/>
          <w:iCs/>
          <w:sz w:val="20"/>
          <w:szCs w:val="20"/>
        </w:rPr>
        <w:t xml:space="preserve">Figure </w:t>
      </w:r>
      <w:proofErr w:type="gramStart"/>
      <w:r>
        <w:rPr>
          <w:rFonts w:eastAsia="Times New Roman"/>
          <w:b/>
          <w:bCs/>
          <w:i/>
          <w:iCs/>
          <w:sz w:val="20"/>
          <w:szCs w:val="20"/>
        </w:rPr>
        <w:t>5.1  Correspondence</w:t>
      </w:r>
      <w:proofErr w:type="gramEnd"/>
      <w:r>
        <w:rPr>
          <w:rFonts w:eastAsia="Times New Roman"/>
          <w:b/>
          <w:bCs/>
          <w:i/>
          <w:iCs/>
          <w:sz w:val="20"/>
          <w:szCs w:val="20"/>
        </w:rPr>
        <w:t xml:space="preserve"> between the Four Governance Chains and the Seven Governance Audits (adapted from existing series figures)</w:t>
      </w:r>
    </w:p>
    <w:p w:rsidR="00751D35" w:rsidRDefault="008C3E62">
      <w:pPr>
        <w:spacing w:after="200"/>
        <w:ind w:firstLine="480"/>
      </w:pPr>
      <w:r>
        <w:rPr>
          <w:rFonts w:eastAsia="Times New Roman"/>
        </w:rPr>
        <w:t>The figure may serve as an index of checking bases for the insti</w:t>
      </w:r>
      <w:r>
        <w:rPr>
          <w:rFonts w:eastAsia="Times New Roman"/>
        </w:rPr>
        <w:t>tutional responses of Section V: Mechanism One (AFST type) corresponds to the discretion-boundary audit; Mechanism Two (</w:t>
      </w:r>
      <w:proofErr w:type="spellStart"/>
      <w:r>
        <w:rPr>
          <w:rFonts w:eastAsia="Times New Roman"/>
        </w:rPr>
        <w:t>SyRI</w:t>
      </w:r>
      <w:proofErr w:type="spellEnd"/>
      <w:r>
        <w:rPr>
          <w:rFonts w:eastAsia="Times New Roman"/>
        </w:rPr>
        <w:t xml:space="preserve"> type) corresponds to the organizational-capacity audit; Mechanism Three (</w:t>
      </w:r>
      <w:proofErr w:type="spellStart"/>
      <w:r>
        <w:rPr>
          <w:rFonts w:eastAsia="Times New Roman"/>
        </w:rPr>
        <w:t>Robodebt</w:t>
      </w:r>
      <w:proofErr w:type="spellEnd"/>
      <w:r>
        <w:rPr>
          <w:rFonts w:eastAsia="Times New Roman"/>
        </w:rPr>
        <w:t xml:space="preserve"> type) corresponds to the democratic-accountabilit</w:t>
      </w:r>
      <w:r>
        <w:rPr>
          <w:rFonts w:eastAsia="Times New Roman"/>
        </w:rPr>
        <w:t>y audit. Checking of C1-13 is provisionally attached under the democratic-accountability audit, pending incorporation into the Delphi calibration plan of ②, after which its formal attribution will be decided separately.</w:t>
      </w:r>
    </w:p>
    <w:p w:rsidR="00751D35" w:rsidRDefault="008C3E62">
      <w:pPr>
        <w:pStyle w:val="2"/>
      </w:pPr>
      <w:r>
        <w:t>7. Summary</w:t>
      </w:r>
    </w:p>
    <w:p w:rsidR="00751D35" w:rsidRDefault="008C3E62">
      <w:pPr>
        <w:spacing w:after="200"/>
        <w:ind w:firstLine="480"/>
      </w:pPr>
      <w:r>
        <w:rPr>
          <w:rFonts w:eastAsia="Times New Roman"/>
        </w:rPr>
        <w:t xml:space="preserve">The three institutional responses jointly point to the same policy principle: the cost of pre-deployment correction is far lower than the cost of post-deployment judicial or oversight intervention. Mechanisms One, Two, and Three correspond respectively to </w:t>
      </w:r>
      <w:r>
        <w:rPr>
          <w:rFonts w:eastAsia="Times New Roman"/>
        </w:rPr>
        <w:t>the discretion-boundary audit, the organizational-capacity audit, and the democratic-accountability audit, showing that the institutional pathways of this paper do not overflow the original checking scope of the seven governance audits; C1-13 is the sole o</w:t>
      </w:r>
      <w:r>
        <w:rPr>
          <w:rFonts w:eastAsia="Times New Roman"/>
        </w:rPr>
        <w:t>bservation item retained with flexibility pending subsequent formalization. This also resonates with local civil-society demands for a right to explanation of decisions and a right to human review—when these two demands are located at the existing checking</w:t>
      </w:r>
      <w:r>
        <w:rPr>
          <w:rFonts w:eastAsia="Times New Roman"/>
        </w:rPr>
        <w:t xml:space="preserve"> points of the reason chain and the situational-construction chain, institutional responses cease to be slogans and can be concretely implemented in existing administrative procedures of procurement, acceptance, and go-live review.</w:t>
      </w:r>
    </w:p>
    <w:p w:rsidR="00751D35" w:rsidRDefault="008C3E62">
      <w:pPr>
        <w:pStyle w:val="1"/>
      </w:pPr>
      <w:r>
        <w:t>VI. Conclusion</w:t>
      </w:r>
    </w:p>
    <w:p w:rsidR="00751D35" w:rsidRDefault="008C3E62">
      <w:pPr>
        <w:pStyle w:val="2"/>
      </w:pPr>
      <w:r>
        <w:t>1. Margin</w:t>
      </w:r>
      <w:r>
        <w:t>al Contribution of This Paper to the Series as a Whole</w:t>
      </w:r>
    </w:p>
    <w:p w:rsidR="00751D35" w:rsidRDefault="008C3E62">
      <w:pPr>
        <w:spacing w:after="200"/>
        <w:ind w:firstLine="480"/>
      </w:pPr>
      <w:r>
        <w:rPr>
          <w:rFonts w:eastAsia="Times New Roman"/>
        </w:rPr>
        <w:t>The scope of Paper 16 is limited to the reinterpretation of existing elements and minimal expansion. Its contribution lies not in redefining the parent framework but in enabling existing measurement re</w:t>
      </w:r>
      <w:r>
        <w:rPr>
          <w:rFonts w:eastAsia="Times New Roman"/>
        </w:rPr>
        <w:t>sults to be recognized and discussed in the language of the four core values.</w:t>
      </w:r>
    </w:p>
    <w:p w:rsidR="00751D35" w:rsidRDefault="008C3E62">
      <w:pPr>
        <w:spacing w:after="200"/>
        <w:ind w:firstLine="480"/>
      </w:pPr>
      <w:r>
        <w:rPr>
          <w:rFonts w:eastAsia="Times New Roman"/>
        </w:rPr>
        <w:t>First, the chain mapping of the four core values—relocating accountability, responsibility, transparency, and justice from four independent checklist items to normative manifesta</w:t>
      </w:r>
      <w:r>
        <w:rPr>
          <w:rFonts w:eastAsia="Times New Roman"/>
        </w:rPr>
        <w:t xml:space="preserve">tions of the four governance chains, and correcting the easily made error of a one-to-one correspondence between chains and P1/P2/P3 by adopting the looser “primary carriage / secondary spillover” </w:t>
      </w:r>
      <w:r>
        <w:rPr>
          <w:rFonts w:eastAsia="Times New Roman"/>
        </w:rPr>
        <w:lastRenderedPageBreak/>
        <w:t>correspondence. This is a contribution of conceptual clarif</w:t>
      </w:r>
      <w:r>
        <w:rPr>
          <w:rFonts w:eastAsia="Times New Roman"/>
        </w:rPr>
        <w:t>ication; no new measurement instrument is added.</w:t>
      </w:r>
    </w:p>
    <w:p w:rsidR="00751D35" w:rsidRDefault="008C3E62">
      <w:pPr>
        <w:spacing w:after="200"/>
        <w:ind w:firstLine="480"/>
      </w:pPr>
      <w:r>
        <w:rPr>
          <w:rFonts w:eastAsia="Times New Roman"/>
        </w:rPr>
        <w:t xml:space="preserve">Second, the </w:t>
      </w:r>
      <w:proofErr w:type="spellStart"/>
      <w:r>
        <w:rPr>
          <w:rFonts w:eastAsia="Times New Roman"/>
        </w:rPr>
        <w:t>typologization</w:t>
      </w:r>
      <w:proofErr w:type="spellEnd"/>
      <w:r>
        <w:rPr>
          <w:rFonts w:eastAsia="Times New Roman"/>
        </w:rPr>
        <w:t xml:space="preserve"> of spillover mechanisms—using the existing P1/C1 data of AFST, </w:t>
      </w:r>
      <w:proofErr w:type="spellStart"/>
      <w:r>
        <w:rPr>
          <w:rFonts w:eastAsia="Times New Roman"/>
        </w:rPr>
        <w:t>SyRI</w:t>
      </w:r>
      <w:proofErr w:type="spellEnd"/>
      <w:r>
        <w:rPr>
          <w:rFonts w:eastAsia="Times New Roman"/>
        </w:rPr>
        <w:t xml:space="preserve">, and </w:t>
      </w:r>
      <w:proofErr w:type="spellStart"/>
      <w:r>
        <w:rPr>
          <w:rFonts w:eastAsia="Times New Roman"/>
        </w:rPr>
        <w:t>Robodebt</w:t>
      </w:r>
      <w:proofErr w:type="spellEnd"/>
      <w:r>
        <w:rPr>
          <w:rFonts w:eastAsia="Times New Roman"/>
        </w:rPr>
        <w:t xml:space="preserve"> to distinguish concretely three pathways of value spillover (review misalignment, technical </w:t>
      </w:r>
      <w:proofErr w:type="spellStart"/>
      <w:r>
        <w:rPr>
          <w:rFonts w:eastAsia="Times New Roman"/>
        </w:rPr>
        <w:t>inexpl</w:t>
      </w:r>
      <w:r>
        <w:rPr>
          <w:rFonts w:eastAsia="Times New Roman"/>
        </w:rPr>
        <w:t>ainability</w:t>
      </w:r>
      <w:proofErr w:type="spellEnd"/>
      <w:r>
        <w:rPr>
          <w:rFonts w:eastAsia="Times New Roman"/>
        </w:rPr>
        <w:t>, inversion of the burden of proof), rather than remaining at ②’s general transmission proposition that “high P1 exposure coexisting with low C1 completeness is more likely to produce cascading breaks in the reason chain and the responsibility ch</w:t>
      </w:r>
      <w:r>
        <w:rPr>
          <w:rFonts w:eastAsia="Times New Roman"/>
        </w:rPr>
        <w:t>ain.” This is a contribution of data reuse—reinterpreting existing coding without re-selecting cases or re-scoring.</w:t>
      </w:r>
    </w:p>
    <w:p w:rsidR="00751D35" w:rsidRDefault="008C3E62">
      <w:pPr>
        <w:spacing w:after="200"/>
        <w:ind w:firstLine="480"/>
      </w:pPr>
      <w:r>
        <w:rPr>
          <w:rFonts w:eastAsia="Times New Roman"/>
        </w:rPr>
        <w:t>Third, the provisional proposal of C1-13 (allocation of the burden of proof)—this is the only part of the paper that might be regarded as ad</w:t>
      </w:r>
      <w:r>
        <w:rPr>
          <w:rFonts w:eastAsia="Times New Roman"/>
        </w:rPr>
        <w:t>ding a sub-instrument, yet its non-formalized status is explicitly marked and it is not included in the C1 main average. This is a hypothesis to be verified, not a new indicator.</w:t>
      </w:r>
    </w:p>
    <w:p w:rsidR="00751D35" w:rsidRDefault="008C3E62">
      <w:pPr>
        <w:spacing w:after="200"/>
        <w:ind w:firstLine="480"/>
      </w:pPr>
      <w:r>
        <w:rPr>
          <w:rFonts w:eastAsia="Times New Roman"/>
        </w:rPr>
        <w:t>The common character of the three contributions is that all perform secondary</w:t>
      </w:r>
      <w:r>
        <w:rPr>
          <w:rFonts w:eastAsia="Times New Roman"/>
        </w:rPr>
        <w:t xml:space="preserve"> analysis on existing measurement and add no scoring logic at any layer of the twenty-five coordinates, P1/P2/P3, the three structural effects, or the seven governance audits. This restraint itself is a deliberate methodological stance, echoing ②’s attitud</w:t>
      </w:r>
      <w:r>
        <w:rPr>
          <w:rFonts w:eastAsia="Times New Roman"/>
        </w:rPr>
        <w:t>e that “the claim the parent framework can truly sustain is far more modest.”</w:t>
      </w:r>
    </w:p>
    <w:p w:rsidR="00751D35" w:rsidRDefault="008C3E62">
      <w:pPr>
        <w:pStyle w:val="2"/>
      </w:pPr>
      <w:r>
        <w:t>2. Series Positioning</w:t>
      </w:r>
    </w:p>
    <w:p w:rsidR="00751D35" w:rsidRDefault="008C3E62">
      <w:pPr>
        <w:spacing w:after="200"/>
        <w:ind w:firstLine="480"/>
      </w:pPr>
      <w:r>
        <w:rPr>
          <w:rFonts w:eastAsia="Times New Roman"/>
        </w:rPr>
        <w:t>This paper belongs to Series C (value-integration type), Paper 1. Series A deepens the measurement granularity of the situational-construction chain (P1/C1,</w:t>
      </w:r>
      <w:r>
        <w:rPr>
          <w:rFonts w:eastAsia="Times New Roman"/>
        </w:rPr>
        <w:t xml:space="preserve"> PE/PI); Series B applies the parent framework to different governance fields; Series C re-maps existing measurement results onto the four core values, serving as a translation of value language.</w:t>
      </w:r>
    </w:p>
    <w:p w:rsidR="00751D35" w:rsidRDefault="008C3E62">
      <w:pPr>
        <w:pStyle w:val="2"/>
      </w:pPr>
      <w:r>
        <w:t>3. Verification Path for C1-13</w:t>
      </w:r>
    </w:p>
    <w:p w:rsidR="00751D35" w:rsidRDefault="008C3E62">
      <w:pPr>
        <w:spacing w:after="200"/>
        <w:ind w:firstLine="480"/>
      </w:pPr>
      <w:r>
        <w:rPr>
          <w:rFonts w:eastAsia="Times New Roman"/>
        </w:rPr>
        <w:t>C1-13 is at present only a hy</w:t>
      </w:r>
      <w:r>
        <w:rPr>
          <w:rFonts w:eastAsia="Times New Roman"/>
        </w:rPr>
        <w:t xml:space="preserve">pothesis observed by this paper </w:t>
      </w:r>
      <w:proofErr w:type="gramStart"/>
      <w:r>
        <w:rPr>
          <w:rFonts w:eastAsia="Times New Roman"/>
        </w:rPr>
        <w:t>on the basis of</w:t>
      </w:r>
      <w:proofErr w:type="gramEnd"/>
      <w:r>
        <w:rPr>
          <w:rFonts w:eastAsia="Times New Roman"/>
        </w:rPr>
        <w:t xml:space="preserve"> three-case operations and has not yet undergone the Delphi calibration procedure promised in the conclusion of ②. In accordance with the consistency principle of the overview document (if different criterion </w:t>
      </w:r>
      <w:r>
        <w:rPr>
          <w:rFonts w:eastAsia="Times New Roman"/>
        </w:rPr>
        <w:t>instruments are to coexist, their scopes of application must be stated so as to avoid being misread as competing), the subsequent handling path for C1-13 is recommended to follow a clear division of labor: it is not recommended that this paper itself compl</w:t>
      </w:r>
      <w:r>
        <w:rPr>
          <w:rFonts w:eastAsia="Times New Roman"/>
        </w:rPr>
        <w:t>ete the calibration—this paper’s case operations involve only three cases, and both sample size and methodological strength are insufficient to support a content-validity test of a new indicator; forcing the issue would only produce “an elaborately repeate</w:t>
      </w:r>
      <w:r>
        <w:rPr>
          <w:rFonts w:eastAsia="Times New Roman"/>
        </w:rPr>
        <w:t>d still-untested hypothesis.” It is recommended that the matter be handed to the subsequent formalization paper of ②—②’s conclusion has already promised “Delphi calibration of the content validity and necessary conditions of P1 and C1”; C1-13 should be inc</w:t>
      </w:r>
      <w:r>
        <w:rPr>
          <w:rFonts w:eastAsia="Times New Roman"/>
        </w:rPr>
        <w:t>orporated into this established calibration plan rather than opening a separate door. In other words, this paper’s positioning of C1-13 is to raise the observation and pass the baton to the established next methodological step, not to close the matter itse</w:t>
      </w:r>
      <w:r>
        <w:rPr>
          <w:rFonts w:eastAsia="Times New Roman"/>
        </w:rPr>
        <w:t>lf.</w:t>
      </w:r>
    </w:p>
    <w:p w:rsidR="00751D35" w:rsidRDefault="008C3E62">
      <w:pPr>
        <w:pStyle w:val="2"/>
      </w:pPr>
      <w:r>
        <w:t>4. Research Limitations</w:t>
      </w:r>
    </w:p>
    <w:p w:rsidR="00751D35" w:rsidRDefault="008C3E62">
      <w:pPr>
        <w:spacing w:after="200"/>
        <w:ind w:firstLine="480"/>
      </w:pPr>
      <w:r>
        <w:rPr>
          <w:rFonts w:eastAsia="Times New Roman"/>
        </w:rPr>
        <w:lastRenderedPageBreak/>
        <w:t>All three contributions of this paper rest on the three-case demonstration coding of ② and inherit its limitations: single-author re-coding, non-representative sample, and observability bias of public documents (</w:t>
      </w:r>
      <w:proofErr w:type="spellStart"/>
      <w:r>
        <w:rPr>
          <w:rFonts w:eastAsia="Times New Roman"/>
        </w:rPr>
        <w:t>SyRI</w:t>
      </w:r>
      <w:proofErr w:type="spellEnd"/>
      <w:r>
        <w:rPr>
          <w:rFonts w:eastAsia="Times New Roman"/>
        </w:rPr>
        <w:t xml:space="preserve"> and </w:t>
      </w:r>
      <w:proofErr w:type="spellStart"/>
      <w:r>
        <w:rPr>
          <w:rFonts w:eastAsia="Times New Roman"/>
        </w:rPr>
        <w:t>Robodebt</w:t>
      </w:r>
      <w:proofErr w:type="spellEnd"/>
      <w:r>
        <w:rPr>
          <w:rFonts w:eastAsia="Times New Roman"/>
        </w:rPr>
        <w:t>, having already erupted in</w:t>
      </w:r>
      <w:r>
        <w:rPr>
          <w:rFonts w:eastAsia="Times New Roman"/>
        </w:rPr>
        <w:t xml:space="preserve"> external friction, possess rich documentation; AFST, not yet having erupted, presents multiple indicators as NA). Moreover, the “primary carriage / secondary spillover” correspondence remains a conceptual argument and has not yet been tested by quantitati</w:t>
      </w:r>
      <w:r>
        <w:rPr>
          <w:rFonts w:eastAsia="Times New Roman"/>
        </w:rPr>
        <w:t>ve methods for spillover intensity—this is space left for subsequent research, yet it is not recommended that Series C itself develop a new spillover-intensity scale, for the same reason as above: priority should be given to incorporation into the establis</w:t>
      </w:r>
      <w:r>
        <w:rPr>
          <w:rFonts w:eastAsia="Times New Roman"/>
        </w:rPr>
        <w:t>hed Delphi calibration plan rather than starting a new scale outside the parent framework.</w:t>
      </w:r>
    </w:p>
    <w:p w:rsidR="00751D35" w:rsidRDefault="008C3E62">
      <w:pPr>
        <w:pStyle w:val="2"/>
      </w:pPr>
      <w:r>
        <w:t>5. Closing Remarks</w:t>
      </w:r>
    </w:p>
    <w:p w:rsidR="00751D35" w:rsidRDefault="008C3E62">
      <w:pPr>
        <w:spacing w:after="200"/>
        <w:ind w:firstLine="480"/>
      </w:pPr>
      <w:r>
        <w:rPr>
          <w:rFonts w:eastAsia="Times New Roman"/>
        </w:rPr>
        <w:t>The reason the four core values have been so readily instrumentalized and fragmented in traditional literature is the absence of a carrier capable</w:t>
      </w:r>
      <w:r>
        <w:rPr>
          <w:rFonts w:eastAsia="Times New Roman"/>
        </w:rPr>
        <w:t xml:space="preserve"> of sustaining their dynamic evolution and mutual implication. The contribution of this paper lies not in proposing a new carrier but in demonstrating that the existing four governance chains are already </w:t>
      </w:r>
      <w:proofErr w:type="gramStart"/>
      <w:r>
        <w:rPr>
          <w:rFonts w:eastAsia="Times New Roman"/>
        </w:rPr>
        <w:t>sufficient</w:t>
      </w:r>
      <w:proofErr w:type="gramEnd"/>
      <w:r>
        <w:rPr>
          <w:rFonts w:eastAsia="Times New Roman"/>
        </w:rPr>
        <w:t xml:space="preserve"> to shoulder that role—at the cost of aban</w:t>
      </w:r>
      <w:r>
        <w:rPr>
          <w:rFonts w:eastAsia="Times New Roman"/>
        </w:rPr>
        <w:t>doning the neat but distorting simplification of “one-to-one chain-to-value correspondence” in favor of the more troublesome but more honest framework of “primary carriage / secondary spillover.” This is also why the paper ultimately chooses to position it</w:t>
      </w:r>
      <w:r>
        <w:rPr>
          <w:rFonts w:eastAsia="Times New Roman"/>
        </w:rPr>
        <w:t>self as a translator for Series C rather than another inventor. This stance in fact continues Lu’s (2010) claim concerning public-service ethics: the core task of public-service ethics is not to add more independent ethical items but to find a common gover</w:t>
      </w:r>
      <w:r>
        <w:rPr>
          <w:rFonts w:eastAsia="Times New Roman"/>
        </w:rPr>
        <w:t>nance concept capable of integrating the various discrete requirements; this paper’s integration of the four core values through the four governance chains may be regarded as the concrete realization, in the analytical architecture of public administration</w:t>
      </w:r>
      <w:r>
        <w:rPr>
          <w:rFonts w:eastAsia="Times New Roman"/>
        </w:rPr>
        <w:t xml:space="preserve"> in the AI era, of the integrative concern raised more than a decade earlier.</w:t>
      </w:r>
    </w:p>
    <w:p w:rsidR="00751D35" w:rsidRDefault="008C3E62">
      <w:pPr>
        <w:pStyle w:val="1"/>
      </w:pPr>
      <w:r>
        <w:t>References</w:t>
      </w:r>
    </w:p>
    <w:p w:rsidR="00751D35" w:rsidRDefault="008C3E62">
      <w:pPr>
        <w:spacing w:before="200" w:after="80"/>
      </w:pPr>
      <w:r>
        <w:rPr>
          <w:rFonts w:eastAsia="Times New Roman"/>
          <w:b/>
          <w:bCs/>
          <w:i/>
          <w:iCs/>
          <w:sz w:val="22"/>
          <w:szCs w:val="22"/>
        </w:rPr>
        <w:t>Chinese-language sources</w:t>
      </w:r>
    </w:p>
    <w:p w:rsidR="00751D35" w:rsidRDefault="008C3E62">
      <w:pPr>
        <w:spacing w:after="120"/>
        <w:ind w:left="720" w:hanging="720"/>
      </w:pPr>
      <w:r>
        <w:rPr>
          <w:rFonts w:eastAsia="Times New Roman"/>
          <w:sz w:val="22"/>
          <w:szCs w:val="22"/>
        </w:rPr>
        <w:t>Judicial Reform Foundation. (2025). Statement: Beyond policy declarations, immediately commence the legislative project of protecting the peop</w:t>
      </w:r>
      <w:r>
        <w:rPr>
          <w:rFonts w:eastAsia="Times New Roman"/>
          <w:sz w:val="22"/>
          <w:szCs w:val="22"/>
        </w:rPr>
        <w:t>le—Statement of the Judicial Reform Foundation on the Legislative Yuan’s passage of the AI Basic Act. https://www.jrf.org.tw/articles/3100</w:t>
      </w:r>
    </w:p>
    <w:p w:rsidR="00751D35" w:rsidRDefault="008C3E62">
      <w:pPr>
        <w:spacing w:after="120"/>
        <w:ind w:left="720" w:hanging="720"/>
      </w:pPr>
      <w:r>
        <w:rPr>
          <w:rFonts w:eastAsia="Times New Roman"/>
          <w:sz w:val="22"/>
          <w:szCs w:val="22"/>
        </w:rPr>
        <w:t>Lee, C.-Y. (2024). On the relationship between “fully automated administrative acts” and “relevant provisions and pri</w:t>
      </w:r>
      <w:r>
        <w:rPr>
          <w:rFonts w:eastAsia="Times New Roman"/>
          <w:sz w:val="22"/>
          <w:szCs w:val="22"/>
        </w:rPr>
        <w:t>nciples of due administrative process.” The Taiwan Law Review, 355, 22–31.</w:t>
      </w:r>
    </w:p>
    <w:p w:rsidR="00751D35" w:rsidRDefault="008C3E62">
      <w:pPr>
        <w:spacing w:after="120"/>
        <w:ind w:left="720" w:hanging="720"/>
      </w:pPr>
      <w:r>
        <w:rPr>
          <w:rFonts w:eastAsia="Times New Roman"/>
          <w:sz w:val="22"/>
          <w:szCs w:val="22"/>
        </w:rPr>
        <w:t>Legislative Yuan. (2026). Artificial Intelligence Basic Act. Laws &amp; Regulations Database of the Republic of China (Taiwan). https://law.moj.gov.tw/LawClass/LawAll.aspx?pcode=H016009</w:t>
      </w:r>
      <w:r>
        <w:rPr>
          <w:rFonts w:eastAsia="Times New Roman"/>
          <w:sz w:val="22"/>
          <w:szCs w:val="22"/>
        </w:rPr>
        <w:t>3</w:t>
      </w:r>
    </w:p>
    <w:p w:rsidR="00751D35" w:rsidRDefault="008C3E62">
      <w:pPr>
        <w:spacing w:after="120"/>
        <w:ind w:left="720" w:hanging="720"/>
      </w:pPr>
      <w:r>
        <w:rPr>
          <w:rFonts w:eastAsia="Times New Roman"/>
          <w:sz w:val="22"/>
          <w:szCs w:val="22"/>
        </w:rPr>
        <w:t>Lu, C.-H. (2010). Public-service ethics: Integrating the concept of public governance. Civil Service Quarterly, Special Issue, 39–53.</w:t>
      </w:r>
    </w:p>
    <w:p w:rsidR="00751D35" w:rsidRDefault="008C3E62">
      <w:pPr>
        <w:spacing w:after="120"/>
        <w:ind w:left="720" w:hanging="720"/>
      </w:pPr>
      <w:r>
        <w:rPr>
          <w:rFonts w:eastAsia="Times New Roman"/>
          <w:sz w:val="22"/>
          <w:szCs w:val="22"/>
        </w:rPr>
        <w:t>Lu, C.-H. (2026). Reconceptualizing artificial-intelligence governance: Twenty-five governance coordinates, three functi</w:t>
      </w:r>
      <w:r>
        <w:rPr>
          <w:rFonts w:eastAsia="Times New Roman"/>
          <w:sz w:val="22"/>
          <w:szCs w:val="22"/>
        </w:rPr>
        <w:t>onal transfers of administrative power, three structural effects, four governance chains, and seven governance audits from a public-administration theoretical perspective. Personal academic website research manuscript.</w:t>
      </w:r>
    </w:p>
    <w:p w:rsidR="00751D35" w:rsidRDefault="008C3E62">
      <w:pPr>
        <w:spacing w:after="120"/>
        <w:ind w:left="720" w:hanging="720"/>
      </w:pPr>
      <w:r>
        <w:rPr>
          <w:rFonts w:eastAsia="Times New Roman"/>
          <w:sz w:val="22"/>
          <w:szCs w:val="22"/>
        </w:rPr>
        <w:t>Lu, C.-H. (2026b). Democratic precond</w:t>
      </w:r>
      <w:r>
        <w:rPr>
          <w:rFonts w:eastAsia="Times New Roman"/>
          <w:sz w:val="22"/>
          <w:szCs w:val="22"/>
        </w:rPr>
        <w:t xml:space="preserve">itions of AI governance: Transfer of situational-construction power, two-stage measurement, and cross-case demonstration. Personal academic website </w:t>
      </w:r>
      <w:r>
        <w:rPr>
          <w:rFonts w:eastAsia="Times New Roman"/>
          <w:sz w:val="22"/>
          <w:szCs w:val="22"/>
        </w:rPr>
        <w:lastRenderedPageBreak/>
        <w:t>research manuscript.</w:t>
      </w:r>
    </w:p>
    <w:p w:rsidR="00751D35" w:rsidRDefault="008C3E62">
      <w:pPr>
        <w:spacing w:after="120"/>
        <w:ind w:left="720" w:hanging="720"/>
      </w:pPr>
      <w:r>
        <w:rPr>
          <w:rFonts w:eastAsia="Times New Roman"/>
          <w:sz w:val="22"/>
          <w:szCs w:val="22"/>
        </w:rPr>
        <w:t>Ministry of Digital Affairs. (2026). Artificial Intelligence Risk Classification Framew</w:t>
      </w:r>
      <w:r>
        <w:rPr>
          <w:rFonts w:eastAsia="Times New Roman"/>
          <w:sz w:val="22"/>
          <w:szCs w:val="22"/>
        </w:rPr>
        <w:t>ork. https://law.moda.gov.tw/LawContent.aspx?id=GL000197</w:t>
      </w:r>
    </w:p>
    <w:p w:rsidR="00751D35" w:rsidRDefault="008C3E62">
      <w:pPr>
        <w:spacing w:after="120"/>
        <w:ind w:left="720" w:hanging="720"/>
      </w:pPr>
      <w:r>
        <w:rPr>
          <w:rFonts w:eastAsia="Times New Roman"/>
          <w:sz w:val="22"/>
          <w:szCs w:val="22"/>
        </w:rPr>
        <w:t>Chang, C.-W. (2025). The permissibility of automated administrative decisions—Observations from administrative-procedure law and personal-data-protection law. Chung Cheng University Law Review, 88, 8</w:t>
      </w:r>
      <w:r>
        <w:rPr>
          <w:rFonts w:eastAsia="Times New Roman"/>
          <w:sz w:val="22"/>
          <w:szCs w:val="22"/>
        </w:rPr>
        <w:t>7–174.</w:t>
      </w:r>
    </w:p>
    <w:p w:rsidR="00751D35" w:rsidRDefault="008C3E62">
      <w:pPr>
        <w:spacing w:before="280" w:after="80"/>
      </w:pPr>
      <w:r>
        <w:rPr>
          <w:rFonts w:eastAsia="Times New Roman"/>
          <w:b/>
          <w:bCs/>
          <w:i/>
          <w:iCs/>
          <w:sz w:val="22"/>
          <w:szCs w:val="22"/>
        </w:rPr>
        <w:t>English-language sources</w:t>
      </w:r>
    </w:p>
    <w:p w:rsidR="00751D35" w:rsidRDefault="008C3E62">
      <w:pPr>
        <w:spacing w:after="120"/>
        <w:ind w:left="720" w:hanging="720"/>
      </w:pPr>
      <w:r>
        <w:rPr>
          <w:rFonts w:eastAsia="Times New Roman"/>
          <w:sz w:val="22"/>
          <w:szCs w:val="22"/>
        </w:rPr>
        <w:t>Allegheny County Department of Human Services. (2017). Developing predictive risk models to support child maltreatment hotline screening decisions.</w:t>
      </w:r>
    </w:p>
    <w:p w:rsidR="00751D35" w:rsidRDefault="008C3E62">
      <w:pPr>
        <w:spacing w:after="120"/>
        <w:ind w:left="720" w:hanging="720"/>
      </w:pPr>
      <w:r>
        <w:rPr>
          <w:rFonts w:eastAsia="Times New Roman"/>
          <w:sz w:val="22"/>
          <w:szCs w:val="22"/>
        </w:rPr>
        <w:t>Allegheny County Department of Human Services. (2018). Allegheny Family Screening Tool: Frequently asked questions.</w:t>
      </w:r>
    </w:p>
    <w:p w:rsidR="00751D35" w:rsidRDefault="008C3E62">
      <w:pPr>
        <w:spacing w:after="120"/>
        <w:ind w:left="720" w:hanging="720"/>
      </w:pPr>
      <w:proofErr w:type="spellStart"/>
      <w:r>
        <w:rPr>
          <w:rFonts w:eastAsia="Times New Roman"/>
          <w:sz w:val="22"/>
          <w:szCs w:val="22"/>
        </w:rPr>
        <w:t>Alnemr</w:t>
      </w:r>
      <w:proofErr w:type="spellEnd"/>
      <w:r>
        <w:rPr>
          <w:rFonts w:eastAsia="Times New Roman"/>
          <w:sz w:val="22"/>
          <w:szCs w:val="22"/>
        </w:rPr>
        <w:t xml:space="preserve">, N. (2024). Democratic self-government and the </w:t>
      </w:r>
      <w:proofErr w:type="spellStart"/>
      <w:r>
        <w:rPr>
          <w:rFonts w:eastAsia="Times New Roman"/>
          <w:sz w:val="22"/>
          <w:szCs w:val="22"/>
        </w:rPr>
        <w:t>algocratic</w:t>
      </w:r>
      <w:proofErr w:type="spellEnd"/>
      <w:r>
        <w:rPr>
          <w:rFonts w:eastAsia="Times New Roman"/>
          <w:sz w:val="22"/>
          <w:szCs w:val="22"/>
        </w:rPr>
        <w:t xml:space="preserve"> shortcut: The democratic harms in algorithmic governance of society. Contem</w:t>
      </w:r>
      <w:r>
        <w:rPr>
          <w:rFonts w:eastAsia="Times New Roman"/>
          <w:sz w:val="22"/>
          <w:szCs w:val="22"/>
        </w:rPr>
        <w:t>porary Political Theory, 23(2), 205–227.</w:t>
      </w:r>
    </w:p>
    <w:p w:rsidR="00751D35" w:rsidRDefault="008C3E62">
      <w:pPr>
        <w:spacing w:after="120"/>
        <w:ind w:left="720" w:hanging="720"/>
      </w:pPr>
      <w:proofErr w:type="spellStart"/>
      <w:r>
        <w:rPr>
          <w:rFonts w:eastAsia="Times New Roman"/>
          <w:sz w:val="22"/>
          <w:szCs w:val="22"/>
        </w:rPr>
        <w:t>Bovens</w:t>
      </w:r>
      <w:proofErr w:type="spellEnd"/>
      <w:r>
        <w:rPr>
          <w:rFonts w:eastAsia="Times New Roman"/>
          <w:sz w:val="22"/>
          <w:szCs w:val="22"/>
        </w:rPr>
        <w:t xml:space="preserve">, M. (2007). </w:t>
      </w:r>
      <w:proofErr w:type="spellStart"/>
      <w:r>
        <w:rPr>
          <w:rFonts w:eastAsia="Times New Roman"/>
          <w:sz w:val="22"/>
          <w:szCs w:val="22"/>
        </w:rPr>
        <w:t>Analysing</w:t>
      </w:r>
      <w:proofErr w:type="spellEnd"/>
      <w:r>
        <w:rPr>
          <w:rFonts w:eastAsia="Times New Roman"/>
          <w:sz w:val="22"/>
          <w:szCs w:val="22"/>
        </w:rPr>
        <w:t xml:space="preserve"> and assessing accountability: A conceptual framework. European Law Journal, 13(4), 447–468.</w:t>
      </w:r>
    </w:p>
    <w:p w:rsidR="00751D35" w:rsidRDefault="008C3E62">
      <w:pPr>
        <w:spacing w:after="120"/>
        <w:ind w:left="720" w:hanging="720"/>
      </w:pPr>
      <w:proofErr w:type="spellStart"/>
      <w:r>
        <w:rPr>
          <w:rFonts w:eastAsia="Times New Roman"/>
          <w:sz w:val="22"/>
          <w:szCs w:val="22"/>
        </w:rPr>
        <w:t>Bovens</w:t>
      </w:r>
      <w:proofErr w:type="spellEnd"/>
      <w:r>
        <w:rPr>
          <w:rFonts w:eastAsia="Times New Roman"/>
          <w:sz w:val="22"/>
          <w:szCs w:val="22"/>
        </w:rPr>
        <w:t xml:space="preserve">, M., &amp; </w:t>
      </w:r>
      <w:proofErr w:type="spellStart"/>
      <w:r>
        <w:rPr>
          <w:rFonts w:eastAsia="Times New Roman"/>
          <w:sz w:val="22"/>
          <w:szCs w:val="22"/>
        </w:rPr>
        <w:t>Zouridis</w:t>
      </w:r>
      <w:proofErr w:type="spellEnd"/>
      <w:r>
        <w:rPr>
          <w:rFonts w:eastAsia="Times New Roman"/>
          <w:sz w:val="22"/>
          <w:szCs w:val="22"/>
        </w:rPr>
        <w:t>, S. (2002). From street-level to system-level bureaucracies: How inform</w:t>
      </w:r>
      <w:r>
        <w:rPr>
          <w:rFonts w:eastAsia="Times New Roman"/>
          <w:sz w:val="22"/>
          <w:szCs w:val="22"/>
        </w:rPr>
        <w:t>ation and communication technology is transforming administrative discretion and constitutional control. Public Administration Review, 62(2), 174–184.</w:t>
      </w:r>
    </w:p>
    <w:p w:rsidR="00751D35" w:rsidRDefault="008C3E62">
      <w:pPr>
        <w:spacing w:after="120"/>
        <w:ind w:left="720" w:hanging="720"/>
      </w:pPr>
      <w:r>
        <w:rPr>
          <w:rFonts w:eastAsia="Times New Roman"/>
          <w:sz w:val="22"/>
          <w:szCs w:val="22"/>
        </w:rPr>
        <w:t>Bullock, J. B. (2019). Artificial intelligence, discretion, and bureaucracy. The American Review of Publi</w:t>
      </w:r>
      <w:r>
        <w:rPr>
          <w:rFonts w:eastAsia="Times New Roman"/>
          <w:sz w:val="22"/>
          <w:szCs w:val="22"/>
        </w:rPr>
        <w:t>c Administration, 49(7), 751–761.</w:t>
      </w:r>
    </w:p>
    <w:p w:rsidR="00751D35" w:rsidRDefault="008C3E62">
      <w:pPr>
        <w:spacing w:after="120"/>
        <w:ind w:left="720" w:hanging="720"/>
      </w:pPr>
      <w:proofErr w:type="spellStart"/>
      <w:r>
        <w:rPr>
          <w:rFonts w:eastAsia="Times New Roman"/>
          <w:sz w:val="22"/>
          <w:szCs w:val="22"/>
        </w:rPr>
        <w:t>Busuioc</w:t>
      </w:r>
      <w:proofErr w:type="spellEnd"/>
      <w:r>
        <w:rPr>
          <w:rFonts w:eastAsia="Times New Roman"/>
          <w:sz w:val="22"/>
          <w:szCs w:val="22"/>
        </w:rPr>
        <w:t>, M. (2021). Accountable artificial intelligence: Holding algorithms to account. Public Administration Review, 81(5), 825–836.</w:t>
      </w:r>
    </w:p>
    <w:p w:rsidR="00751D35" w:rsidRDefault="008C3E62">
      <w:pPr>
        <w:spacing w:after="120"/>
        <w:ind w:left="720" w:hanging="720"/>
      </w:pPr>
      <w:r>
        <w:rPr>
          <w:rFonts w:eastAsia="Times New Roman"/>
          <w:sz w:val="22"/>
          <w:szCs w:val="22"/>
        </w:rPr>
        <w:t>Carney, T. (2019). Robo-debt illegality: The seven veils of failed guarantees of the rul</w:t>
      </w:r>
      <w:r>
        <w:rPr>
          <w:rFonts w:eastAsia="Times New Roman"/>
          <w:sz w:val="22"/>
          <w:szCs w:val="22"/>
        </w:rPr>
        <w:t>e of law? Alternative Law Journal, 44(1), 4–10.</w:t>
      </w:r>
    </w:p>
    <w:p w:rsidR="00751D35" w:rsidRDefault="008C3E62">
      <w:pPr>
        <w:spacing w:after="120"/>
        <w:ind w:left="720" w:hanging="720"/>
      </w:pPr>
      <w:proofErr w:type="spellStart"/>
      <w:r>
        <w:rPr>
          <w:rFonts w:eastAsia="Times New Roman"/>
          <w:sz w:val="22"/>
          <w:szCs w:val="22"/>
        </w:rPr>
        <w:t>Chouldechova</w:t>
      </w:r>
      <w:proofErr w:type="spellEnd"/>
      <w:r>
        <w:rPr>
          <w:rFonts w:eastAsia="Times New Roman"/>
          <w:sz w:val="22"/>
          <w:szCs w:val="22"/>
        </w:rPr>
        <w:t xml:space="preserve">, A., Benavides-Prado, D., </w:t>
      </w:r>
      <w:proofErr w:type="spellStart"/>
      <w:r>
        <w:rPr>
          <w:rFonts w:eastAsia="Times New Roman"/>
          <w:sz w:val="22"/>
          <w:szCs w:val="22"/>
        </w:rPr>
        <w:t>Fialko</w:t>
      </w:r>
      <w:proofErr w:type="spellEnd"/>
      <w:r>
        <w:rPr>
          <w:rFonts w:eastAsia="Times New Roman"/>
          <w:sz w:val="22"/>
          <w:szCs w:val="22"/>
        </w:rPr>
        <w:t xml:space="preserve">, O., &amp; </w:t>
      </w:r>
      <w:proofErr w:type="spellStart"/>
      <w:r>
        <w:rPr>
          <w:rFonts w:eastAsia="Times New Roman"/>
          <w:sz w:val="22"/>
          <w:szCs w:val="22"/>
        </w:rPr>
        <w:t>Vaithianathan</w:t>
      </w:r>
      <w:proofErr w:type="spellEnd"/>
      <w:r>
        <w:rPr>
          <w:rFonts w:eastAsia="Times New Roman"/>
          <w:sz w:val="22"/>
          <w:szCs w:val="22"/>
        </w:rPr>
        <w:t>, R. (2018). A case study of algorithm-assisted decision making in child maltreatment hotline screening decisions. Proceedings of the 1st Conf</w:t>
      </w:r>
      <w:r>
        <w:rPr>
          <w:rFonts w:eastAsia="Times New Roman"/>
          <w:sz w:val="22"/>
          <w:szCs w:val="22"/>
        </w:rPr>
        <w:t>erence on Fairness, Accountability and Transparency, 134–148.</w:t>
      </w:r>
    </w:p>
    <w:p w:rsidR="00751D35" w:rsidRDefault="008C3E62">
      <w:pPr>
        <w:spacing w:after="120"/>
        <w:ind w:left="720" w:hanging="720"/>
      </w:pPr>
      <w:r>
        <w:rPr>
          <w:rFonts w:eastAsia="Times New Roman"/>
          <w:sz w:val="22"/>
          <w:szCs w:val="22"/>
        </w:rPr>
        <w:t>Cobbe, J., Veale, M., &amp; Singh, J. (2023). Understanding accountability in algorithmic supply chains. Proceedings of the 2023 ACM Conference on Fairness, Accountability, and Transparency, 1186–11</w:t>
      </w:r>
      <w:r>
        <w:rPr>
          <w:rFonts w:eastAsia="Times New Roman"/>
          <w:sz w:val="22"/>
          <w:szCs w:val="22"/>
        </w:rPr>
        <w:t>97.</w:t>
      </w:r>
    </w:p>
    <w:p w:rsidR="00751D35" w:rsidRDefault="008C3E62">
      <w:pPr>
        <w:spacing w:after="120"/>
        <w:ind w:left="720" w:hanging="720"/>
      </w:pPr>
      <w:r>
        <w:rPr>
          <w:rFonts w:eastAsia="Times New Roman"/>
          <w:sz w:val="22"/>
          <w:szCs w:val="22"/>
        </w:rPr>
        <w:t xml:space="preserve">Danaher, J. (2016). The threat of </w:t>
      </w:r>
      <w:proofErr w:type="spellStart"/>
      <w:r>
        <w:rPr>
          <w:rFonts w:eastAsia="Times New Roman"/>
          <w:sz w:val="22"/>
          <w:szCs w:val="22"/>
        </w:rPr>
        <w:t>algocracy</w:t>
      </w:r>
      <w:proofErr w:type="spellEnd"/>
      <w:r>
        <w:rPr>
          <w:rFonts w:eastAsia="Times New Roman"/>
          <w:sz w:val="22"/>
          <w:szCs w:val="22"/>
        </w:rPr>
        <w:t>: Reality, resistance, and accommodation. Philosophy &amp; Technology, 29(3), 245–268.</w:t>
      </w:r>
    </w:p>
    <w:p w:rsidR="00751D35" w:rsidRDefault="008C3E62">
      <w:pPr>
        <w:spacing w:after="120"/>
        <w:ind w:left="720" w:hanging="720"/>
      </w:pPr>
      <w:r>
        <w:rPr>
          <w:rFonts w:eastAsia="Times New Roman"/>
          <w:sz w:val="22"/>
          <w:szCs w:val="22"/>
        </w:rPr>
        <w:t>De Angelis, C. F. (2026). The algorithmic cage: Artificial intelligence, modern rationalization, and the inheritors of Max Web</w:t>
      </w:r>
      <w:r>
        <w:rPr>
          <w:rFonts w:eastAsia="Times New Roman"/>
          <w:sz w:val="22"/>
          <w:szCs w:val="22"/>
        </w:rPr>
        <w:t>er. International Journal of Social Science Research and Review, 9(5), 213–226.</w:t>
      </w:r>
    </w:p>
    <w:p w:rsidR="00751D35" w:rsidRDefault="008C3E62">
      <w:pPr>
        <w:spacing w:after="120"/>
        <w:ind w:left="720" w:hanging="720"/>
      </w:pPr>
      <w:r>
        <w:rPr>
          <w:rFonts w:eastAsia="Times New Roman"/>
          <w:sz w:val="22"/>
          <w:szCs w:val="22"/>
        </w:rPr>
        <w:t>District Court of The Hague. (2020). NCJM et al. and FNV v. The State of the Netherlands (</w:t>
      </w:r>
      <w:proofErr w:type="spellStart"/>
      <w:r>
        <w:rPr>
          <w:rFonts w:eastAsia="Times New Roman"/>
          <w:sz w:val="22"/>
          <w:szCs w:val="22"/>
        </w:rPr>
        <w:t>SyRI</w:t>
      </w:r>
      <w:proofErr w:type="spellEnd"/>
      <w:r>
        <w:rPr>
          <w:rFonts w:eastAsia="Times New Roman"/>
          <w:sz w:val="22"/>
          <w:szCs w:val="22"/>
        </w:rPr>
        <w:t>), ECLI:</w:t>
      </w:r>
      <w:proofErr w:type="gramStart"/>
      <w:r>
        <w:rPr>
          <w:rFonts w:eastAsia="Times New Roman"/>
          <w:sz w:val="22"/>
          <w:szCs w:val="22"/>
        </w:rPr>
        <w:t>NL:RBDHA</w:t>
      </w:r>
      <w:proofErr w:type="gramEnd"/>
      <w:r>
        <w:rPr>
          <w:rFonts w:eastAsia="Times New Roman"/>
          <w:sz w:val="22"/>
          <w:szCs w:val="22"/>
        </w:rPr>
        <w:t>:2020:865.</w:t>
      </w:r>
    </w:p>
    <w:p w:rsidR="00751D35" w:rsidRDefault="008C3E62">
      <w:pPr>
        <w:spacing w:after="120"/>
        <w:ind w:left="720" w:hanging="720"/>
      </w:pPr>
      <w:proofErr w:type="spellStart"/>
      <w:r>
        <w:rPr>
          <w:rFonts w:eastAsia="Times New Roman"/>
          <w:sz w:val="22"/>
          <w:szCs w:val="22"/>
        </w:rPr>
        <w:t>Entman</w:t>
      </w:r>
      <w:proofErr w:type="spellEnd"/>
      <w:r>
        <w:rPr>
          <w:rFonts w:eastAsia="Times New Roman"/>
          <w:sz w:val="22"/>
          <w:szCs w:val="22"/>
        </w:rPr>
        <w:t xml:space="preserve">, R. M. (1993). Framing: Toward clarification of </w:t>
      </w:r>
      <w:r>
        <w:rPr>
          <w:rFonts w:eastAsia="Times New Roman"/>
          <w:sz w:val="22"/>
          <w:szCs w:val="22"/>
        </w:rPr>
        <w:t>a fractured paradigm. Journal of Communication, 43(4), 51–58.</w:t>
      </w:r>
    </w:p>
    <w:p w:rsidR="00751D35" w:rsidRDefault="008C3E62">
      <w:pPr>
        <w:spacing w:after="120"/>
        <w:ind w:left="720" w:hanging="720"/>
      </w:pPr>
      <w:r>
        <w:rPr>
          <w:rFonts w:eastAsia="Times New Roman"/>
          <w:sz w:val="22"/>
          <w:szCs w:val="22"/>
        </w:rPr>
        <w:t>Eubanks, V. (2018). Automating inequality: How high-tech tools profile, police, and punish the poor. St. Martin’s Press.</w:t>
      </w:r>
    </w:p>
    <w:p w:rsidR="00751D35" w:rsidRDefault="008C3E62">
      <w:pPr>
        <w:spacing w:after="120"/>
        <w:ind w:left="720" w:hanging="720"/>
      </w:pPr>
      <w:r>
        <w:rPr>
          <w:rFonts w:eastAsia="Times New Roman"/>
          <w:sz w:val="22"/>
          <w:szCs w:val="22"/>
        </w:rPr>
        <w:lastRenderedPageBreak/>
        <w:t>Fricker, M. (2007). Epistemic injustice: Power and the ethics of knowing.</w:t>
      </w:r>
      <w:r>
        <w:rPr>
          <w:rFonts w:eastAsia="Times New Roman"/>
          <w:sz w:val="22"/>
          <w:szCs w:val="22"/>
        </w:rPr>
        <w:t xml:space="preserve"> Oxford University Press.</w:t>
      </w:r>
    </w:p>
    <w:p w:rsidR="00751D35" w:rsidRDefault="008C3E62">
      <w:pPr>
        <w:spacing w:after="120"/>
        <w:ind w:left="720" w:hanging="720"/>
      </w:pPr>
      <w:proofErr w:type="spellStart"/>
      <w:r>
        <w:rPr>
          <w:rFonts w:eastAsia="Times New Roman"/>
          <w:sz w:val="22"/>
          <w:szCs w:val="22"/>
        </w:rPr>
        <w:t>Introna</w:t>
      </w:r>
      <w:proofErr w:type="spellEnd"/>
      <w:r>
        <w:rPr>
          <w:rFonts w:eastAsia="Times New Roman"/>
          <w:sz w:val="22"/>
          <w:szCs w:val="22"/>
        </w:rPr>
        <w:t>, L. D. (2016). Algorithms, governance, and governmentality: On governing academic writing. Science, Technology, &amp; Human Values, 41(1), 17–49.</w:t>
      </w:r>
    </w:p>
    <w:p w:rsidR="00751D35" w:rsidRDefault="008C3E62">
      <w:pPr>
        <w:spacing w:after="120"/>
        <w:ind w:left="720" w:hanging="720"/>
      </w:pPr>
      <w:r>
        <w:rPr>
          <w:rFonts w:eastAsia="Times New Roman"/>
          <w:sz w:val="22"/>
          <w:szCs w:val="22"/>
        </w:rPr>
        <w:t>Livermore, M. A. (2025, December 15). The political limits of algorithmic govern</w:t>
      </w:r>
      <w:r>
        <w:rPr>
          <w:rFonts w:eastAsia="Times New Roman"/>
          <w:sz w:val="22"/>
          <w:szCs w:val="22"/>
        </w:rPr>
        <w:t>ance. The Regulatory Review.</w:t>
      </w:r>
    </w:p>
    <w:p w:rsidR="00751D35" w:rsidRDefault="008C3E62">
      <w:pPr>
        <w:spacing w:after="120"/>
        <w:ind w:left="720" w:hanging="720"/>
      </w:pPr>
      <w:r>
        <w:rPr>
          <w:rFonts w:eastAsia="Times New Roman"/>
          <w:sz w:val="22"/>
          <w:szCs w:val="22"/>
        </w:rPr>
        <w:t>Pasquale, F. (2015). The black box society: The secret algorithms that control money and information. Harvard University Press.</w:t>
      </w:r>
    </w:p>
    <w:p w:rsidR="00751D35" w:rsidRDefault="008C3E62">
      <w:pPr>
        <w:spacing w:after="120"/>
        <w:ind w:left="720" w:hanging="720"/>
      </w:pPr>
      <w:r>
        <w:rPr>
          <w:rFonts w:eastAsia="Times New Roman"/>
          <w:sz w:val="22"/>
          <w:szCs w:val="22"/>
        </w:rPr>
        <w:t>Pettit, P. (1997). Republicanism: A theory of freedom and government. Oxford University Press.</w:t>
      </w:r>
    </w:p>
    <w:p w:rsidR="00751D35" w:rsidRDefault="008C3E62">
      <w:pPr>
        <w:spacing w:after="120"/>
        <w:ind w:left="720" w:hanging="720"/>
      </w:pPr>
      <w:r>
        <w:rPr>
          <w:rFonts w:eastAsia="Times New Roman"/>
          <w:sz w:val="22"/>
          <w:szCs w:val="22"/>
        </w:rPr>
        <w:t>Roch</w:t>
      </w:r>
      <w:r>
        <w:rPr>
          <w:rFonts w:eastAsia="Times New Roman"/>
          <w:sz w:val="22"/>
          <w:szCs w:val="22"/>
        </w:rPr>
        <w:t>efort, D. A., &amp; Cobb, R. W. (1994). The politics of problem definition. University Press of Kansas.</w:t>
      </w:r>
    </w:p>
    <w:p w:rsidR="00751D35" w:rsidRDefault="008C3E62">
      <w:pPr>
        <w:spacing w:after="120"/>
        <w:ind w:left="720" w:hanging="720"/>
      </w:pPr>
      <w:proofErr w:type="spellStart"/>
      <w:r>
        <w:rPr>
          <w:rFonts w:eastAsia="Times New Roman"/>
          <w:sz w:val="22"/>
          <w:szCs w:val="22"/>
        </w:rPr>
        <w:t>Romzek</w:t>
      </w:r>
      <w:proofErr w:type="spellEnd"/>
      <w:r>
        <w:rPr>
          <w:rFonts w:eastAsia="Times New Roman"/>
          <w:sz w:val="22"/>
          <w:szCs w:val="22"/>
        </w:rPr>
        <w:t xml:space="preserve">, B. S., &amp; </w:t>
      </w:r>
      <w:proofErr w:type="spellStart"/>
      <w:r>
        <w:rPr>
          <w:rFonts w:eastAsia="Times New Roman"/>
          <w:sz w:val="22"/>
          <w:szCs w:val="22"/>
        </w:rPr>
        <w:t>Dubnick</w:t>
      </w:r>
      <w:proofErr w:type="spellEnd"/>
      <w:r>
        <w:rPr>
          <w:rFonts w:eastAsia="Times New Roman"/>
          <w:sz w:val="22"/>
          <w:szCs w:val="22"/>
        </w:rPr>
        <w:t>, M. J. (1987). Accountability in the public sector: Lessons from the Challenger tragedy. Public Administration Review, 47(3), 227–2</w:t>
      </w:r>
      <w:r>
        <w:rPr>
          <w:rFonts w:eastAsia="Times New Roman"/>
          <w:sz w:val="22"/>
          <w:szCs w:val="22"/>
        </w:rPr>
        <w:t>38.</w:t>
      </w:r>
    </w:p>
    <w:p w:rsidR="00751D35" w:rsidRDefault="008C3E62">
      <w:pPr>
        <w:spacing w:after="120"/>
        <w:ind w:left="720" w:hanging="720"/>
      </w:pPr>
      <w:r>
        <w:rPr>
          <w:rFonts w:eastAsia="Times New Roman"/>
          <w:sz w:val="22"/>
          <w:szCs w:val="22"/>
        </w:rPr>
        <w:t xml:space="preserve">Royal Commission into the </w:t>
      </w:r>
      <w:proofErr w:type="spellStart"/>
      <w:r>
        <w:rPr>
          <w:rFonts w:eastAsia="Times New Roman"/>
          <w:sz w:val="22"/>
          <w:szCs w:val="22"/>
        </w:rPr>
        <w:t>Robodebt</w:t>
      </w:r>
      <w:proofErr w:type="spellEnd"/>
      <w:r>
        <w:rPr>
          <w:rFonts w:eastAsia="Times New Roman"/>
          <w:sz w:val="22"/>
          <w:szCs w:val="22"/>
        </w:rPr>
        <w:t xml:space="preserve"> Scheme. (2023). Report of the Royal Commission into the </w:t>
      </w:r>
      <w:proofErr w:type="spellStart"/>
      <w:r>
        <w:rPr>
          <w:rFonts w:eastAsia="Times New Roman"/>
          <w:sz w:val="22"/>
          <w:szCs w:val="22"/>
        </w:rPr>
        <w:t>Robodebt</w:t>
      </w:r>
      <w:proofErr w:type="spellEnd"/>
      <w:r>
        <w:rPr>
          <w:rFonts w:eastAsia="Times New Roman"/>
          <w:sz w:val="22"/>
          <w:szCs w:val="22"/>
        </w:rPr>
        <w:t xml:space="preserve"> Scheme. Commonwealth of Australia.</w:t>
      </w:r>
    </w:p>
    <w:p w:rsidR="00751D35" w:rsidRDefault="008C3E62">
      <w:pPr>
        <w:spacing w:after="120"/>
        <w:ind w:left="720" w:hanging="720"/>
      </w:pPr>
      <w:proofErr w:type="spellStart"/>
      <w:r>
        <w:rPr>
          <w:rFonts w:eastAsia="Times New Roman"/>
          <w:sz w:val="22"/>
          <w:szCs w:val="22"/>
        </w:rPr>
        <w:t>Schillemans</w:t>
      </w:r>
      <w:proofErr w:type="spellEnd"/>
      <w:r>
        <w:rPr>
          <w:rFonts w:eastAsia="Times New Roman"/>
          <w:sz w:val="22"/>
          <w:szCs w:val="22"/>
        </w:rPr>
        <w:t xml:space="preserve">, T., &amp; </w:t>
      </w:r>
      <w:proofErr w:type="spellStart"/>
      <w:r>
        <w:rPr>
          <w:rFonts w:eastAsia="Times New Roman"/>
          <w:sz w:val="22"/>
          <w:szCs w:val="22"/>
        </w:rPr>
        <w:t>Bovens</w:t>
      </w:r>
      <w:proofErr w:type="spellEnd"/>
      <w:r>
        <w:rPr>
          <w:rFonts w:eastAsia="Times New Roman"/>
          <w:sz w:val="22"/>
          <w:szCs w:val="22"/>
        </w:rPr>
        <w:t xml:space="preserve">, M. (2011). The challenge of multiple accountability: Does redundancy lead to overload? In </w:t>
      </w:r>
      <w:r>
        <w:rPr>
          <w:rFonts w:eastAsia="Times New Roman"/>
          <w:sz w:val="22"/>
          <w:szCs w:val="22"/>
        </w:rPr>
        <w:t xml:space="preserve">M. J. </w:t>
      </w:r>
      <w:proofErr w:type="spellStart"/>
      <w:r>
        <w:rPr>
          <w:rFonts w:eastAsia="Times New Roman"/>
          <w:sz w:val="22"/>
          <w:szCs w:val="22"/>
        </w:rPr>
        <w:t>Dubnick</w:t>
      </w:r>
      <w:proofErr w:type="spellEnd"/>
      <w:r>
        <w:rPr>
          <w:rFonts w:eastAsia="Times New Roman"/>
          <w:sz w:val="22"/>
          <w:szCs w:val="22"/>
        </w:rPr>
        <w:t xml:space="preserve"> &amp; H. G. Frederickson (Eds.), Accountable governance: Problems and promises (pp. 3–21). M. E. Sharpe.</w:t>
      </w:r>
    </w:p>
    <w:p w:rsidR="00751D35" w:rsidRDefault="008C3E62">
      <w:pPr>
        <w:spacing w:after="120"/>
        <w:ind w:left="720" w:hanging="720"/>
      </w:pPr>
      <w:r>
        <w:rPr>
          <w:rFonts w:eastAsia="Times New Roman"/>
          <w:sz w:val="22"/>
          <w:szCs w:val="22"/>
        </w:rPr>
        <w:t>Schneider, A., &amp; Ingram, H. (1993). Social construction of target populations. American Political Science Review, 87(2), 334–347.</w:t>
      </w:r>
    </w:p>
    <w:p w:rsidR="00751D35" w:rsidRDefault="008C3E62">
      <w:pPr>
        <w:spacing w:after="120"/>
        <w:ind w:left="720" w:hanging="720"/>
      </w:pPr>
      <w:r>
        <w:rPr>
          <w:rFonts w:eastAsia="Times New Roman"/>
          <w:sz w:val="22"/>
          <w:szCs w:val="22"/>
        </w:rPr>
        <w:t>Stone, D. (1989). Policy paradox and political reason. Scott Foresman.</w:t>
      </w:r>
    </w:p>
    <w:p w:rsidR="00751D35" w:rsidRDefault="008C3E62">
      <w:pPr>
        <w:spacing w:after="120"/>
        <w:ind w:left="720" w:hanging="720"/>
      </w:pPr>
      <w:r>
        <w:rPr>
          <w:rFonts w:eastAsia="Times New Roman"/>
          <w:sz w:val="22"/>
          <w:szCs w:val="22"/>
        </w:rPr>
        <w:t xml:space="preserve">van </w:t>
      </w:r>
      <w:proofErr w:type="spellStart"/>
      <w:r>
        <w:rPr>
          <w:rFonts w:eastAsia="Times New Roman"/>
          <w:sz w:val="22"/>
          <w:szCs w:val="22"/>
        </w:rPr>
        <w:t>Bekkum</w:t>
      </w:r>
      <w:proofErr w:type="spellEnd"/>
      <w:r>
        <w:rPr>
          <w:rFonts w:eastAsia="Times New Roman"/>
          <w:sz w:val="22"/>
          <w:szCs w:val="22"/>
        </w:rPr>
        <w:t xml:space="preserve">, M., &amp; </w:t>
      </w:r>
      <w:proofErr w:type="spellStart"/>
      <w:r>
        <w:rPr>
          <w:rFonts w:eastAsia="Times New Roman"/>
          <w:sz w:val="22"/>
          <w:szCs w:val="22"/>
        </w:rPr>
        <w:t>Zuiderveen</w:t>
      </w:r>
      <w:proofErr w:type="spellEnd"/>
      <w:r>
        <w:rPr>
          <w:rFonts w:eastAsia="Times New Roman"/>
          <w:sz w:val="22"/>
          <w:szCs w:val="22"/>
        </w:rPr>
        <w:t xml:space="preserve"> </w:t>
      </w:r>
      <w:proofErr w:type="spellStart"/>
      <w:r>
        <w:rPr>
          <w:rFonts w:eastAsia="Times New Roman"/>
          <w:sz w:val="22"/>
          <w:szCs w:val="22"/>
        </w:rPr>
        <w:t>Borgesius</w:t>
      </w:r>
      <w:proofErr w:type="spellEnd"/>
      <w:r>
        <w:rPr>
          <w:rFonts w:eastAsia="Times New Roman"/>
          <w:sz w:val="22"/>
          <w:szCs w:val="22"/>
        </w:rPr>
        <w:t xml:space="preserve">, F. (2021). Digital welfare fraud detection and the Dutch </w:t>
      </w:r>
      <w:proofErr w:type="spellStart"/>
      <w:r>
        <w:rPr>
          <w:rFonts w:eastAsia="Times New Roman"/>
          <w:sz w:val="22"/>
          <w:szCs w:val="22"/>
        </w:rPr>
        <w:t>SyRI</w:t>
      </w:r>
      <w:proofErr w:type="spellEnd"/>
      <w:r>
        <w:rPr>
          <w:rFonts w:eastAsia="Times New Roman"/>
          <w:sz w:val="22"/>
          <w:szCs w:val="22"/>
        </w:rPr>
        <w:t xml:space="preserve"> judgment. European Journal of Social Security, 23(4), 323–340.</w:t>
      </w:r>
    </w:p>
    <w:p w:rsidR="00751D35" w:rsidRDefault="008C3E62">
      <w:pPr>
        <w:spacing w:after="120"/>
        <w:ind w:left="720" w:hanging="720"/>
      </w:pPr>
      <w:r>
        <w:rPr>
          <w:rFonts w:eastAsia="Times New Roman"/>
          <w:sz w:val="22"/>
          <w:szCs w:val="22"/>
        </w:rPr>
        <w:t>Weber, M. (1992). The Protestant ethic and the spirit of capitalism (T. Parsons, Trans.). Routledge. (Original work published 1904–1905)</w:t>
      </w:r>
    </w:p>
    <w:p w:rsidR="00751D35" w:rsidRDefault="008C3E62">
      <w:pPr>
        <w:spacing w:after="120"/>
        <w:ind w:left="720" w:hanging="720"/>
      </w:pPr>
      <w:proofErr w:type="spellStart"/>
      <w:r>
        <w:rPr>
          <w:rFonts w:eastAsia="Times New Roman"/>
          <w:sz w:val="22"/>
          <w:szCs w:val="22"/>
        </w:rPr>
        <w:t>Wieringa</w:t>
      </w:r>
      <w:proofErr w:type="spellEnd"/>
      <w:r>
        <w:rPr>
          <w:rFonts w:eastAsia="Times New Roman"/>
          <w:sz w:val="22"/>
          <w:szCs w:val="22"/>
        </w:rPr>
        <w:t xml:space="preserve">, M. (2020). What to account for when accounting for algorithms: A systematic literature review on algorithmic </w:t>
      </w:r>
      <w:r>
        <w:rPr>
          <w:rFonts w:eastAsia="Times New Roman"/>
          <w:sz w:val="22"/>
          <w:szCs w:val="22"/>
        </w:rPr>
        <w:t>accountability. Proceedings of the 2020 Conference on Fairness, Accountability, and Transparency (FAT* ’20), 1–18.</w:t>
      </w:r>
    </w:p>
    <w:p w:rsidR="00751D35" w:rsidRDefault="008C3E62">
      <w:pPr>
        <w:spacing w:after="120"/>
        <w:ind w:left="720" w:hanging="720"/>
      </w:pPr>
      <w:proofErr w:type="spellStart"/>
      <w:r>
        <w:rPr>
          <w:rFonts w:eastAsia="Times New Roman"/>
          <w:sz w:val="22"/>
          <w:szCs w:val="22"/>
        </w:rPr>
        <w:t>Wieringa</w:t>
      </w:r>
      <w:proofErr w:type="spellEnd"/>
      <w:r>
        <w:rPr>
          <w:rFonts w:eastAsia="Times New Roman"/>
          <w:sz w:val="22"/>
          <w:szCs w:val="22"/>
        </w:rPr>
        <w:t xml:space="preserve">, M. (2023). “Hey </w:t>
      </w:r>
      <w:proofErr w:type="spellStart"/>
      <w:r>
        <w:rPr>
          <w:rFonts w:eastAsia="Times New Roman"/>
          <w:sz w:val="22"/>
          <w:szCs w:val="22"/>
        </w:rPr>
        <w:t>SyRI</w:t>
      </w:r>
      <w:proofErr w:type="spellEnd"/>
      <w:r>
        <w:rPr>
          <w:rFonts w:eastAsia="Times New Roman"/>
          <w:sz w:val="22"/>
          <w:szCs w:val="22"/>
        </w:rPr>
        <w:t>, tell me about algorithmic accountability”: Lessons from a landmark case. Data &amp; Policy, 5, e2.</w:t>
      </w:r>
    </w:p>
    <w:p w:rsidR="00751D35" w:rsidRDefault="008C3E62">
      <w:pPr>
        <w:spacing w:after="120"/>
        <w:ind w:left="720" w:hanging="720"/>
      </w:pPr>
      <w:r>
        <w:rPr>
          <w:rFonts w:eastAsia="Times New Roman"/>
          <w:sz w:val="22"/>
          <w:szCs w:val="22"/>
        </w:rPr>
        <w:t>Yeung, K. (201</w:t>
      </w:r>
      <w:r>
        <w:rPr>
          <w:rFonts w:eastAsia="Times New Roman"/>
          <w:sz w:val="22"/>
          <w:szCs w:val="22"/>
        </w:rPr>
        <w:t>8). Algorithmic regulation: A critical interrogation. Regulation &amp; Governance, 12(4), 505–523.</w:t>
      </w:r>
    </w:p>
    <w:sectPr w:rsidR="00751D35">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3E62" w:rsidRDefault="008C3E62">
      <w:r>
        <w:separator/>
      </w:r>
    </w:p>
  </w:endnote>
  <w:endnote w:type="continuationSeparator" w:id="0">
    <w:p w:rsidR="008C3E62" w:rsidRDefault="008C3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1D35" w:rsidRDefault="008C3E62">
    <w:pPr>
      <w:jc w:val="center"/>
    </w:pPr>
    <w:r>
      <w:rPr>
        <w:rFonts w:eastAsia="Times New Roman"/>
        <w:sz w:val="18"/>
        <w:szCs w:val="18"/>
      </w:rPr>
      <w:t xml:space="preserve">Page </w:t>
    </w:r>
    <w:r>
      <w:rPr>
        <w:sz w:val="18"/>
        <w:szCs w:val="18"/>
      </w:rPr>
      <w:fldChar w:fldCharType="begin"/>
    </w:r>
    <w:r>
      <w:rPr>
        <w:rFonts w:eastAsia="Times New Roman"/>
        <w:sz w:val="18"/>
        <w:szCs w:val="18"/>
      </w:rPr>
      <w:instrText>PAGE</w:instrText>
    </w:r>
    <w:r w:rsidR="002A150B">
      <w:rPr>
        <w:sz w:val="18"/>
        <w:szCs w:val="18"/>
      </w:rPr>
      <w:fldChar w:fldCharType="separate"/>
    </w:r>
    <w:r w:rsidR="002A150B">
      <w:rPr>
        <w:rFonts w:eastAsia="Times New Roman"/>
        <w:noProof/>
        <w:sz w:val="18"/>
        <w:szCs w:val="18"/>
      </w:rPr>
      <w:t>1</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3E62" w:rsidRDefault="008C3E62">
      <w:r>
        <w:separator/>
      </w:r>
    </w:p>
  </w:footnote>
  <w:footnote w:type="continuationSeparator" w:id="0">
    <w:p w:rsidR="008C3E62" w:rsidRDefault="008C3E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1D35" w:rsidRDefault="008C3E62">
    <w:pPr>
      <w:jc w:val="right"/>
    </w:pPr>
    <w:r>
      <w:rPr>
        <w:rFonts w:eastAsia="Times New Roman"/>
        <w:i/>
        <w:iCs/>
        <w:color w:val="666666"/>
        <w:sz w:val="18"/>
        <w:szCs w:val="18"/>
      </w:rPr>
      <w:t>Not Just a Signature: Four Governance Chains for AI Values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5431B"/>
    <w:multiLevelType w:val="hybridMultilevel"/>
    <w:tmpl w:val="6966C7CC"/>
    <w:lvl w:ilvl="0" w:tplc="620CE728">
      <w:start w:val="1"/>
      <w:numFmt w:val="bullet"/>
      <w:lvlText w:val="●"/>
      <w:lvlJc w:val="left"/>
      <w:pPr>
        <w:ind w:left="720" w:hanging="360"/>
      </w:pPr>
    </w:lvl>
    <w:lvl w:ilvl="1" w:tplc="78E8F160">
      <w:start w:val="1"/>
      <w:numFmt w:val="bullet"/>
      <w:lvlText w:val="○"/>
      <w:lvlJc w:val="left"/>
      <w:pPr>
        <w:ind w:left="1440" w:hanging="360"/>
      </w:pPr>
    </w:lvl>
    <w:lvl w:ilvl="2" w:tplc="9B2C716C">
      <w:start w:val="1"/>
      <w:numFmt w:val="bullet"/>
      <w:lvlText w:val="■"/>
      <w:lvlJc w:val="left"/>
      <w:pPr>
        <w:ind w:left="2160" w:hanging="360"/>
      </w:pPr>
    </w:lvl>
    <w:lvl w:ilvl="3" w:tplc="CD469B96">
      <w:start w:val="1"/>
      <w:numFmt w:val="bullet"/>
      <w:lvlText w:val="●"/>
      <w:lvlJc w:val="left"/>
      <w:pPr>
        <w:ind w:left="2880" w:hanging="360"/>
      </w:pPr>
    </w:lvl>
    <w:lvl w:ilvl="4" w:tplc="58226120">
      <w:start w:val="1"/>
      <w:numFmt w:val="bullet"/>
      <w:lvlText w:val="○"/>
      <w:lvlJc w:val="left"/>
      <w:pPr>
        <w:ind w:left="3600" w:hanging="360"/>
      </w:pPr>
    </w:lvl>
    <w:lvl w:ilvl="5" w:tplc="731C99A0">
      <w:start w:val="1"/>
      <w:numFmt w:val="bullet"/>
      <w:lvlText w:val="■"/>
      <w:lvlJc w:val="left"/>
      <w:pPr>
        <w:ind w:left="4320" w:hanging="360"/>
      </w:pPr>
    </w:lvl>
    <w:lvl w:ilvl="6" w:tplc="3BE2E0BE">
      <w:start w:val="1"/>
      <w:numFmt w:val="bullet"/>
      <w:lvlText w:val="●"/>
      <w:lvlJc w:val="left"/>
      <w:pPr>
        <w:ind w:left="5040" w:hanging="360"/>
      </w:pPr>
    </w:lvl>
    <w:lvl w:ilvl="7" w:tplc="594AD034">
      <w:start w:val="1"/>
      <w:numFmt w:val="bullet"/>
      <w:lvlText w:val="●"/>
      <w:lvlJc w:val="left"/>
      <w:pPr>
        <w:ind w:left="5760" w:hanging="360"/>
      </w:pPr>
    </w:lvl>
    <w:lvl w:ilvl="8" w:tplc="F6A4B4AA">
      <w:start w:val="1"/>
      <w:numFmt w:val="bullet"/>
      <w:lvlText w:val="●"/>
      <w:lvlJc w:val="left"/>
      <w:pPr>
        <w:ind w:left="6480" w:hanging="360"/>
      </w:pPr>
    </w:lvl>
  </w:abstractNum>
  <w:abstractNum w:abstractNumId="1" w15:restartNumberingAfterBreak="0">
    <w:nsid w:val="48E23CBE"/>
    <w:multiLevelType w:val="hybridMultilevel"/>
    <w:tmpl w:val="0B68F822"/>
    <w:lvl w:ilvl="0" w:tplc="DFD0B4AA">
      <w:start w:val="1"/>
      <w:numFmt w:val="decimal"/>
      <w:lvlText w:val="%1."/>
      <w:lvlJc w:val="left"/>
      <w:pPr>
        <w:ind w:left="720" w:hanging="360"/>
      </w:pPr>
    </w:lvl>
    <w:lvl w:ilvl="1" w:tplc="834430D0">
      <w:numFmt w:val="decimal"/>
      <w:lvlText w:val=""/>
      <w:lvlJc w:val="left"/>
    </w:lvl>
    <w:lvl w:ilvl="2" w:tplc="20140B1A">
      <w:numFmt w:val="decimal"/>
      <w:lvlText w:val=""/>
      <w:lvlJc w:val="left"/>
    </w:lvl>
    <w:lvl w:ilvl="3" w:tplc="47BC6CBA">
      <w:numFmt w:val="decimal"/>
      <w:lvlText w:val=""/>
      <w:lvlJc w:val="left"/>
    </w:lvl>
    <w:lvl w:ilvl="4" w:tplc="8D9C0720">
      <w:numFmt w:val="decimal"/>
      <w:lvlText w:val=""/>
      <w:lvlJc w:val="left"/>
    </w:lvl>
    <w:lvl w:ilvl="5" w:tplc="8F26281E">
      <w:numFmt w:val="decimal"/>
      <w:lvlText w:val=""/>
      <w:lvlJc w:val="left"/>
    </w:lvl>
    <w:lvl w:ilvl="6" w:tplc="8EE2DAD8">
      <w:numFmt w:val="decimal"/>
      <w:lvlText w:val=""/>
      <w:lvlJc w:val="left"/>
    </w:lvl>
    <w:lvl w:ilvl="7" w:tplc="2F08BC86">
      <w:numFmt w:val="decimal"/>
      <w:lvlText w:val=""/>
      <w:lvlJc w:val="left"/>
    </w:lvl>
    <w:lvl w:ilvl="8" w:tplc="13B45296">
      <w:numFmt w:val="decimal"/>
      <w:lvlText w:val=""/>
      <w:lvlJc w:val="left"/>
    </w:lvl>
  </w:abstractNum>
  <w:abstractNum w:abstractNumId="2" w15:restartNumberingAfterBreak="0">
    <w:nsid w:val="4F5B2883"/>
    <w:multiLevelType w:val="hybridMultilevel"/>
    <w:tmpl w:val="AD40E0D0"/>
    <w:lvl w:ilvl="0" w:tplc="1CFAFA58">
      <w:start w:val="1"/>
      <w:numFmt w:val="bullet"/>
      <w:lvlText w:val="•"/>
      <w:lvlJc w:val="left"/>
      <w:pPr>
        <w:ind w:left="720" w:hanging="360"/>
      </w:pPr>
    </w:lvl>
    <w:lvl w:ilvl="1" w:tplc="AF3AD06C">
      <w:numFmt w:val="decimal"/>
      <w:lvlText w:val=""/>
      <w:lvlJc w:val="left"/>
    </w:lvl>
    <w:lvl w:ilvl="2" w:tplc="6216501E">
      <w:numFmt w:val="decimal"/>
      <w:lvlText w:val=""/>
      <w:lvlJc w:val="left"/>
    </w:lvl>
    <w:lvl w:ilvl="3" w:tplc="FBAC89F4">
      <w:numFmt w:val="decimal"/>
      <w:lvlText w:val=""/>
      <w:lvlJc w:val="left"/>
    </w:lvl>
    <w:lvl w:ilvl="4" w:tplc="CCEE3DB6">
      <w:numFmt w:val="decimal"/>
      <w:lvlText w:val=""/>
      <w:lvlJc w:val="left"/>
    </w:lvl>
    <w:lvl w:ilvl="5" w:tplc="ED8219DC">
      <w:numFmt w:val="decimal"/>
      <w:lvlText w:val=""/>
      <w:lvlJc w:val="left"/>
    </w:lvl>
    <w:lvl w:ilvl="6" w:tplc="64B4D7B6">
      <w:numFmt w:val="decimal"/>
      <w:lvlText w:val=""/>
      <w:lvlJc w:val="left"/>
    </w:lvl>
    <w:lvl w:ilvl="7" w:tplc="E048C8F2">
      <w:numFmt w:val="decimal"/>
      <w:lvlText w:val=""/>
      <w:lvlJc w:val="left"/>
    </w:lvl>
    <w:lvl w:ilvl="8" w:tplc="95149E48">
      <w:numFmt w:val="decimal"/>
      <w:lvlText w:val=""/>
      <w:lvlJc w:val="left"/>
    </w:lvl>
  </w:abstractNum>
  <w:num w:numId="1">
    <w:abstractNumId w:val="0"/>
    <w:lvlOverride w:ilvl="0">
      <w:startOverride w:val="1"/>
    </w:lvlOverride>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clean"/>
  <w:defaultTabStop w:val="48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D35"/>
    <w:rsid w:val="002A150B"/>
    <w:rsid w:val="00751D35"/>
    <w:rsid w:val="008C3E6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7405F"/>
  <w15:docId w15:val="{71A136D2-05E9-4BD0-A43B-4085A5AE3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4"/>
        <w:szCs w:val="24"/>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uiPriority w:val="9"/>
    <w:qFormat/>
    <w:pPr>
      <w:spacing w:before="360" w:after="200"/>
      <w:outlineLvl w:val="0"/>
    </w:pPr>
    <w:rPr>
      <w:rFonts w:eastAsia="Times New Roman"/>
      <w:b/>
      <w:bCs/>
      <w:sz w:val="28"/>
      <w:szCs w:val="28"/>
    </w:rPr>
  </w:style>
  <w:style w:type="paragraph" w:styleId="2">
    <w:name w:val="heading 2"/>
    <w:uiPriority w:val="9"/>
    <w:unhideWhenUsed/>
    <w:qFormat/>
    <w:pPr>
      <w:spacing w:before="280" w:after="160"/>
      <w:outlineLvl w:val="1"/>
    </w:pPr>
    <w:rPr>
      <w:rFonts w:eastAsia="Times New Roman"/>
      <w:b/>
      <w:bCs/>
    </w:rPr>
  </w:style>
  <w:style w:type="paragraph" w:styleId="3">
    <w:name w:val="heading 3"/>
    <w:uiPriority w:val="9"/>
    <w:semiHidden/>
    <w:unhideWhenUsed/>
    <w:qFormat/>
    <w:pPr>
      <w:spacing w:before="240" w:after="120"/>
      <w:outlineLvl w:val="2"/>
    </w:pPr>
    <w:rPr>
      <w:rFonts w:eastAsia="Times New Roman"/>
      <w:b/>
      <w:bCs/>
      <w:i/>
      <w:iCs/>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pPr>
      <w:spacing w:after="120"/>
      <w:jc w:val="center"/>
    </w:pPr>
    <w:rPr>
      <w:rFonts w:eastAsia="Times New Roman"/>
      <w:b/>
      <w:bCs/>
      <w:sz w:val="32"/>
      <w:szCs w:val="32"/>
    </w:rPr>
  </w:style>
  <w:style w:type="paragraph" w:customStyle="1" w:styleId="10">
    <w:name w:val="強調粗體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註腳文字 字元"/>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章節附註文字 字元"/>
    <w:link w:val="aa"/>
    <w:uiPriority w:val="99"/>
    <w:semiHidden/>
    <w:unhideWhenUsed/>
    <w:rPr>
      <w:sz w:val="20"/>
      <w:szCs w:val="20"/>
    </w:rPr>
  </w:style>
  <w:style w:type="paragraph" w:styleId="ac">
    <w:name w:val="Subtitle"/>
    <w:uiPriority w:val="11"/>
    <w:qFormat/>
    <w:pPr>
      <w:spacing w:after="200"/>
      <w:jc w:val="center"/>
    </w:pPr>
    <w:rPr>
      <w:rFonts w:eastAsia="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10581</Words>
  <Characters>60314</Characters>
  <Application>Microsoft Office Word</Application>
  <DocSecurity>0</DocSecurity>
  <Lines>502</Lines>
  <Paragraphs>141</Paragraphs>
  <ScaleCrop>false</ScaleCrop>
  <Company/>
  <LinksUpToDate>false</LinksUpToDate>
  <CharactersWithSpaces>70754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cp:lastModifiedBy>
  <cp:revision>2</cp:revision>
  <dcterms:created xsi:type="dcterms:W3CDTF">2026-08-14T15:18:00Z</dcterms:created>
  <dcterms:modified xsi:type="dcterms:W3CDTF">2026-08-15T11:24:00Z</dcterms:modified>
</cp:coreProperties>
</file>