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15E8" w:rsidRDefault="00E238D8">
      <w:pPr>
        <w:jc w:val="center"/>
      </w:pPr>
      <w:r>
        <w:rPr>
          <w:b/>
          <w:sz w:val="32"/>
        </w:rPr>
        <w:t>Reframing Instrumentalism: Curriculum Planning for Public Administration in the Age of AI Governance</w:t>
      </w:r>
      <w:r>
        <w:rPr>
          <w:b/>
          <w:sz w:val="32"/>
        </w:rPr>
        <w:br/>
        <w:t>— From Power Transfer Identification to a Scaffolded Blueprint for Governance Auditing Capability —</w:t>
      </w:r>
    </w:p>
    <w:p w:rsidR="008815E8" w:rsidRDefault="00E238D8">
      <w:pPr>
        <w:jc w:val="center"/>
      </w:pPr>
      <w:r>
        <w:t>Lancelot</w:t>
      </w:r>
      <w:r>
        <w:t xml:space="preserve"> Lu | AI Governance Research Series No. 15 | </w:t>
      </w:r>
      <w:r>
        <w:t>Conceptual Framework and Curriculum Blueprint</w:t>
      </w:r>
      <w:bookmarkStart w:id="0" w:name="_GoBack"/>
      <w:bookmarkEnd w:id="0"/>
    </w:p>
    <w:p w:rsidR="008815E8" w:rsidRDefault="00E238D8">
      <w:pPr>
        <w:pStyle w:val="1"/>
      </w:pPr>
      <w:r>
        <w:t>Abstract</w:t>
      </w:r>
    </w:p>
    <w:p w:rsidR="008815E8" w:rsidRDefault="00E238D8">
      <w:r>
        <w:t>This article argues that if public administration education merely positions artificial intelligence (AI) as a tool for prompt engineering, document summarization, or data processing, it will fail to a</w:t>
      </w:r>
      <w:r>
        <w:t>ddress AI's substantive reconfiguration of administrative facts, discretion, and public power effects. Drawing on the "25-3-3-4-7" meta-framework as an analytical instrument, this paper proposes a scaffolded curriculum blueprint spanning bachelor's to doct</w:t>
      </w:r>
      <w:r>
        <w:t xml:space="preserve">oral levels. The blueprint sequentially cultivates students' capacity for (a) 25-governance-coordinate positioning, (b) P1 transfer of context construction and fact-finding authority, (c) P2 transfer of administrative discretion and value judgment, (d) P3 </w:t>
      </w:r>
      <w:r>
        <w:t>substantive impact on public power decisions, and (e) four governance chains and seven governance audit capabilities. Adopting conceptual construction, literature analysis, and exploratory diagnosis of Taiwanese regulatory documents, this study does not ex</w:t>
      </w:r>
      <w:r>
        <w:t>trapolate isolated courses or workshops into national statistical conclusions. Its contribution lies in transforming AI literacy from technical operation into an observable, teachable, and assessable public governance competency.</w:t>
      </w:r>
    </w:p>
    <w:p w:rsidR="008815E8" w:rsidRDefault="00E238D8">
      <w:r>
        <w:rPr>
          <w:b/>
        </w:rPr>
        <w:t xml:space="preserve">Keywords: </w:t>
      </w:r>
      <w:r>
        <w:t>AI governance, p</w:t>
      </w:r>
      <w:r>
        <w:t>ublic administration education, administrative discretion, algorithmic accountability, curriculum design, governance audit</w:t>
      </w:r>
    </w:p>
    <w:p w:rsidR="008815E8" w:rsidRDefault="00E238D8">
      <w:pPr>
        <w:pStyle w:val="1"/>
      </w:pPr>
      <w:r>
        <w:t>I. Introduction: The Instrumentalist Trap in Public Administration Education</w:t>
      </w:r>
    </w:p>
    <w:p w:rsidR="008815E8" w:rsidRDefault="00E238D8">
      <w:r>
        <w:t>Since the diffusion of generative AI into universities a</w:t>
      </w:r>
      <w:r>
        <w:t>nd government agencies, the most common educational responses have been prompt engineering workshops, official document summarization, slide generation, data retrieval, and academic integrity advocacy. These contents are not useless; the problem is that th</w:t>
      </w:r>
      <w:r>
        <w:t>ey often treat AI as a neutral efficiency tool without asking how systems predefine visible facts, recommend acceptable options, or render administrative dispositions formally human-made while substantively dominated by model outputs. The task of public ad</w:t>
      </w:r>
      <w:r>
        <w:t>ministration education, therefore, is not to add one more software operation course, but to restore analytical capacity regarding power, legitimacy, responsibility, and public value.</w:t>
      </w:r>
    </w:p>
    <w:p w:rsidR="008815E8" w:rsidRDefault="00E238D8">
      <w:r>
        <w:lastRenderedPageBreak/>
        <w:t xml:space="preserve">The research question of this paper is: How should public administration </w:t>
      </w:r>
      <w:r>
        <w:t>education reframe AI from "tool use" to an analytical object of "administrative power and institutional structure," and design a continuous and assessable capability development pathway?</w:t>
      </w:r>
    </w:p>
    <w:p w:rsidR="008815E8" w:rsidRDefault="00E238D8">
      <w:pPr>
        <w:pStyle w:val="1"/>
      </w:pPr>
      <w:r>
        <w:t>II. Research Positioning, Scope, and Methods</w:t>
      </w:r>
    </w:p>
    <w:p w:rsidR="008815E8" w:rsidRDefault="00E238D8">
      <w:r>
        <w:t>This paper is a stand-al</w:t>
      </w:r>
      <w:r>
        <w:t>one applied article that adopts conceptual construction, literature analysis, and normative document analysis. Analytical materials include public administration and algorithmic governance literature, digital government paradigm literature, and publicly ve</w:t>
      </w:r>
      <w:r>
        <w:t>rifiable norms such as the Taipei City Government's 2024 Guidelines on the Use of Artificial Intelligence. This article does not claim to have completed a census of all public administration departments in Taiwan; the "starry sky map" is only an explorator</w:t>
      </w:r>
      <w:r>
        <w:t>y diagnosis based on documents and observable teaching phenomena, which should be subsequently verified through syllabus collection, faculty interviews, and pre-post competency tests of students.</w:t>
      </w:r>
    </w:p>
    <w:p w:rsidR="008815E8" w:rsidRDefault="00E238D8">
      <w:r>
        <w:t>This study employs the 25 governance coordinates, three func</w:t>
      </w:r>
      <w:r>
        <w:t>tional transfers (P1/P2/P3), and three structural effects from the meta-framework as core analytical tools for educational issues. The four governance chains and seven governance audits are used as guides for course content and case reports, and are not tr</w:t>
      </w:r>
      <w:r>
        <w:t>eated as quantitative scoring scales in this paper.</w:t>
      </w:r>
    </w:p>
    <w:p w:rsidR="008815E8" w:rsidRDefault="00E238D8">
      <w:pPr>
        <w:pStyle w:val="1"/>
      </w:pPr>
      <w:r>
        <w:t>III. Literature and Paradigm Matrix: From Digital Tools to Power Transfers</w:t>
      </w:r>
    </w:p>
    <w:p w:rsidR="008815E8" w:rsidRDefault="00E238D8">
      <w:r>
        <w:t>Taiwanese public administration literature has begun to provide important theoretical and empirical footholds. Huang, Tseng, Liao</w:t>
      </w:r>
      <w:r>
        <w:t>, and Chen (2021) reflected on AI entering government from the perspectives of public value, ethical risk, and administrative discretion; Huang and Chen (2023) further pointed out from a multi-level perspective that AI collaboration involves value misalign</w:t>
      </w:r>
      <w:r>
        <w:t>ment, multiple agents, and automation bias. Chang et al. (2024) explain from the perspective of public service institutional design and regulatory adaptation that risk orientation, organizational supervision, and evidence-based decision-making must be inst</w:t>
      </w:r>
      <w:r>
        <w:t>itutionalized. These discussions support the judgment of this paper: The deficiency in public administration education is not merely a lack of tool training, but a lack of analytical ability linking technical use to discretion, organization, and public val</w:t>
      </w:r>
      <w:r>
        <w:t>ue.</w:t>
      </w:r>
    </w:p>
    <w:p w:rsidR="008815E8" w:rsidRDefault="00E238D8">
      <w:r>
        <w:t>Existing digital government research indicates that information technology does not merely change administrative speed, but may also shift discretion from the street level to system design, data rules, and organizational control nodes (Bovens &amp; Zouridi</w:t>
      </w:r>
      <w:r>
        <w:t xml:space="preserve">s, 2002). Alkhatib and Bernstein (2019) further remind us that algorithms fill the gap between policy norms and individual decisions but lack the capacity of human street-level </w:t>
      </w:r>
      <w:r>
        <w:lastRenderedPageBreak/>
        <w:t>bureaucrats to reflect and revise criteria in real time in new situations. Ther</w:t>
      </w:r>
      <w:r>
        <w:t>efore, this study does not regard P1–P3 as stages of technical maturity, but rather distinguishes different ways in which administrative power is affected in the three segments of fact, discretion, and outcome.</w:t>
      </w:r>
    </w:p>
    <w:p w:rsidR="008815E8" w:rsidRDefault="00E238D8">
      <w:r>
        <w:t>In traditional public administration and admi</w:t>
      </w:r>
      <w:r>
        <w:t>nistrative-law discussions, administrative discretion has never been unconstrained personal freedom; it is a space for judgment that must be exercised within statutory purposes, reason-giving, and procedural safeguards. Davis's (1969) classic discussion of</w:t>
      </w:r>
      <w:r>
        <w:t xml:space="preserve"> controls on discretion reminds us that institutions must not only confer discretion, but also make its grounds and limits reviewable. When AI intervenes in P2, the question is therefore not simply whether machines replace people, but whether rankings, rec</w:t>
      </w:r>
      <w:r>
        <w:t>ommendations, risk scores, or drafts pre-structure the options case officers can see, the reasons they can offer, and the judgments they can overturn. If so, what is traditionally described as failure to exercise discretion may take the form of accepting a</w:t>
      </w:r>
      <w:r>
        <w:t xml:space="preserve"> system recommendation without review; abuse of discretion may also be concealed in opaque ranking logics, the exclusion of exceptions, or the setting of weights. Curriculum design should enable students to identify both whether officials actually exercise</w:t>
      </w:r>
      <w:r>
        <w:t xml:space="preserve"> judgment and whether institutions preserve sufficient space for reasons, dissent, and correction to support due process.</w:t>
      </w:r>
    </w:p>
    <w:p w:rsidR="008815E8" w:rsidRDefault="00E238D8">
      <w:r>
        <w:t>Public sector AI governance also cannot stop at abstract ethical principles. The European Union's Artificial Intelligence Act (Regulat</w:t>
      </w:r>
      <w:r>
        <w:t>ion (EU) 2024/1689), with its classification of high-risk systems, risk management, human oversight, record-keeping, and transparency requirements, provides a reference for transforming rights risks into institutional obligations. This article does not dir</w:t>
      </w:r>
      <w:r>
        <w:t>ectly transplant EU norms to Taiwan, but uses them as supplementary teaching material for comparing "tool use" versus "rights-impact-oriented governance" in the classroom.</w:t>
      </w:r>
    </w:p>
    <w:p w:rsidR="008815E8" w:rsidRDefault="00E238D8">
      <w:r>
        <w:rPr>
          <w:b/>
        </w:rPr>
        <w:t>Table 1</w:t>
      </w:r>
    </w:p>
    <w:p w:rsidR="008815E8" w:rsidRDefault="00E238D8">
      <w:r>
        <w:rPr>
          <w:i/>
        </w:rPr>
        <w:t>Paradigm Matrix: From Instrumentalism to Power Transfer Analysis</w:t>
      </w:r>
    </w:p>
    <w:tbl>
      <w:tblPr>
        <w:tblStyle w:val="-11"/>
        <w:tblW w:w="0" w:type="auto"/>
        <w:tblLook w:val="04A0" w:firstRow="1" w:lastRow="0" w:firstColumn="1" w:lastColumn="0" w:noHBand="0" w:noVBand="1"/>
      </w:tblPr>
      <w:tblGrid>
        <w:gridCol w:w="1728"/>
        <w:gridCol w:w="1728"/>
        <w:gridCol w:w="1728"/>
        <w:gridCol w:w="1728"/>
        <w:gridCol w:w="1728"/>
      </w:tblGrid>
      <w:tr w:rsidR="008815E8" w:rsidTr="008815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8815E8" w:rsidRDefault="00E238D8">
            <w:r>
              <w:rPr>
                <w:sz w:val="18"/>
              </w:rPr>
              <w:t xml:space="preserve">Paradigm / </w:t>
            </w:r>
            <w:r>
              <w:rPr>
                <w:sz w:val="18"/>
              </w:rPr>
              <w:t>Perspective</w:t>
            </w:r>
          </w:p>
        </w:tc>
        <w:tc>
          <w:tcPr>
            <w:tcW w:w="1728" w:type="dxa"/>
          </w:tcPr>
          <w:p w:rsidR="008815E8" w:rsidRDefault="00E238D8">
            <w:pPr>
              <w:cnfStyle w:val="100000000000" w:firstRow="1" w:lastRow="0" w:firstColumn="0" w:lastColumn="0" w:oddVBand="0" w:evenVBand="0" w:oddHBand="0" w:evenHBand="0" w:firstRowFirstColumn="0" w:firstRowLastColumn="0" w:lastRowFirstColumn="0" w:lastRowLastColumn="0"/>
            </w:pPr>
            <w:r>
              <w:rPr>
                <w:sz w:val="18"/>
              </w:rPr>
              <w:t>Core Assumption</w:t>
            </w:r>
          </w:p>
        </w:tc>
        <w:tc>
          <w:tcPr>
            <w:tcW w:w="1728" w:type="dxa"/>
          </w:tcPr>
          <w:p w:rsidR="008815E8" w:rsidRDefault="00E238D8">
            <w:pPr>
              <w:cnfStyle w:val="100000000000" w:firstRow="1" w:lastRow="0" w:firstColumn="0" w:lastColumn="0" w:oddVBand="0" w:evenVBand="0" w:oddHBand="0" w:evenHBand="0" w:firstRowFirstColumn="0" w:firstRowLastColumn="0" w:lastRowFirstColumn="0" w:lastRowLastColumn="0"/>
            </w:pPr>
            <w:r>
              <w:rPr>
                <w:sz w:val="18"/>
              </w:rPr>
              <w:t>Curricular Focus</w:t>
            </w:r>
          </w:p>
        </w:tc>
        <w:tc>
          <w:tcPr>
            <w:tcW w:w="1728" w:type="dxa"/>
          </w:tcPr>
          <w:p w:rsidR="008815E8" w:rsidRDefault="00E238D8">
            <w:pPr>
              <w:cnfStyle w:val="100000000000" w:firstRow="1" w:lastRow="0" w:firstColumn="0" w:lastColumn="0" w:oddVBand="0" w:evenVBand="0" w:oddHBand="0" w:evenHBand="0" w:firstRowFirstColumn="0" w:firstRowLastColumn="0" w:lastRowFirstColumn="0" w:lastRowLastColumn="0"/>
            </w:pPr>
            <w:r>
              <w:rPr>
                <w:sz w:val="18"/>
              </w:rPr>
              <w:t>Representative Literature</w:t>
            </w:r>
          </w:p>
        </w:tc>
        <w:tc>
          <w:tcPr>
            <w:tcW w:w="1728" w:type="dxa"/>
          </w:tcPr>
          <w:p w:rsidR="008815E8" w:rsidRDefault="00E238D8">
            <w:pPr>
              <w:cnfStyle w:val="100000000000" w:firstRow="1" w:lastRow="0" w:firstColumn="0" w:lastColumn="0" w:oddVBand="0" w:evenVBand="0" w:oddHBand="0" w:evenHBand="0" w:firstRowFirstColumn="0" w:firstRowLastColumn="0" w:lastRowFirstColumn="0" w:lastRowLastColumn="0"/>
            </w:pPr>
            <w:r>
              <w:rPr>
                <w:sz w:val="18"/>
              </w:rPr>
              <w:t>Diagnosis via Meta-Framework</w:t>
            </w:r>
          </w:p>
        </w:tc>
      </w:tr>
      <w:tr w:rsidR="008815E8" w:rsidTr="008815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8815E8" w:rsidRDefault="00E238D8">
            <w:r>
              <w:rPr>
                <w:sz w:val="18"/>
              </w:rPr>
              <w:t>Digital Government &amp; Instrumentalism</w:t>
            </w:r>
          </w:p>
        </w:tc>
        <w:tc>
          <w:tcPr>
            <w:tcW w:w="1728"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AI primarily enhances efficiency, process, and service quality.</w:t>
            </w:r>
          </w:p>
        </w:tc>
        <w:tc>
          <w:tcPr>
            <w:tcW w:w="1728"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 xml:space="preserve">Tool operation, data retrieval, customer service, and </w:t>
            </w:r>
            <w:r>
              <w:rPr>
                <w:sz w:val="18"/>
              </w:rPr>
              <w:t>process automation.</w:t>
            </w:r>
          </w:p>
        </w:tc>
        <w:tc>
          <w:tcPr>
            <w:tcW w:w="1728"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Dunleavy et al. (2006); Margetts &amp; Dorobantu (2019)</w:t>
            </w:r>
          </w:p>
        </w:tc>
        <w:tc>
          <w:tcPr>
            <w:tcW w:w="1728"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Mostly locked in Management Operation × Organization; prone to ignoring P1–P3 power transfers.</w:t>
            </w:r>
          </w:p>
        </w:tc>
      </w:tr>
      <w:tr w:rsidR="008815E8" w:rsidTr="008815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8815E8" w:rsidRDefault="00E238D8">
            <w:r>
              <w:rPr>
                <w:sz w:val="18"/>
              </w:rPr>
              <w:t>Street-Level Bureaucracy &amp; Algorithmic Discretion</w:t>
            </w:r>
          </w:p>
        </w:tc>
        <w:tc>
          <w:tcPr>
            <w:tcW w:w="1728"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Information systems reorganize street-</w:t>
            </w:r>
            <w:r>
              <w:rPr>
                <w:sz w:val="18"/>
              </w:rPr>
              <w:t>level discretion and case treatment.</w:t>
            </w:r>
          </w:p>
        </w:tc>
        <w:tc>
          <w:tcPr>
            <w:tcW w:w="1728"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Risk assessment, system-level bureaucracy, review, and exception handling.</w:t>
            </w:r>
          </w:p>
        </w:tc>
        <w:tc>
          <w:tcPr>
            <w:tcW w:w="1728"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Bovens &amp; Zouridis (2002); Eubanks (2018)</w:t>
            </w:r>
          </w:p>
        </w:tc>
        <w:tc>
          <w:tcPr>
            <w:tcW w:w="1728"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Highlights P2 and P3; still needs to return to P1 to examine how facts are constructed.</w:t>
            </w:r>
          </w:p>
        </w:tc>
      </w:tr>
      <w:tr w:rsidR="008815E8" w:rsidTr="008815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8815E8" w:rsidRDefault="00E238D8">
            <w:r>
              <w:rPr>
                <w:sz w:val="18"/>
              </w:rPr>
              <w:lastRenderedPageBreak/>
              <w:t>Algorithmic Ac</w:t>
            </w:r>
            <w:r>
              <w:rPr>
                <w:sz w:val="18"/>
              </w:rPr>
              <w:t>countability &amp; AI Ethics</w:t>
            </w:r>
          </w:p>
        </w:tc>
        <w:tc>
          <w:tcPr>
            <w:tcW w:w="1728"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Transparency, fairness, privacy, and explainability are necessary governance conditions.</w:t>
            </w:r>
          </w:p>
        </w:tc>
        <w:tc>
          <w:tcPr>
            <w:tcW w:w="1728"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Bias, explainability, compliance, privacy, and security.</w:t>
            </w:r>
          </w:p>
        </w:tc>
        <w:tc>
          <w:tcPr>
            <w:tcW w:w="1728"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Pasquale (2015); Busuioc (2021)</w:t>
            </w:r>
          </w:p>
        </w:tc>
        <w:tc>
          <w:tcPr>
            <w:tcW w:w="1728"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Strengthens reason and responsibility chains but need</w:t>
            </w:r>
            <w:r>
              <w:rPr>
                <w:sz w:val="18"/>
              </w:rPr>
              <w:t>s to supplement context construction chain and institutional design.</w:t>
            </w:r>
          </w:p>
        </w:tc>
      </w:tr>
      <w:tr w:rsidR="008815E8" w:rsidTr="008815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8815E8" w:rsidRDefault="00E238D8">
            <w:r>
              <w:rPr>
                <w:sz w:val="18"/>
              </w:rPr>
              <w:t>This Paper: Power Transfer &amp; Scaffolded Map</w:t>
            </w:r>
          </w:p>
        </w:tc>
        <w:tc>
          <w:tcPr>
            <w:tcW w:w="1728"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AI reconfigures administrative power and institutional structure; education should cultivate governance judgment.</w:t>
            </w:r>
          </w:p>
        </w:tc>
        <w:tc>
          <w:tcPr>
            <w:tcW w:w="1728"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Coordinate positioning, P1–P</w:t>
            </w:r>
            <w:r>
              <w:rPr>
                <w:sz w:val="18"/>
              </w:rPr>
              <w:t>3 identification, four-chain tracing, and seven-audit.</w:t>
            </w:r>
          </w:p>
        </w:tc>
        <w:tc>
          <w:tcPr>
            <w:tcW w:w="1728"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This paper; AI Governance Research Series (2026)</w:t>
            </w:r>
          </w:p>
        </w:tc>
        <w:tc>
          <w:tcPr>
            <w:tcW w:w="1728"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Integrates 25-3-3-4-7 to form a continuous public governance capability.</w:t>
            </w:r>
          </w:p>
        </w:tc>
      </w:tr>
    </w:tbl>
    <w:p w:rsidR="008815E8" w:rsidRDefault="00E238D8">
      <w:r>
        <w:t xml:space="preserve">Note. Table 1 maps four paradigms of AI-related public administration </w:t>
      </w:r>
      <w:r>
        <w:t>education against their assumptions and gaps diagnosed through the meta-framework.</w:t>
      </w:r>
    </w:p>
    <w:p w:rsidR="008815E8" w:rsidRDefault="00E238D8">
      <w:pPr>
        <w:pStyle w:val="1"/>
      </w:pPr>
      <w:r>
        <w:t>IV. Theoretical Instruments: Educational Operationalization of 25-3-3-4-7</w:t>
      </w:r>
    </w:p>
    <w:p w:rsidR="008815E8" w:rsidRDefault="00E238D8">
      <w:r>
        <w:t xml:space="preserve">The "25-3-3-4-7" referred to in this paper is not a scale that sums all elements into a total </w:t>
      </w:r>
      <w:r>
        <w:t xml:space="preserve">score, but rather an analytical language for sequential positioning, identification, tracing, and verification. It originates from the parent paper of this series, Reconceptualizing Artificial Intelligence Governance (AI Governance Research Series, 2026). </w:t>
      </w:r>
      <w:r>
        <w:t>The innovation of this paper does not lie in re-declaring the meta-framework, but in translating it into curriculum competencies, operational steps, and assessment evidence.</w:t>
      </w:r>
    </w:p>
    <w:p w:rsidR="008815E8" w:rsidRDefault="00E238D8">
      <w:r>
        <w:rPr>
          <w:b/>
        </w:rPr>
        <w:t xml:space="preserve">Figure 1 / </w:t>
      </w:r>
      <w:r>
        <w:rPr>
          <w:b/>
        </w:rPr>
        <w:t>圖</w:t>
      </w:r>
      <w:r>
        <w:rPr>
          <w:b/>
        </w:rPr>
        <w:t>1 5×5 Public Administration Analysis Map under AI Governance / AI</w:t>
      </w:r>
      <w:r>
        <w:rPr>
          <w:b/>
        </w:rPr>
        <w:t>治理下的</w:t>
      </w:r>
      <w:r>
        <w:rPr>
          <w:b/>
        </w:rPr>
        <w:t>5</w:t>
      </w:r>
      <w:r>
        <w:rPr>
          <w:b/>
        </w:rPr>
        <w:t>×5</w:t>
      </w:r>
      <w:r>
        <w:rPr>
          <w:b/>
        </w:rPr>
        <w:t>公共行政分析圖</w:t>
      </w:r>
    </w:p>
    <w:p w:rsidR="008815E8" w:rsidRDefault="00E238D8">
      <w:r>
        <w:t>The 25 governance coordinates are formed by crossing five analytical levels (Philosophy &amp; Value, Institutional Division, Policy System, Organizational Design, Management Operation) with five analytical units (Individual, Group, Organization, Soci</w:t>
      </w:r>
      <w:r>
        <w:t>ety, International). Students first determine the original grid position and then use evidence to judge whether cross-grid movement has occurred. P1, P2, and P3 enable students not to conflate all AI applications: P1 concerns how data selection, categories</w:t>
      </w:r>
      <w:r>
        <w:t>, labels, and thresholds constitute administrative facts; P2 concerns how ranking, recommendation, and risk scores alter discretion; and P3 concerns whether outputs directly or quasi-directly produce benefits, investigations, penalties, or other rights-obl</w:t>
      </w:r>
      <w:r>
        <w:t>igations effects.</w:t>
      </w:r>
    </w:p>
    <w:p w:rsidR="008815E8" w:rsidRDefault="00E238D8">
      <w:pPr>
        <w:jc w:val="center"/>
      </w:pPr>
      <w:r>
        <w:t>[Figure 1 image: ]</w:t>
      </w:r>
    </w:p>
    <w:p w:rsidR="008815E8" w:rsidRDefault="00E238D8">
      <w:r>
        <w:t xml:space="preserve">Figure 1. 5×5 Public Administration Analysis Map under AI Governance. </w:t>
      </w:r>
      <w:r>
        <w:t>圖</w:t>
      </w:r>
      <w:r>
        <w:t>1 AI</w:t>
      </w:r>
      <w:r>
        <w:t>治理下的</w:t>
      </w:r>
      <w:r>
        <w:t>5×5</w:t>
      </w:r>
      <w:r>
        <w:t>公共行政分析圖</w:t>
      </w:r>
      <w:r>
        <w:t>. The matrix crosses five levels with five units; each cell represents a potential governance locus. Students must provide evidenc</w:t>
      </w:r>
      <w:r>
        <w:t xml:space="preserve">e for original </w:t>
      </w:r>
      <w:r>
        <w:lastRenderedPageBreak/>
        <w:t xml:space="preserve">positioning and cross-grid movement. Note. Adapted from AI Governance Research Series (2026). / </w:t>
      </w:r>
      <w:r>
        <w:t>註：矩陣由五層次與五單位交叉構成，學生須以證據判定原始格位與跨格移動。資料來源：作者改編自</w:t>
      </w:r>
      <w:r>
        <w:t>AI</w:t>
      </w:r>
      <w:r>
        <w:t>治理研究系列（</w:t>
      </w:r>
      <w:r>
        <w:t>2026</w:t>
      </w:r>
      <w:r>
        <w:t>）。</w:t>
      </w:r>
    </w:p>
    <w:p w:rsidR="008815E8" w:rsidRDefault="00E238D8">
      <w:r>
        <w:rPr>
          <w:b/>
        </w:rPr>
        <w:t>Table 2</w:t>
      </w:r>
    </w:p>
    <w:p w:rsidR="008815E8" w:rsidRDefault="00E238D8">
      <w:r>
        <w:rPr>
          <w:i/>
        </w:rPr>
        <w:t>Operational Definitions of P1–P3 and Structural Effects</w:t>
      </w:r>
    </w:p>
    <w:tbl>
      <w:tblPr>
        <w:tblStyle w:val="-11"/>
        <w:tblW w:w="0" w:type="auto"/>
        <w:tblLook w:val="04A0" w:firstRow="1" w:lastRow="0" w:firstColumn="1" w:lastColumn="0" w:noHBand="0" w:noVBand="1"/>
      </w:tblPr>
      <w:tblGrid>
        <w:gridCol w:w="2880"/>
        <w:gridCol w:w="2880"/>
        <w:gridCol w:w="2880"/>
      </w:tblGrid>
      <w:tr w:rsidR="008815E8" w:rsidTr="008815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Component</w:t>
            </w:r>
          </w:p>
        </w:tc>
        <w:tc>
          <w:tcPr>
            <w:tcW w:w="2880" w:type="dxa"/>
          </w:tcPr>
          <w:p w:rsidR="008815E8" w:rsidRDefault="00E238D8">
            <w:pPr>
              <w:cnfStyle w:val="100000000000" w:firstRow="1" w:lastRow="0" w:firstColumn="0" w:lastColumn="0" w:oddVBand="0" w:evenVBand="0" w:oddHBand="0" w:evenHBand="0" w:firstRowFirstColumn="0" w:firstRowLastColumn="0" w:lastRowFirstColumn="0" w:lastRowLastColumn="0"/>
            </w:pPr>
            <w:r>
              <w:rPr>
                <w:sz w:val="18"/>
              </w:rPr>
              <w:t>Operationa</w:t>
            </w:r>
            <w:r>
              <w:rPr>
                <w:sz w:val="18"/>
              </w:rPr>
              <w:t>l Definition</w:t>
            </w:r>
          </w:p>
        </w:tc>
        <w:tc>
          <w:tcPr>
            <w:tcW w:w="2880" w:type="dxa"/>
          </w:tcPr>
          <w:p w:rsidR="008815E8" w:rsidRDefault="00E238D8">
            <w:pPr>
              <w:cnfStyle w:val="100000000000" w:firstRow="1" w:lastRow="0" w:firstColumn="0" w:lastColumn="0" w:oddVBand="0" w:evenVBand="0" w:oddHBand="0" w:evenHBand="0" w:firstRowFirstColumn="0" w:firstRowLastColumn="0" w:lastRowFirstColumn="0" w:lastRowLastColumn="0"/>
            </w:pPr>
            <w:r>
              <w:rPr>
                <w:sz w:val="18"/>
              </w:rPr>
              <w:t>Observable Criteria / Minimum Evidence</w:t>
            </w:r>
          </w:p>
        </w:tc>
      </w:tr>
      <w:tr w:rsidR="008815E8" w:rsidTr="008815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 xml:space="preserve">P1: Context Construction &amp; Fact-Finding / </w:t>
            </w:r>
            <w:r>
              <w:rPr>
                <w:sz w:val="18"/>
              </w:rPr>
              <w:t>情境建構與事實認定</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System influences what counts as relevant fact through data fields, tags, categories, or thresholds.</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 xml:space="preserve">Data dictionary, prompts, data sources, exclusion </w:t>
            </w:r>
            <w:r>
              <w:rPr>
                <w:sz w:val="18"/>
              </w:rPr>
              <w:t>rules, or threshold settings.</w:t>
            </w:r>
          </w:p>
        </w:tc>
      </w:tr>
      <w:tr w:rsidR="008815E8" w:rsidTr="008815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 xml:space="preserve">P2: Administrative Discretion &amp; Value Judgment / </w:t>
            </w:r>
            <w:r>
              <w:rPr>
                <w:sz w:val="18"/>
              </w:rPr>
              <w:t>行政裁量與價值判斷</w:t>
            </w:r>
          </w:p>
        </w:tc>
        <w:tc>
          <w:tcPr>
            <w:tcW w:w="2880"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System alters visible options and trade-offs via ranking, recommendation, risk scores, or drafts.</w:t>
            </w:r>
          </w:p>
        </w:tc>
        <w:tc>
          <w:tcPr>
            <w:tcW w:w="2880"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 xml:space="preserve">System output, human revision trace, review comments, and </w:t>
            </w:r>
            <w:r>
              <w:rPr>
                <w:sz w:val="18"/>
              </w:rPr>
              <w:t>adoption/rejection reasons.</w:t>
            </w:r>
          </w:p>
        </w:tc>
      </w:tr>
      <w:tr w:rsidR="008815E8" w:rsidTr="008815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 xml:space="preserve">P3: Substantive Impact of Public Power Decision / </w:t>
            </w:r>
            <w:r>
              <w:rPr>
                <w:sz w:val="18"/>
              </w:rPr>
              <w:t>公權力決定實質影響</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Output triggers rights-obligations effects directly or quasi-directly without meaningful independent human judgment.</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Decision process, substantive review, exception ha</w:t>
            </w:r>
            <w:r>
              <w:rPr>
                <w:sz w:val="18"/>
              </w:rPr>
              <w:t>ndling, overturnability, and final effect evidence; insufficient cases marked as NA.</w:t>
            </w:r>
          </w:p>
        </w:tc>
      </w:tr>
      <w:tr w:rsidR="008815E8" w:rsidTr="008815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 xml:space="preserve">Cross-Grid Movement / </w:t>
            </w:r>
            <w:r>
              <w:rPr>
                <w:sz w:val="18"/>
              </w:rPr>
              <w:t>跨格移動</w:t>
            </w:r>
          </w:p>
        </w:tc>
        <w:tc>
          <w:tcPr>
            <w:tcW w:w="2880"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AI influence spills over from original coordinate to other levels or units.</w:t>
            </w:r>
          </w:p>
        </w:tc>
        <w:tc>
          <w:tcPr>
            <w:tcW w:w="2880"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Traceable process or institutional evidence in at least two coordin</w:t>
            </w:r>
            <w:r>
              <w:rPr>
                <w:sz w:val="18"/>
              </w:rPr>
              <w:t>ates.</w:t>
            </w:r>
          </w:p>
        </w:tc>
      </w:tr>
      <w:tr w:rsidR="008815E8" w:rsidTr="008815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 xml:space="preserve">Boundary Dissolution / </w:t>
            </w:r>
            <w:r>
              <w:rPr>
                <w:sz w:val="18"/>
              </w:rPr>
              <w:t>邊界消解</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Boundaries among human judgment, data rules, and model outputs become indistinguishable.</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Evidence of inconsistency between formal responsibility documents and actual workflow.</w:t>
            </w:r>
          </w:p>
        </w:tc>
      </w:tr>
      <w:tr w:rsidR="008815E8" w:rsidTr="008815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 xml:space="preserve">Authority Reconstruction / </w:t>
            </w:r>
            <w:r>
              <w:rPr>
                <w:sz w:val="18"/>
              </w:rPr>
              <w:t>權威重構</w:t>
            </w:r>
          </w:p>
        </w:tc>
        <w:tc>
          <w:tcPr>
            <w:tcW w:w="2880"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Statutory de</w:t>
            </w:r>
            <w:r>
              <w:rPr>
                <w:sz w:val="18"/>
              </w:rPr>
              <w:t>cision-maker and substantive influencer separate.</w:t>
            </w:r>
          </w:p>
        </w:tc>
        <w:tc>
          <w:tcPr>
            <w:tcW w:w="2880"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Comparison of approval authority, system design authority, data control, and stop authority.</w:t>
            </w:r>
          </w:p>
        </w:tc>
      </w:tr>
    </w:tbl>
    <w:p w:rsidR="008815E8" w:rsidRDefault="00E238D8">
      <w:pPr>
        <w:pStyle w:val="21"/>
      </w:pPr>
      <w:r>
        <w:t>A. Four Governance Chains and Seven Governance Audits</w:t>
      </w:r>
    </w:p>
    <w:p w:rsidR="008815E8" w:rsidRDefault="00E238D8">
      <w:r>
        <w:t>The context construction chain asks, "Which data, categori</w:t>
      </w:r>
      <w:r>
        <w:t>es, and exclusion rules define the problem?"; the authority chain asks, "Who has the right to set, approve, review, and stop the system?"; the reason chain asks, "Can an understandable, traceable justification be provided between output and decision?"; and</w:t>
      </w:r>
      <w:r>
        <w:t xml:space="preserve"> the responsibility chain asks, "When errors occur, who bears the duty of correction, remedy, and institutional accountability?" The seven governance audits transform these questions into collectible evidence on data representativeness, reason-giving, resp</w:t>
      </w:r>
      <w:r>
        <w:t>onsibility attribution, privacy and security, discretionary boundaries, organizational capacity, and democratic accountability.</w:t>
      </w:r>
    </w:p>
    <w:p w:rsidR="008815E8" w:rsidRDefault="00E238D8">
      <w:r>
        <w:rPr>
          <w:b/>
        </w:rPr>
        <w:t xml:space="preserve">Figure 2 / </w:t>
      </w:r>
      <w:r>
        <w:rPr>
          <w:b/>
        </w:rPr>
        <w:t>圖</w:t>
      </w:r>
      <w:r>
        <w:rPr>
          <w:b/>
        </w:rPr>
        <w:t>2 Eight-Step Research Design for Theory Stress Testing / AI</w:t>
      </w:r>
      <w:r>
        <w:rPr>
          <w:b/>
        </w:rPr>
        <w:t>鑲嵌式公共行政理論壓力測試：八步驟研究設計</w:t>
      </w:r>
    </w:p>
    <w:p w:rsidR="008815E8" w:rsidRDefault="00E238D8">
      <w:r>
        <w:lastRenderedPageBreak/>
        <w:t>For this paper, the first five step</w:t>
      </w:r>
      <w:r>
        <w:t>s of Figure 2 are repurposed as pedagogical procedures; steps six to eight are reserved as comparative and theory-testing instruments in advanced graduate courses. This distinction also illustrates that each element of the meta-framework has different educ</w:t>
      </w:r>
      <w:r>
        <w:t>ational purposes in this paper and should not be conflated into a single total score.</w:t>
      </w:r>
    </w:p>
    <w:p w:rsidR="008815E8" w:rsidRDefault="008815E8">
      <w:pPr>
        <w:jc w:val="center"/>
      </w:pPr>
    </w:p>
    <w:p w:rsidR="008815E8" w:rsidRDefault="00E238D8">
      <w:r>
        <w:t xml:space="preserve">Figure 2. Eight-Step Research Design for Theory Stress Testing under AI Embeddedness. </w:t>
      </w:r>
      <w:r>
        <w:t>圖</w:t>
      </w:r>
      <w:r>
        <w:t>2 AI</w:t>
      </w:r>
      <w:r>
        <w:t>鑲嵌式公共行政理論壓力測試：八步驟研究設計</w:t>
      </w:r>
      <w:r>
        <w:t xml:space="preserve">. Steps 1–5 constitute the teaching procedure </w:t>
      </w:r>
      <w:r>
        <w:t xml:space="preserve">(positioning to auditing); Steps 6–8 constitute advanced theory comparison. Source: Author (2026). / </w:t>
      </w:r>
      <w:r>
        <w:t>註：步驟一至五轉用為教學程序，六至八步保留為理論檢驗工具。</w:t>
      </w:r>
    </w:p>
    <w:p w:rsidR="008815E8" w:rsidRDefault="00E238D8">
      <w:r>
        <w:t>Cross-grid movement: Tools originally at the Management Operation level may spill over to Institutional Division, Policy Syst</w:t>
      </w:r>
      <w:r>
        <w:t>em, or social trust. Boundary dissolution: Boundaries between human judgment, data rules, and model recommendations become difficult to identify. Authority reconstruction: The statutory decision-maker and the substantive influencer may separate.</w:t>
      </w:r>
    </w:p>
    <w:p w:rsidR="008815E8" w:rsidRDefault="00E238D8">
      <w:pPr>
        <w:pStyle w:val="1"/>
      </w:pPr>
      <w:r>
        <w:t>V. Explora</w:t>
      </w:r>
      <w:r>
        <w:t>tory Diagnosis: From Isolated Stars to Theoretical Gravitational Field</w:t>
      </w:r>
    </w:p>
    <w:p w:rsidR="008815E8" w:rsidRDefault="00E238D8">
      <w:r>
        <w:t>Figure 3 is not a comprehensive statistical account of curriculum supply in Taiwan, but a conceptual diagnosis of currently visible teaching and regulatory responses: Various AI activit</w:t>
      </w:r>
      <w:r>
        <w:t>ies may coexist, but without common coordinates, power transfer identification, and accountability procedures, students can only accumulate fragmented tool skills without forming public governance judgment. Both the Executive Yuan's 2023 Reference Guidelin</w:t>
      </w:r>
      <w:r>
        <w:t>es on Generative AI and the Taipei City Government's 2024 Operational Guidelines have incorporated sensitive data, human verification, disclosure, information security, and responsibility into agency use requirements. Therefore, this paper does not argue t</w:t>
      </w:r>
      <w:r>
        <w:t>hat the government is unaware of risks, but that higher education must elevate these scattered norms into analyzable and verifiable governance capabilities.</w:t>
      </w:r>
    </w:p>
    <w:p w:rsidR="008815E8" w:rsidRDefault="00E238D8">
      <w:r>
        <w:rPr>
          <w:b/>
        </w:rPr>
        <w:t xml:space="preserve">Figure 3 / </w:t>
      </w:r>
      <w:r>
        <w:rPr>
          <w:b/>
        </w:rPr>
        <w:t>圖</w:t>
      </w:r>
      <w:r>
        <w:rPr>
          <w:b/>
        </w:rPr>
        <w:t xml:space="preserve">3 Starry Sky Map: From Isolated Activities to Scaffolded Governance Capability Map / </w:t>
      </w:r>
      <w:r>
        <w:rPr>
          <w:b/>
        </w:rPr>
        <w:t>星辰</w:t>
      </w:r>
      <w:r>
        <w:rPr>
          <w:b/>
        </w:rPr>
        <w:t>宇宙圖：從孤立活動到階梯式治理能力地圖</w:t>
      </w:r>
    </w:p>
    <w:p w:rsidR="008815E8" w:rsidRDefault="008815E8">
      <w:pPr>
        <w:jc w:val="center"/>
      </w:pPr>
    </w:p>
    <w:p w:rsidR="008815E8" w:rsidRDefault="00E238D8">
      <w:r>
        <w:t xml:space="preserve">Figure 3. Starry Sky Map: From Isolated Activities to Scaffolded Governance Capability Map. </w:t>
      </w:r>
      <w:r>
        <w:t>圖</w:t>
      </w:r>
      <w:r>
        <w:t xml:space="preserve">3 </w:t>
      </w:r>
      <w:r>
        <w:t>星辰宇宙圖：從孤立活動到階梯式治理能力地圖</w:t>
      </w:r>
      <w:r>
        <w:t>. Left: isolated activities (prompt workshops, document summaries, etc.); Middle: framework gravity (25 coordinates, P1</w:t>
      </w:r>
      <w:r>
        <w:t xml:space="preserve">-P3, chains/audits); Right: scaffolded curriculum from BA to PhD. / </w:t>
      </w:r>
      <w:r>
        <w:t>註：</w:t>
      </w:r>
      <w:r>
        <w:lastRenderedPageBreak/>
        <w:t>左為孤立繁星，中為理論重力場，右為階梯式課程，呈現從零散活動到系統化能力養成的發展路徑。</w:t>
      </w:r>
    </w:p>
    <w:p w:rsidR="008815E8" w:rsidRDefault="00E238D8">
      <w:r>
        <w:rPr>
          <w:b/>
        </w:rPr>
        <w:t>Table 3</w:t>
      </w:r>
    </w:p>
    <w:p w:rsidR="008815E8" w:rsidRDefault="00E238D8">
      <w:r>
        <w:rPr>
          <w:i/>
        </w:rPr>
        <w:t>Exploratory Gap Diagnosis of Current Teaching Responses</w:t>
      </w:r>
    </w:p>
    <w:tbl>
      <w:tblPr>
        <w:tblStyle w:val="-11"/>
        <w:tblW w:w="0" w:type="auto"/>
        <w:tblLook w:val="04A0" w:firstRow="1" w:lastRow="0" w:firstColumn="1" w:lastColumn="0" w:noHBand="0" w:noVBand="1"/>
      </w:tblPr>
      <w:tblGrid>
        <w:gridCol w:w="2160"/>
        <w:gridCol w:w="2160"/>
        <w:gridCol w:w="2160"/>
        <w:gridCol w:w="2160"/>
      </w:tblGrid>
      <w:tr w:rsidR="008815E8" w:rsidTr="008815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rsidR="008815E8" w:rsidRDefault="00E238D8">
            <w:r>
              <w:rPr>
                <w:sz w:val="18"/>
              </w:rPr>
              <w:t>Visible Response</w:t>
            </w:r>
          </w:p>
        </w:tc>
        <w:tc>
          <w:tcPr>
            <w:tcW w:w="2160" w:type="dxa"/>
          </w:tcPr>
          <w:p w:rsidR="008815E8" w:rsidRDefault="00E238D8">
            <w:pPr>
              <w:cnfStyle w:val="100000000000" w:firstRow="1" w:lastRow="0" w:firstColumn="0" w:lastColumn="0" w:oddVBand="0" w:evenVBand="0" w:oddHBand="0" w:evenHBand="0" w:firstRowFirstColumn="0" w:firstRowLastColumn="0" w:lastRowFirstColumn="0" w:lastRowLastColumn="0"/>
            </w:pPr>
            <w:r>
              <w:rPr>
                <w:sz w:val="18"/>
              </w:rPr>
              <w:t>Common Focus</w:t>
            </w:r>
          </w:p>
        </w:tc>
        <w:tc>
          <w:tcPr>
            <w:tcW w:w="2160" w:type="dxa"/>
          </w:tcPr>
          <w:p w:rsidR="008815E8" w:rsidRDefault="00E238D8">
            <w:pPr>
              <w:cnfStyle w:val="100000000000" w:firstRow="1" w:lastRow="0" w:firstColumn="0" w:lastColumn="0" w:oddVBand="0" w:evenVBand="0" w:oddHBand="0" w:evenHBand="0" w:firstRowFirstColumn="0" w:firstRowLastColumn="0" w:lastRowFirstColumn="0" w:lastRowLastColumn="0"/>
            </w:pPr>
            <w:r>
              <w:rPr>
                <w:sz w:val="18"/>
              </w:rPr>
              <w:t>Exploratory Gap Diagnosis</w:t>
            </w:r>
          </w:p>
        </w:tc>
        <w:tc>
          <w:tcPr>
            <w:tcW w:w="2160" w:type="dxa"/>
          </w:tcPr>
          <w:p w:rsidR="008815E8" w:rsidRDefault="00E238D8">
            <w:pPr>
              <w:cnfStyle w:val="100000000000" w:firstRow="1" w:lastRow="0" w:firstColumn="0" w:lastColumn="0" w:oddVBand="0" w:evenVBand="0" w:oddHBand="0" w:evenHBand="0" w:firstRowFirstColumn="0" w:firstRowLastColumn="0" w:lastRowFirstColumn="0" w:lastRowLastColumn="0"/>
            </w:pPr>
            <w:r>
              <w:rPr>
                <w:sz w:val="18"/>
              </w:rPr>
              <w:t>Transformation Direct</w:t>
            </w:r>
            <w:r>
              <w:rPr>
                <w:sz w:val="18"/>
              </w:rPr>
              <w:t>ion</w:t>
            </w:r>
          </w:p>
        </w:tc>
      </w:tr>
      <w:tr w:rsidR="008815E8" w:rsidTr="008815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rsidR="008815E8" w:rsidRDefault="00E238D8">
            <w:r>
              <w:rPr>
                <w:sz w:val="18"/>
              </w:rPr>
              <w:t>Technology &amp; Tool Application</w:t>
            </w:r>
          </w:p>
        </w:tc>
        <w:tc>
          <w:tcPr>
            <w:tcW w:w="216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Prompt, official document summarization, slide generation</w:t>
            </w:r>
          </w:p>
        </w:tc>
        <w:tc>
          <w:tcPr>
            <w:tcW w:w="216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May not identify P1–P3 power transfers</w:t>
            </w:r>
          </w:p>
        </w:tc>
        <w:tc>
          <w:tcPr>
            <w:tcW w:w="216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Add analysis of administrative facts, discretion, and disposition.</w:t>
            </w:r>
          </w:p>
        </w:tc>
      </w:tr>
      <w:tr w:rsidR="008815E8" w:rsidTr="008815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rsidR="008815E8" w:rsidRDefault="00E238D8">
            <w:r>
              <w:rPr>
                <w:sz w:val="18"/>
              </w:rPr>
              <w:t>Continuation of E-Government</w:t>
            </w:r>
          </w:p>
        </w:tc>
        <w:tc>
          <w:tcPr>
            <w:tcW w:w="2160"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 xml:space="preserve">Big data, smart cities, </w:t>
            </w:r>
            <w:r>
              <w:rPr>
                <w:sz w:val="18"/>
              </w:rPr>
              <w:t>service optimization</w:t>
            </w:r>
          </w:p>
        </w:tc>
        <w:tc>
          <w:tcPr>
            <w:tcW w:w="2160"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Easily remains at single organization or process grid</w:t>
            </w:r>
          </w:p>
        </w:tc>
        <w:tc>
          <w:tcPr>
            <w:tcW w:w="2160"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Track cross-grid movement with 25 coordinates.</w:t>
            </w:r>
          </w:p>
        </w:tc>
      </w:tr>
      <w:tr w:rsidR="008815E8" w:rsidTr="008815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rsidR="008815E8" w:rsidRDefault="00E238D8">
            <w:r>
              <w:rPr>
                <w:sz w:val="18"/>
              </w:rPr>
              <w:t>Defensive Regulation</w:t>
            </w:r>
          </w:p>
        </w:tc>
        <w:tc>
          <w:tcPr>
            <w:tcW w:w="216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Integrity, security, privacy, and anti-plagiarism</w:t>
            </w:r>
          </w:p>
        </w:tc>
        <w:tc>
          <w:tcPr>
            <w:tcW w:w="216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Less formation of proactive institutional design capacity</w:t>
            </w:r>
          </w:p>
        </w:tc>
        <w:tc>
          <w:tcPr>
            <w:tcW w:w="216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Design case inquiries with four governance chains.</w:t>
            </w:r>
          </w:p>
        </w:tc>
      </w:tr>
      <w:tr w:rsidR="008815E8" w:rsidTr="008815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rsidR="008815E8" w:rsidRDefault="00E238D8">
            <w:r>
              <w:rPr>
                <w:sz w:val="18"/>
              </w:rPr>
              <w:t>Scattered Frontier Discussions</w:t>
            </w:r>
          </w:p>
        </w:tc>
        <w:tc>
          <w:tcPr>
            <w:tcW w:w="2160"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AI ethics, responsibility, and governance forums</w:t>
            </w:r>
          </w:p>
        </w:tc>
        <w:tc>
          <w:tcPr>
            <w:tcW w:w="2160"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Lacks continuous assessment and common operational standards</w:t>
            </w:r>
          </w:p>
        </w:tc>
        <w:tc>
          <w:tcPr>
            <w:tcW w:w="2160"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Establish output specifications with seven governance audits.</w:t>
            </w:r>
          </w:p>
        </w:tc>
      </w:tr>
    </w:tbl>
    <w:p w:rsidR="008815E8" w:rsidRDefault="00E238D8">
      <w:pPr>
        <w:pStyle w:val="1"/>
      </w:pPr>
      <w:r>
        <w:t>VI. Scaffolded AI Public Administration Curriculum Blueprint</w:t>
      </w:r>
    </w:p>
    <w:p w:rsidR="008815E8" w:rsidRDefault="00E238D8">
      <w:r>
        <w:t>The curriculum blueprint has a clear cross-page correspondence with the aforementioned theoretical tools: Figure 1 provides the positioning language of 25 coordinates, and Figure 2 provides the p</w:t>
      </w:r>
      <w:r>
        <w:t>rocedure from positioning, power transfer identification, structural effects, four-chain tracing to auditing; the table below allocates this procedure to different learning stages. In other words, the curriculum does not divide the meta-framework into inde</w:t>
      </w:r>
      <w:r>
        <w:t>pendent units, but enables students to move from conceptual identification to institutional judgment with gradually increasing evidentiary requirements.</w:t>
      </w:r>
    </w:p>
    <w:p w:rsidR="008815E8" w:rsidRDefault="00E238D8">
      <w:r>
        <w:rPr>
          <w:b/>
        </w:rPr>
        <w:t>Table 4</w:t>
      </w:r>
    </w:p>
    <w:p w:rsidR="008815E8" w:rsidRDefault="00E238D8">
      <w:r>
        <w:rPr>
          <w:i/>
        </w:rPr>
        <w:t>Scaffolded Curriculum Blueprint from Bachelor's to Doctoral Levels</w:t>
      </w:r>
    </w:p>
    <w:tbl>
      <w:tblPr>
        <w:tblStyle w:val="-11"/>
        <w:tblW w:w="0" w:type="auto"/>
        <w:tblLook w:val="04A0" w:firstRow="1" w:lastRow="0" w:firstColumn="1" w:lastColumn="0" w:noHBand="0" w:noVBand="1"/>
      </w:tblPr>
      <w:tblGrid>
        <w:gridCol w:w="2880"/>
        <w:gridCol w:w="2880"/>
        <w:gridCol w:w="2880"/>
      </w:tblGrid>
      <w:tr w:rsidR="008815E8" w:rsidTr="008815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Learning Stage</w:t>
            </w:r>
          </w:p>
        </w:tc>
        <w:tc>
          <w:tcPr>
            <w:tcW w:w="2880" w:type="dxa"/>
          </w:tcPr>
          <w:p w:rsidR="008815E8" w:rsidRDefault="00E238D8">
            <w:pPr>
              <w:cnfStyle w:val="100000000000" w:firstRow="1" w:lastRow="0" w:firstColumn="0" w:lastColumn="0" w:oddVBand="0" w:evenVBand="0" w:oddHBand="0" w:evenHBand="0" w:firstRowFirstColumn="0" w:firstRowLastColumn="0" w:lastRowFirstColumn="0" w:lastRowLastColumn="0"/>
            </w:pPr>
            <w:r>
              <w:rPr>
                <w:sz w:val="18"/>
              </w:rPr>
              <w:t>Core Question</w:t>
            </w:r>
            <w:r>
              <w:rPr>
                <w:sz w:val="18"/>
              </w:rPr>
              <w:t xml:space="preserve"> &amp; Competency</w:t>
            </w:r>
          </w:p>
        </w:tc>
        <w:tc>
          <w:tcPr>
            <w:tcW w:w="2880" w:type="dxa"/>
          </w:tcPr>
          <w:p w:rsidR="008815E8" w:rsidRDefault="00E238D8">
            <w:pPr>
              <w:cnfStyle w:val="100000000000" w:firstRow="1" w:lastRow="0" w:firstColumn="0" w:lastColumn="0" w:oddVBand="0" w:evenVBand="0" w:oddHBand="0" w:evenHBand="0" w:firstRowFirstColumn="0" w:firstRowLastColumn="0" w:lastRowFirstColumn="0" w:lastRowLastColumn="0"/>
            </w:pPr>
            <w:r>
              <w:rPr>
                <w:sz w:val="18"/>
              </w:rPr>
              <w:t>Recommended Course / Assignment</w:t>
            </w:r>
          </w:p>
        </w:tc>
      </w:tr>
      <w:tr w:rsidR="008815E8" w:rsidTr="008815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Bachelor: Foundational Tier</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In which governance coordinate does AI operate? How does it construct P1 administrative facts?</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 xml:space="preserve">Introduction to AI Governance and Public Administration; Complete a 25-grid </w:t>
            </w:r>
            <w:r>
              <w:rPr>
                <w:sz w:val="18"/>
              </w:rPr>
              <w:t>positioning map with a government AI scenario.</w:t>
            </w:r>
          </w:p>
        </w:tc>
      </w:tr>
      <w:tr w:rsidR="008815E8" w:rsidTr="008815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Advanced BA / Double Major: Applied Tier</w:t>
            </w:r>
          </w:p>
        </w:tc>
        <w:tc>
          <w:tcPr>
            <w:tcW w:w="2880"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Does model recommendation alter P2 discretion? Does it produce P3 substantive impact?</w:t>
            </w:r>
          </w:p>
        </w:tc>
        <w:tc>
          <w:tcPr>
            <w:tcW w:w="2880"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Digital Government and Administrative Discretion; Comparative case report on huma</w:t>
            </w:r>
            <w:r>
              <w:rPr>
                <w:sz w:val="18"/>
              </w:rPr>
              <w:t>n review vs. model ranking.</w:t>
            </w:r>
          </w:p>
        </w:tc>
      </w:tr>
      <w:tr w:rsidR="008815E8" w:rsidTr="008815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lastRenderedPageBreak/>
              <w:t>Master: Professional Tier</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Are the four governance chains complete? What evidence exists for the seven audits?</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AI Governance Auditing and Public Accountability; Produce an audit dossier for a real or public case.</w:t>
            </w:r>
          </w:p>
        </w:tc>
      </w:tr>
      <w:tr w:rsidR="008815E8" w:rsidTr="008815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Executive Mast</w:t>
            </w:r>
            <w:r>
              <w:rPr>
                <w:sz w:val="18"/>
              </w:rPr>
              <w:t>er: Strategic Tier</w:t>
            </w:r>
          </w:p>
        </w:tc>
        <w:tc>
          <w:tcPr>
            <w:tcW w:w="2880"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Can the agency absorb technology while retaining reasoning, responsibility, and stopping capacity?</w:t>
            </w:r>
          </w:p>
        </w:tc>
        <w:tc>
          <w:tcPr>
            <w:tcW w:w="2880"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Public Procurement and Algorithmic Governance; Propose procurement, supervision, and exit clauses.</w:t>
            </w:r>
          </w:p>
        </w:tc>
      </w:tr>
      <w:tr w:rsidR="008815E8" w:rsidTr="008815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PhD: Theoretical Tier</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 xml:space="preserve">What kind of AI </w:t>
            </w:r>
            <w:r>
              <w:rPr>
                <w:sz w:val="18"/>
              </w:rPr>
              <w:t>stress can existing public administration theories withstand?</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Frontiers of AI Governance Theory; Conduct theory stress testing with heterogeneous cases.</w:t>
            </w:r>
          </w:p>
        </w:tc>
      </w:tr>
    </w:tbl>
    <w:p w:rsidR="008815E8" w:rsidRDefault="00E238D8">
      <w:pPr>
        <w:pStyle w:val="21"/>
      </w:pPr>
      <w:r>
        <w:t>A. Scaffolding for Students with Heterogeneous Backgrounds</w:t>
      </w:r>
    </w:p>
    <w:p w:rsidR="008815E8" w:rsidRDefault="00E238D8">
      <w:r>
        <w:t>This blueprint does not presuppose that stu</w:t>
      </w:r>
      <w:r>
        <w:t>dents already possess data science or programming capabilities. For students from humanities and social sciences backgrounds, the first stage replaces abstract technical terminology with "readable administrative documents": identifying data fields, categor</w:t>
      </w:r>
      <w:r>
        <w:t xml:space="preserve">ies, and potential exclusions from a form, operational regulation, or external official document; then practicing with a simplified data dictionary template to explain how a field, threshold, or prompt affects P1. The second stage introduces ranking, risk </w:t>
      </w:r>
      <w:r>
        <w:t>scores, and review records, enabling students to understand P2 by comparing two drafts or two recommendations, rather than first learning model building.</w:t>
      </w:r>
    </w:p>
    <w:p w:rsidR="008815E8" w:rsidRDefault="00E238D8">
      <w:r>
        <w:t>For executive master's programs, materials are based on existing business processes, procurement speci</w:t>
      </w:r>
      <w:r>
        <w:t>fications, or risk management documents of agencies, adopting cross-professional team division: business personnel are responsible for context and regulations, IT personnel explain system processes, and legal or auditing personnel are responsible for the r</w:t>
      </w:r>
      <w:r>
        <w:t>eason and responsibility chains. Instructors should provide a fixed one-page case fact sheet, data dictionary template, four-chain tracing sheet, and seven-audit sheet, gradually removing scaffolding to avoid misjudging "unfamiliarity with technical terms"</w:t>
      </w:r>
      <w:r>
        <w:t xml:space="preserve"> as "lack of governance judgment."</w:t>
      </w:r>
    </w:p>
    <w:p w:rsidR="008815E8" w:rsidRDefault="00E238D8">
      <w:r>
        <w:t xml:space="preserve">Executive master's programs must also address a common form of "compliance defensiveness": students may interpret the existence of agency guidelines as meaning that responsibility has already been discharged. Instructors </w:t>
      </w:r>
      <w:r>
        <w:t>can require each group to distinguish between "evidence of compliance with existing guidelines" and "evidence sufficient to show that the system remains controllable, challengeable, and stoppable," and then introduce three questions: Who identifies excepti</w:t>
      </w:r>
      <w:r>
        <w:t>onal situations? Who can demonstrate that human review is more than formal sign-off? Who has the authority to stop use when risks emerge? This approach does not deny the importance of guidelines; it turns compliance requirements into an active capability f</w:t>
      </w:r>
      <w:r>
        <w:t>or institutional design, auditing, and the retention of responsibility.</w:t>
      </w:r>
    </w:p>
    <w:p w:rsidR="008815E8" w:rsidRDefault="00E238D8">
      <w:pPr>
        <w:pStyle w:val="1"/>
      </w:pPr>
      <w:r>
        <w:lastRenderedPageBreak/>
        <w:t>VII. Demonstration Lesson Plan and Assessment Reform</w:t>
      </w:r>
    </w:p>
    <w:p w:rsidR="008815E8" w:rsidRDefault="00E238D8">
      <w:r>
        <w:t>A. Complete Demonstration Lesson Plan: Generative AI Assisting in Drafting Documents Involving People's Rights and Obligations</w:t>
      </w:r>
    </w:p>
    <w:p w:rsidR="008815E8" w:rsidRDefault="00E238D8">
      <w:r>
        <w:t>This</w:t>
      </w:r>
      <w:r>
        <w:t xml:space="preserve"> lesson plan adopts the high-risk scenario shown in the Taipei City Government's Guidelines on the Use of Artificial Intelligence as a normative case: an agency case officer intends to use generative AI to assist in drafting an external document related to</w:t>
      </w:r>
      <w:r>
        <w:t xml:space="preserve"> public rights and obligations. The Guidelines require the officer to personally inspect, proofread, and revise, and to submit it to the supervisor for review and appropriate disclosure before issuance; at the same time, it prohibits making administrative </w:t>
      </w:r>
      <w:r>
        <w:t>or legal dispositions directly affecting people's rights and obligations with AI without human inspection and confirmation. This also echoes the emphasis in the Executive Yuan and its subordinate agencies' 2023 Reference Guidelines on Generative AI that "u</w:t>
      </w:r>
      <w:r>
        <w:t>nconfirmed output shall not directly constitute administrative acts or serve as the sole basis for official decision-making." This case is suitable for teaching because it allows students to simultaneously see the institutional relationship among instrumen</w:t>
      </w:r>
      <w:r>
        <w:t>tal assistance, discretionary risk, and human review.</w:t>
      </w:r>
    </w:p>
    <w:p w:rsidR="008815E8" w:rsidRDefault="00E238D8">
      <w:r>
        <w:t>The factual boundaries of the case must be strictly distinguished: This paper only uses public guidelines to prove this type of use scenario and its regulatory requirements; it does not claim that the T</w:t>
      </w:r>
      <w:r>
        <w:t>aipei City Government has used generative AI for any specific administrative disposition. All practical effectiveness, data sources, or model settings beyond public documents are marked as "to be verified" or NA.</w:t>
      </w:r>
    </w:p>
    <w:p w:rsidR="008815E8" w:rsidRDefault="00E238D8">
      <w:r>
        <w:t>In this lesson plan, NA does not mean "no a</w:t>
      </w:r>
      <w:r>
        <w:t>nswer" or cautious avoidance; it is an affirmative judgment about the boundary of the available evidence. In assessment, if students assert that P3 has produced a substantive public-power impact despite lacking information on the decision process, human-re</w:t>
      </w:r>
      <w:r>
        <w:t>view records, exception-handling records, or actual outcomes, this should be treated as a defect in inference. Conversely, if they clearly mark P3 as NA/unverified and specify which documents, records, or interview evidence would still be needed, they shou</w:t>
      </w:r>
      <w:r>
        <w:t>ld receive a higher evaluation on the audit-and-evidence dimension. In other words, NA is not penalized for withholding a conclusion; failing to explain the evidentiary gap is.</w:t>
      </w:r>
    </w:p>
    <w:p w:rsidR="008815E8" w:rsidRDefault="00E238D8">
      <w:r>
        <w:t xml:space="preserve">The core difficulty of the lesson plan lies not in whether the text "human </w:t>
      </w:r>
      <w:r>
        <w:t>review" exists, but whether the review can constitute meaningful independent judgment. Budget constraints, caseload, time pressure, knowledge gaps, and over-trust in models may all degrade review into rubber-stamping. Therefore, students shall not directly</w:t>
      </w:r>
      <w:r>
        <w:t xml:space="preserve"> regard "someone signed" as evidence that P3 has not occurred; they must check whether the reviewer can obtain inputs and reasons, whether there is sufficient time and professional capacity to raise objections, whether outputs have ever been revised or ove</w:t>
      </w:r>
      <w:r>
        <w:t>rturned, and whether exception handling, stopping, and remedy procedures exist.</w:t>
      </w:r>
    </w:p>
    <w:p w:rsidR="008815E8" w:rsidRDefault="00E238D8">
      <w:r>
        <w:lastRenderedPageBreak/>
        <w:t>1. Teaching Steps: One Case Throughout</w:t>
      </w:r>
      <w:r>
        <w:br/>
        <w:t>Define case and evidence: Students collect public guidelines, document templates, and applicable regulations to produce a one-page case f</w:t>
      </w:r>
      <w:r>
        <w:t>act sheet; they must not fabricate non-existent model data.</w:t>
      </w:r>
      <w:r>
        <w:br/>
        <w:t>Coordinate positioning: First mark the original grid as "Management Operation × Organization," then discuss its possible movement to "Institutional Division × Organization" and "Philosophy &amp; Value</w:t>
      </w:r>
      <w:r>
        <w:t xml:space="preserve"> × Society."</w:t>
      </w:r>
      <w:r>
        <w:br/>
        <w:t>P1–P3 judgment: Check whether prompts, input data, and generated content reconstruct facts (P1); check whether draft suggestions affect case officers' trade-offs (P2); judge P3 as "unverified/NA" based on public materials, as regulations prohi</w:t>
      </w:r>
      <w:r>
        <w:t>bit direct disposition without human review.</w:t>
      </w:r>
      <w:r>
        <w:br/>
        <w:t>Four-chain tracing: Starting from input data and prompts, sequentially mark who defines context, who has approval authority, how reasons are preserved, and who corrects and is responsible when errors occur.</w:t>
      </w:r>
      <w:r>
        <w:br/>
        <w:t>Audi</w:t>
      </w:r>
      <w:r>
        <w:t>ting and revision: Complete the seven-governance audit sheet and propose at least three enforceable institutional revisions, such as input data masking, human review records, version preservation, and appeal explanations.</w:t>
      </w:r>
    </w:p>
    <w:p w:rsidR="008815E8" w:rsidRDefault="00E238D8">
      <w:r>
        <w:rPr>
          <w:b/>
        </w:rPr>
        <w:t>Table 5</w:t>
      </w:r>
    </w:p>
    <w:p w:rsidR="008815E8" w:rsidRDefault="00E238D8">
      <w:r>
        <w:rPr>
          <w:i/>
        </w:rPr>
        <w:t>Example Analytical Results</w:t>
      </w:r>
      <w:r>
        <w:rPr>
          <w:i/>
        </w:rPr>
        <w:t>: Verifiable Inference Rather Than Preset Answers</w:t>
      </w:r>
    </w:p>
    <w:tbl>
      <w:tblPr>
        <w:tblStyle w:val="-11"/>
        <w:tblW w:w="0" w:type="auto"/>
        <w:tblLook w:val="04A0" w:firstRow="1" w:lastRow="0" w:firstColumn="1" w:lastColumn="0" w:noHBand="0" w:noVBand="1"/>
      </w:tblPr>
      <w:tblGrid>
        <w:gridCol w:w="2880"/>
        <w:gridCol w:w="2880"/>
        <w:gridCol w:w="2880"/>
      </w:tblGrid>
      <w:tr w:rsidR="008815E8" w:rsidTr="008815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Analytical Component</w:t>
            </w:r>
          </w:p>
        </w:tc>
        <w:tc>
          <w:tcPr>
            <w:tcW w:w="2880" w:type="dxa"/>
          </w:tcPr>
          <w:p w:rsidR="008815E8" w:rsidRDefault="00E238D8">
            <w:pPr>
              <w:cnfStyle w:val="100000000000" w:firstRow="1" w:lastRow="0" w:firstColumn="0" w:lastColumn="0" w:oddVBand="0" w:evenVBand="0" w:oddHBand="0" w:evenHBand="0" w:firstRowFirstColumn="0" w:firstRowLastColumn="0" w:lastRowFirstColumn="0" w:lastRowLastColumn="0"/>
            </w:pPr>
            <w:r>
              <w:rPr>
                <w:sz w:val="18"/>
              </w:rPr>
              <w:t>Judgment Students Should Provide</w:t>
            </w:r>
          </w:p>
        </w:tc>
        <w:tc>
          <w:tcPr>
            <w:tcW w:w="2880" w:type="dxa"/>
          </w:tcPr>
          <w:p w:rsidR="008815E8" w:rsidRDefault="00E238D8">
            <w:pPr>
              <w:cnfStyle w:val="100000000000" w:firstRow="1" w:lastRow="0" w:firstColumn="0" w:lastColumn="0" w:oddVBand="0" w:evenVBand="0" w:oddHBand="0" w:evenHBand="0" w:firstRowFirstColumn="0" w:firstRowLastColumn="0" w:lastRowFirstColumn="0" w:lastRowLastColumn="0"/>
            </w:pPr>
            <w:r>
              <w:rPr>
                <w:sz w:val="18"/>
              </w:rPr>
              <w:t>Evidence &amp; Limitations</w:t>
            </w:r>
          </w:p>
        </w:tc>
      </w:tr>
      <w:tr w:rsidR="008815E8" w:rsidTr="008815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25 Governance Coordinates</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Original grid: Management Operation × Organization; possible extensions to Institutional Division × Or</w:t>
            </w:r>
            <w:r>
              <w:rPr>
                <w:sz w:val="18"/>
              </w:rPr>
              <w:t>ganization, Philosophy &amp; Value × Society.</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Guideline text can support original grid; extended grids must be proven with additional document workflow and authority data.</w:t>
            </w:r>
          </w:p>
        </w:tc>
      </w:tr>
      <w:tr w:rsidR="008815E8" w:rsidTr="008815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P1: Context Construction</w:t>
            </w:r>
          </w:p>
        </w:tc>
        <w:tc>
          <w:tcPr>
            <w:tcW w:w="2880"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Prompts and input data determine which facts, risks, and stake</w:t>
            </w:r>
            <w:r>
              <w:rPr>
                <w:sz w:val="18"/>
              </w:rPr>
              <w:t>holders are presented.</w:t>
            </w:r>
          </w:p>
        </w:tc>
        <w:tc>
          <w:tcPr>
            <w:tcW w:w="2880"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Prompts, data de-identification, and citation sources can be checked; actual model training data is NA.</w:t>
            </w:r>
          </w:p>
        </w:tc>
      </w:tr>
      <w:tr w:rsidR="008815E8" w:rsidTr="008815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P2: Discretion &amp; Value Judgment</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Ranking, tone, and argumentation of generated drafts may affect visible options for case officer</w:t>
            </w:r>
            <w:r>
              <w:rPr>
                <w:sz w:val="18"/>
              </w:rPr>
              <w:t>s.</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AI drafts, human revisions, and approval reasons must be compared; final document alone is insufficient.</w:t>
            </w:r>
          </w:p>
        </w:tc>
      </w:tr>
      <w:tr w:rsidR="008815E8" w:rsidTr="008815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P3: Substantive Impact</w:t>
            </w:r>
          </w:p>
        </w:tc>
        <w:tc>
          <w:tcPr>
            <w:tcW w:w="2880"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Public norms prohibit direct disposition without human review; this case does not presuppose P3 has occurred.</w:t>
            </w:r>
          </w:p>
        </w:tc>
        <w:tc>
          <w:tcPr>
            <w:tcW w:w="2880"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Conclusion: NA</w:t>
            </w:r>
            <w:r>
              <w:rPr>
                <w:sz w:val="18"/>
              </w:rPr>
              <w:t xml:space="preserve"> / unverified. Only with case evidence can quasi-direct impact be assessed.</w:t>
            </w:r>
          </w:p>
        </w:tc>
      </w:tr>
      <w:tr w:rsidR="008815E8" w:rsidTr="008815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Three Structural Effects</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Boundary dissolution and authority reconstruction may exist; cross-grid movement must be judged based on actual process.</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Possible scenarios must not be wr</w:t>
            </w:r>
            <w:r>
              <w:rPr>
                <w:sz w:val="18"/>
              </w:rPr>
              <w:t>itten as observed institutional facts.</w:t>
            </w:r>
          </w:p>
        </w:tc>
      </w:tr>
    </w:tbl>
    <w:p w:rsidR="008815E8" w:rsidRDefault="00E238D8">
      <w:r>
        <w:rPr>
          <w:b/>
        </w:rPr>
        <w:t>Table 6</w:t>
      </w:r>
    </w:p>
    <w:p w:rsidR="008815E8" w:rsidRDefault="00E238D8">
      <w:r>
        <w:rPr>
          <w:i/>
        </w:rPr>
        <w:lastRenderedPageBreak/>
        <w:t>Seven Governance Audits: Student Deliverable Format</w:t>
      </w:r>
    </w:p>
    <w:tbl>
      <w:tblPr>
        <w:tblStyle w:val="-11"/>
        <w:tblW w:w="0" w:type="auto"/>
        <w:tblLook w:val="04A0" w:firstRow="1" w:lastRow="0" w:firstColumn="1" w:lastColumn="0" w:noHBand="0" w:noVBand="1"/>
      </w:tblPr>
      <w:tblGrid>
        <w:gridCol w:w="2880"/>
        <w:gridCol w:w="2880"/>
        <w:gridCol w:w="2880"/>
      </w:tblGrid>
      <w:tr w:rsidR="008815E8" w:rsidTr="008815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Audit Item</w:t>
            </w:r>
          </w:p>
        </w:tc>
        <w:tc>
          <w:tcPr>
            <w:tcW w:w="2880" w:type="dxa"/>
          </w:tcPr>
          <w:p w:rsidR="008815E8" w:rsidRDefault="00E238D8">
            <w:pPr>
              <w:cnfStyle w:val="100000000000" w:firstRow="1" w:lastRow="0" w:firstColumn="0" w:lastColumn="0" w:oddVBand="0" w:evenVBand="0" w:oddHBand="0" w:evenHBand="0" w:firstRowFirstColumn="0" w:firstRowLastColumn="0" w:lastRowFirstColumn="0" w:lastRowLastColumn="0"/>
            </w:pPr>
            <w:r>
              <w:rPr>
                <w:sz w:val="18"/>
              </w:rPr>
              <w:t>Key Questions Students Must Answer</w:t>
            </w:r>
          </w:p>
        </w:tc>
        <w:tc>
          <w:tcPr>
            <w:tcW w:w="2880" w:type="dxa"/>
          </w:tcPr>
          <w:p w:rsidR="008815E8" w:rsidRDefault="00E238D8">
            <w:pPr>
              <w:cnfStyle w:val="100000000000" w:firstRow="1" w:lastRow="0" w:firstColumn="0" w:lastColumn="0" w:oddVBand="0" w:evenVBand="0" w:oddHBand="0" w:evenHBand="0" w:firstRowFirstColumn="0" w:firstRowLastColumn="0" w:lastRowFirstColumn="0" w:lastRowLastColumn="0"/>
            </w:pPr>
            <w:r>
              <w:rPr>
                <w:sz w:val="18"/>
              </w:rPr>
              <w:t>Minimum Evidence</w:t>
            </w:r>
          </w:p>
        </w:tc>
      </w:tr>
      <w:tr w:rsidR="008815E8" w:rsidTr="008815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Data Representativeness</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Does input data omit vulnerable or exceptional scenarios?</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Data list,</w:t>
            </w:r>
            <w:r>
              <w:rPr>
                <w:sz w:val="18"/>
              </w:rPr>
              <w:t xml:space="preserve"> de-identification records, gap explanation.</w:t>
            </w:r>
          </w:p>
        </w:tc>
      </w:tr>
      <w:tr w:rsidR="008815E8" w:rsidTr="008815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Reason-Giving</w:t>
            </w:r>
          </w:p>
        </w:tc>
        <w:tc>
          <w:tcPr>
            <w:tcW w:w="2880"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Can the final document explain reasons for adopting or rejecting AI suggestions?</w:t>
            </w:r>
          </w:p>
        </w:tc>
        <w:tc>
          <w:tcPr>
            <w:tcW w:w="2880"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Draft versions, human revisions, and approval records.</w:t>
            </w:r>
          </w:p>
        </w:tc>
      </w:tr>
      <w:tr w:rsidR="008815E8" w:rsidTr="008815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Responsibility Attribution</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What responsibilities do case of</w:t>
            </w:r>
            <w:r>
              <w:rPr>
                <w:sz w:val="18"/>
              </w:rPr>
              <w:t>ficers, supervisors, IT, and vendors each bear?</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Responsibility matrix and error handling process.</w:t>
            </w:r>
          </w:p>
        </w:tc>
      </w:tr>
      <w:tr w:rsidR="008815E8" w:rsidTr="008815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Privacy &amp; Security</w:t>
            </w:r>
          </w:p>
        </w:tc>
        <w:tc>
          <w:tcPr>
            <w:tcW w:w="2880"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What information must not be entered into external models?</w:t>
            </w:r>
          </w:p>
        </w:tc>
        <w:tc>
          <w:tcPr>
            <w:tcW w:w="2880"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Data classification, platform terms, and masking procedures.</w:t>
            </w:r>
          </w:p>
        </w:tc>
      </w:tr>
      <w:tr w:rsidR="008815E8" w:rsidTr="008815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 xml:space="preserve">Discretionary </w:t>
            </w:r>
            <w:r>
              <w:rPr>
                <w:sz w:val="18"/>
              </w:rPr>
              <w:t>Boundaries</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What matters must not be directly decided by AI?</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Legal basis, human review, and stopping conditions.</w:t>
            </w:r>
          </w:p>
        </w:tc>
      </w:tr>
      <w:tr w:rsidR="008815E8" w:rsidTr="008815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Organizational Capacity</w:t>
            </w:r>
          </w:p>
        </w:tc>
        <w:tc>
          <w:tcPr>
            <w:tcW w:w="2880"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Does the agency have capacity to identify errors, preserve versions, and stop use?</w:t>
            </w:r>
          </w:p>
        </w:tc>
        <w:tc>
          <w:tcPr>
            <w:tcW w:w="2880"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Training, audit records, and exit me</w:t>
            </w:r>
            <w:r>
              <w:rPr>
                <w:sz w:val="18"/>
              </w:rPr>
              <w:t>chanisms.</w:t>
            </w:r>
          </w:p>
        </w:tc>
      </w:tr>
      <w:tr w:rsidR="008815E8" w:rsidTr="008815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Democratic Accountability</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Can parties understand, question, and request explanation?</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Disclosure text, appeal, and remedy information.</w:t>
            </w:r>
          </w:p>
        </w:tc>
      </w:tr>
    </w:tbl>
    <w:p w:rsidR="008815E8" w:rsidRDefault="00E238D8">
      <w:pPr>
        <w:pStyle w:val="21"/>
      </w:pPr>
      <w:r>
        <w:t>B. Assessment Reform</w:t>
      </w:r>
    </w:p>
    <w:p w:rsidR="008815E8" w:rsidRDefault="00E238D8">
      <w:r>
        <w:t xml:space="preserve">Assessment should not only test prompt skills, nor only require students to summarize </w:t>
      </w:r>
      <w:r>
        <w:t>ethical principles. A "one case throughout" assignment is recommended: Students select a government AI application, first position the 25 governance coordinates, then identify P1 to P3 transfers, record three structural effects, then trace the context cons</w:t>
      </w:r>
      <w:r>
        <w:t>truction chain, authority chain, reason chain, and responsibility chain, and finally propose evidence, risks, and institutional revision recommendations with the seven governance audits.</w:t>
      </w:r>
    </w:p>
    <w:p w:rsidR="008815E8" w:rsidRDefault="00E238D8">
      <w:r>
        <w:t>To score the use of NA consistently, a three-part rubric may be adopt</w:t>
      </w:r>
      <w:r>
        <w:t>ed. First, when the evidence is sufficient, students should provide a traceable P3 judgment. Second, when evidence is insufficient, students should mark NA/unverified and specify the evidence still required. Third, if students reach a definite conclusion d</w:t>
      </w:r>
      <w:r>
        <w:t xml:space="preserve">espite insufficient evidence, or merely invoke NA without explaining the gap, they should not receive a high score for evidentiary judgment. This rubric evaluates inferential discipline, rather than a student's willingness to supply an apparently complete </w:t>
      </w:r>
      <w:r>
        <w:t>answer.</w:t>
      </w:r>
    </w:p>
    <w:p w:rsidR="008815E8" w:rsidRDefault="00E238D8">
      <w:r>
        <w:rPr>
          <w:b/>
        </w:rPr>
        <w:t>Table 7</w:t>
      </w:r>
    </w:p>
    <w:p w:rsidR="008815E8" w:rsidRDefault="00E238D8">
      <w:r>
        <w:rPr>
          <w:i/>
        </w:rPr>
        <w:t>Assessment Dimensions and Deliverables</w:t>
      </w:r>
    </w:p>
    <w:tbl>
      <w:tblPr>
        <w:tblStyle w:val="-11"/>
        <w:tblW w:w="0" w:type="auto"/>
        <w:tblLook w:val="04A0" w:firstRow="1" w:lastRow="0" w:firstColumn="1" w:lastColumn="0" w:noHBand="0" w:noVBand="1"/>
      </w:tblPr>
      <w:tblGrid>
        <w:gridCol w:w="2880"/>
        <w:gridCol w:w="2880"/>
        <w:gridCol w:w="2880"/>
      </w:tblGrid>
      <w:tr w:rsidR="008815E8" w:rsidTr="008815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Assessment Dimension</w:t>
            </w:r>
          </w:p>
        </w:tc>
        <w:tc>
          <w:tcPr>
            <w:tcW w:w="2880" w:type="dxa"/>
          </w:tcPr>
          <w:p w:rsidR="008815E8" w:rsidRDefault="00E238D8">
            <w:pPr>
              <w:cnfStyle w:val="100000000000" w:firstRow="1" w:lastRow="0" w:firstColumn="0" w:lastColumn="0" w:oddVBand="0" w:evenVBand="0" w:oddHBand="0" w:evenHBand="0" w:firstRowFirstColumn="0" w:firstRowLastColumn="0" w:lastRowFirstColumn="0" w:lastRowLastColumn="0"/>
            </w:pPr>
            <w:r>
              <w:rPr>
                <w:sz w:val="18"/>
              </w:rPr>
              <w:t>Student Deliverable</w:t>
            </w:r>
          </w:p>
        </w:tc>
        <w:tc>
          <w:tcPr>
            <w:tcW w:w="2880" w:type="dxa"/>
          </w:tcPr>
          <w:p w:rsidR="008815E8" w:rsidRDefault="00E238D8">
            <w:pPr>
              <w:cnfStyle w:val="100000000000" w:firstRow="1" w:lastRow="0" w:firstColumn="0" w:lastColumn="0" w:oddVBand="0" w:evenVBand="0" w:oddHBand="0" w:evenHBand="0" w:firstRowFirstColumn="0" w:firstRowLastColumn="0" w:lastRowFirstColumn="0" w:lastRowLastColumn="0"/>
            </w:pPr>
            <w:r>
              <w:rPr>
                <w:sz w:val="18"/>
              </w:rPr>
              <w:t>Criteria</w:t>
            </w:r>
          </w:p>
        </w:tc>
      </w:tr>
      <w:tr w:rsidR="008815E8" w:rsidTr="008815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 xml:space="preserve">Coordinate &amp; Power </w:t>
            </w:r>
            <w:r>
              <w:rPr>
                <w:sz w:val="18"/>
              </w:rPr>
              <w:lastRenderedPageBreak/>
              <w:t>Identification</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lastRenderedPageBreak/>
              <w:t xml:space="preserve">25-grid positioning map + P1–P3 </w:t>
            </w:r>
            <w:r>
              <w:rPr>
                <w:sz w:val="18"/>
              </w:rPr>
              <w:lastRenderedPageBreak/>
              <w:t>judgment explanation</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lastRenderedPageBreak/>
              <w:t xml:space="preserve">Able to distinguish data facts, discretionary recommendations, </w:t>
            </w:r>
            <w:r>
              <w:rPr>
                <w:sz w:val="18"/>
              </w:rPr>
              <w:t xml:space="preserve">and </w:t>
            </w:r>
            <w:r>
              <w:rPr>
                <w:sz w:val="18"/>
              </w:rPr>
              <w:lastRenderedPageBreak/>
              <w:t>substantive impacts.</w:t>
            </w:r>
          </w:p>
        </w:tc>
      </w:tr>
      <w:tr w:rsidR="008815E8" w:rsidTr="008815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lastRenderedPageBreak/>
              <w:t>Governance Chain Tracing</w:t>
            </w:r>
          </w:p>
        </w:tc>
        <w:tc>
          <w:tcPr>
            <w:tcW w:w="2880"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Flowchart and responsibility node table</w:t>
            </w:r>
          </w:p>
        </w:tc>
        <w:tc>
          <w:tcPr>
            <w:tcW w:w="2880"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Able to explain where facts, authority, reasons, and responsibilities break.</w:t>
            </w:r>
          </w:p>
        </w:tc>
      </w:tr>
      <w:tr w:rsidR="008815E8" w:rsidTr="008815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Auditing &amp; Evidence</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Seven governance audit sheet</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Each item provides verifiable evidence</w:t>
            </w:r>
            <w:r>
              <w:rPr>
                <w:sz w:val="18"/>
              </w:rPr>
              <w:t>, not abstract slogans.</w:t>
            </w:r>
          </w:p>
        </w:tc>
      </w:tr>
      <w:tr w:rsidR="008815E8" w:rsidTr="008815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Institutional Design</w:t>
            </w:r>
          </w:p>
        </w:tc>
        <w:tc>
          <w:tcPr>
            <w:tcW w:w="2880"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Revision proposal and reasons</w:t>
            </w:r>
          </w:p>
        </w:tc>
        <w:tc>
          <w:tcPr>
            <w:tcW w:w="2880"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Proposal addresses human review, appeal, procurement, and organizational capacity issues.</w:t>
            </w:r>
          </w:p>
        </w:tc>
      </w:tr>
    </w:tbl>
    <w:p w:rsidR="008815E8" w:rsidRDefault="00E238D8">
      <w:pPr>
        <w:pStyle w:val="21"/>
      </w:pPr>
      <w:r>
        <w:t>C. Preliminary Pre-Post Test Items and Empirical Validation</w:t>
      </w:r>
    </w:p>
    <w:p w:rsidR="008815E8" w:rsidRDefault="00E238D8">
      <w:r>
        <w:t>Subsequent teaching experimen</w:t>
      </w:r>
      <w:r>
        <w:t>ts may administer the same short case at the beginning and end of a course, using analytical quality rather than self-reported perceptions as the principal outcome indicator. The following item types can be used directly with this paper's demonstration les</w:t>
      </w:r>
      <w:r>
        <w:t>son plan.</w:t>
      </w:r>
    </w:p>
    <w:p w:rsidR="008815E8" w:rsidRDefault="00E238D8">
      <w:r>
        <w:rPr>
          <w:b/>
        </w:rPr>
        <w:t>Table 8</w:t>
      </w:r>
    </w:p>
    <w:p w:rsidR="008815E8" w:rsidRDefault="00E238D8">
      <w:r>
        <w:rPr>
          <w:i/>
        </w:rPr>
        <w:t>Preliminary Pre-Post Test Items</w:t>
      </w:r>
    </w:p>
    <w:tbl>
      <w:tblPr>
        <w:tblStyle w:val="-11"/>
        <w:tblW w:w="0" w:type="auto"/>
        <w:tblLook w:val="04A0" w:firstRow="1" w:lastRow="0" w:firstColumn="1" w:lastColumn="0" w:noHBand="0" w:noVBand="1"/>
      </w:tblPr>
      <w:tblGrid>
        <w:gridCol w:w="2880"/>
        <w:gridCol w:w="2880"/>
        <w:gridCol w:w="2880"/>
      </w:tblGrid>
      <w:tr w:rsidR="008815E8" w:rsidTr="008815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Item Type</w:t>
            </w:r>
          </w:p>
        </w:tc>
        <w:tc>
          <w:tcPr>
            <w:tcW w:w="2880" w:type="dxa"/>
          </w:tcPr>
          <w:p w:rsidR="008815E8" w:rsidRDefault="00E238D8">
            <w:pPr>
              <w:cnfStyle w:val="100000000000" w:firstRow="1" w:lastRow="0" w:firstColumn="0" w:lastColumn="0" w:oddVBand="0" w:evenVBand="0" w:oddHBand="0" w:evenHBand="0" w:firstRowFirstColumn="0" w:firstRowLastColumn="0" w:lastRowFirstColumn="0" w:lastRowLastColumn="0"/>
            </w:pPr>
            <w:r>
              <w:rPr>
                <w:sz w:val="18"/>
              </w:rPr>
              <w:t>Example Question</w:t>
            </w:r>
          </w:p>
        </w:tc>
        <w:tc>
          <w:tcPr>
            <w:tcW w:w="2880" w:type="dxa"/>
          </w:tcPr>
          <w:p w:rsidR="008815E8" w:rsidRDefault="00E238D8">
            <w:pPr>
              <w:cnfStyle w:val="100000000000" w:firstRow="1" w:lastRow="0" w:firstColumn="0" w:lastColumn="0" w:oddVBand="0" w:evenVBand="0" w:oddHBand="0" w:evenHBand="0" w:firstRowFirstColumn="0" w:firstRowLastColumn="0" w:lastRowFirstColumn="0" w:lastRowLastColumn="0"/>
            </w:pPr>
            <w:r>
              <w:rPr>
                <w:sz w:val="18"/>
              </w:rPr>
              <w:t>Scoring Criteria</w:t>
            </w:r>
          </w:p>
        </w:tc>
      </w:tr>
      <w:tr w:rsidR="008815E8" w:rsidTr="008815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P1–P3 Identification Short Answer</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 xml:space="preserve">An agency uses AI to generate a draft notice requesting supplementary application materials, which the case officer may revise </w:t>
            </w:r>
            <w:r>
              <w:rPr>
                <w:sz w:val="18"/>
              </w:rPr>
              <w:t>before issuance. Determine whether P1, P2, and P3 may occur and provide required evidence.</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Able to distinguish "possible impact" from "verified"; if decision process evidence is lacking for P3, clearly mark as NA.</w:t>
            </w:r>
          </w:p>
        </w:tc>
      </w:tr>
      <w:tr w:rsidR="008815E8" w:rsidTr="008815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Governance Chain Gap Map</w:t>
            </w:r>
          </w:p>
        </w:tc>
        <w:tc>
          <w:tcPr>
            <w:tcW w:w="2880"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Based on a one-p</w:t>
            </w:r>
            <w:r>
              <w:rPr>
                <w:sz w:val="18"/>
              </w:rPr>
              <w:t>age case fact sheet, draw context construction, authority, reason, and responsibility nodes, and circle one possible rupture.</w:t>
            </w:r>
          </w:p>
        </w:tc>
        <w:tc>
          <w:tcPr>
            <w:tcW w:w="2880" w:type="dxa"/>
          </w:tcPr>
          <w:p w:rsidR="008815E8" w:rsidRDefault="00E238D8">
            <w:pPr>
              <w:cnfStyle w:val="000000010000" w:firstRow="0" w:lastRow="0" w:firstColumn="0" w:lastColumn="0" w:oddVBand="0" w:evenVBand="0" w:oddHBand="0" w:evenHBand="1" w:firstRowFirstColumn="0" w:firstRowLastColumn="0" w:lastRowFirstColumn="0" w:lastRowLastColumn="0"/>
            </w:pPr>
            <w:r>
              <w:rPr>
                <w:sz w:val="18"/>
              </w:rPr>
              <w:t>Each of four chains has at least one responsibility node; rupture judgment must be linked to specific document or process.</w:t>
            </w:r>
          </w:p>
        </w:tc>
      </w:tr>
      <w:tr w:rsidR="008815E8" w:rsidTr="008815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8815E8" w:rsidRDefault="00E238D8">
            <w:r>
              <w:rPr>
                <w:sz w:val="18"/>
              </w:rPr>
              <w:t>Instit</w:t>
            </w:r>
            <w:r>
              <w:rPr>
                <w:sz w:val="18"/>
              </w:rPr>
              <w:t>utional Revision Memo</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Propose two measures to reduce formalistic review risk and explain what evidence can verify their effectiveness.</w:t>
            </w:r>
          </w:p>
        </w:tc>
        <w:tc>
          <w:tcPr>
            <w:tcW w:w="2880" w:type="dxa"/>
          </w:tcPr>
          <w:p w:rsidR="008815E8" w:rsidRDefault="00E238D8">
            <w:pPr>
              <w:cnfStyle w:val="000000100000" w:firstRow="0" w:lastRow="0" w:firstColumn="0" w:lastColumn="0" w:oddVBand="0" w:evenVBand="0" w:oddHBand="1" w:evenHBand="0" w:firstRowFirstColumn="0" w:firstRowLastColumn="0" w:lastRowFirstColumn="0" w:lastRowLastColumn="0"/>
            </w:pPr>
            <w:r>
              <w:rPr>
                <w:sz w:val="18"/>
              </w:rPr>
              <w:t>Measures must include one of independent review, reason recording, exception handling, or stopping mechanism; "strengthen</w:t>
            </w:r>
            <w:r>
              <w:rPr>
                <w:sz w:val="18"/>
              </w:rPr>
              <w:t>ing human review" alone is insufficient.</w:t>
            </w:r>
          </w:p>
        </w:tc>
      </w:tr>
    </w:tbl>
    <w:p w:rsidR="008815E8" w:rsidRDefault="00E238D8">
      <w:pPr>
        <w:pStyle w:val="1"/>
      </w:pPr>
      <w:r>
        <w:t>VIII. Conclusion and Future Research</w:t>
      </w:r>
    </w:p>
    <w:p w:rsidR="008815E8" w:rsidRDefault="00E238D8">
      <w:r>
        <w:t>The key issue for public administration education facing AI is not training students to use tools faster, but cultivating their ability to identify when tools have become power,</w:t>
      </w:r>
      <w:r>
        <w:t xml:space="preserve"> when they have changed institutions, and who must bear reasons and responsibilities to the people. It is recommended that departments pilot the "one case throughout" assignment first in the master's course "AI Governance Auditing and Public Accountability</w:t>
      </w:r>
      <w:r>
        <w:t xml:space="preserve">," then extend it to undergraduate introduction, executive master's strategy courses, and doctoral </w:t>
      </w:r>
      <w:r>
        <w:lastRenderedPageBreak/>
        <w:t>theory stress testing; executive programs can especially link with procurement, supervision, stopping, and responsibility retention training for mid- and hig</w:t>
      </w:r>
      <w:r>
        <w:t>h-level civil servants.</w:t>
      </w:r>
    </w:p>
    <w:p w:rsidR="008815E8" w:rsidRDefault="00E238D8">
      <w:r>
        <w:t xml:space="preserve">The exploratory diagnosis in this paper does not replace empirical research. Future research can adopt a three-stage design: First, collect public syllabi of public administration departments for content analysis; second, interview </w:t>
      </w:r>
      <w:r>
        <w:t xml:space="preserve">teachers, students, and government training organizers to test the "instrumentalism" and governance capability gaps; third, use student work, pre-post tests, and inter-rater reliability to test whether this blueprint improves the identification quality of </w:t>
      </w:r>
      <w:r>
        <w:t>P1–P3, four chains, and seven audits. Education and civil service training authorities can also establish curriculum pilots, teacher training, and case databases accordingly.</w:t>
      </w:r>
    </w:p>
    <w:p w:rsidR="008815E8" w:rsidRDefault="00E238D8">
      <w:pPr>
        <w:pStyle w:val="1"/>
      </w:pPr>
      <w:r>
        <w:t>References</w:t>
      </w:r>
    </w:p>
    <w:p w:rsidR="008815E8" w:rsidRDefault="00E238D8">
      <w:pPr>
        <w:ind w:left="720" w:hanging="720"/>
      </w:pPr>
      <w:r>
        <w:t>AI Governance Research Series. (2026). Reconceptualizing artificial in</w:t>
      </w:r>
      <w:r>
        <w:t>telligence governance. Working Paper No. 1.</w:t>
      </w:r>
    </w:p>
    <w:p w:rsidR="008815E8" w:rsidRDefault="00E238D8">
      <w:pPr>
        <w:ind w:left="720" w:hanging="720"/>
      </w:pPr>
      <w:r>
        <w:t>Ding, Y.-Z. (2024). The intertwining of public governance and artificial intelligence: An actor-network theory approach (Doctoral dissertation, National Taiwan University, Department of Political Science). https:</w:t>
      </w:r>
      <w:r>
        <w:t>//doi.org/10.6342/NTU202400451</w:t>
      </w:r>
    </w:p>
    <w:p w:rsidR="008815E8" w:rsidRDefault="00E238D8">
      <w:pPr>
        <w:ind w:left="720" w:hanging="720"/>
      </w:pPr>
      <w:r>
        <w:t>Executive Yuan. (2023). Reference guidelines for the use of generative AI by the Executive Yuan and its subordinate agencies.</w:t>
      </w:r>
    </w:p>
    <w:p w:rsidR="008815E8" w:rsidRDefault="00E238D8">
      <w:pPr>
        <w:ind w:left="720" w:hanging="720"/>
      </w:pPr>
      <w:r>
        <w:t>Liao, H.-C. (2024). Opportunities and challenges of artificial intelligence in public administratio</w:t>
      </w:r>
      <w:r>
        <w:t>n. Journal of Civil Service, 16(2), 1–20.</w:t>
      </w:r>
    </w:p>
    <w:p w:rsidR="008815E8" w:rsidRDefault="00E238D8">
      <w:pPr>
        <w:ind w:left="720" w:hanging="720"/>
      </w:pPr>
      <w:r>
        <w:t xml:space="preserve">Chang, P.-H., Chen, D.-Y., Liao, C.-P., Huang, H.-Y., Wang, C.-W., Chang, Y.-H., &amp; Chen, Y.-H. (2024). Public service institutional design strategies and regulatory adaptation under the AI trend. Journal of Public </w:t>
      </w:r>
      <w:r>
        <w:t>Administration and Policy, 78, 95–126. https://doi.org/10.29865/PAP.202406_(78).0004</w:t>
      </w:r>
    </w:p>
    <w:p w:rsidR="008815E8" w:rsidRDefault="00E238D8">
      <w:pPr>
        <w:ind w:left="720" w:hanging="720"/>
      </w:pPr>
      <w:r>
        <w:t>Huang, H.-Y., Tseng, K.-C., Liao, C.-P., &amp; Chen, D.-Y. (2021). When artificial intelligence enters government: Reflections on AI applications from public administration th</w:t>
      </w:r>
      <w:r>
        <w:t>eories. Journal of Civil Service, 13(2), 91–114.</w:t>
      </w:r>
    </w:p>
    <w:p w:rsidR="008815E8" w:rsidRDefault="00E238D8">
      <w:pPr>
        <w:ind w:left="720" w:hanging="720"/>
      </w:pPr>
      <w:r>
        <w:t>Huang, H.-Y., &amp; Chen, D.-Y. (2023). Public administration research under AI collaboration: Multi-level reflections on public sector organizational issues. Taiwanese Journal of Political Science, 96, 139–178.</w:t>
      </w:r>
      <w:r>
        <w:t xml:space="preserve"> https://doi.org/10.6166/TJPS.202306_(96).0004</w:t>
      </w:r>
    </w:p>
    <w:p w:rsidR="008815E8" w:rsidRDefault="00E238D8">
      <w:pPr>
        <w:ind w:left="720" w:hanging="720"/>
      </w:pPr>
      <w:r>
        <w:t>Taipei City Government. (2024). Operational guidelines for the use of artificial intelligence by the Taipei City Government.</w:t>
      </w:r>
    </w:p>
    <w:p w:rsidR="008815E8" w:rsidRDefault="00E238D8">
      <w:pPr>
        <w:ind w:left="720" w:hanging="720"/>
      </w:pPr>
      <w:r>
        <w:lastRenderedPageBreak/>
        <w:t xml:space="preserve">Alkhatib, A., &amp; Bernstein, M. (2019). Street-level algorithms: A theory at the gaps </w:t>
      </w:r>
      <w:r>
        <w:t>between policy and decisions. Proceedings of the 2019 CHI Conference on Human Factors in Computing Systems, 1–13.</w:t>
      </w:r>
    </w:p>
    <w:p w:rsidR="008815E8" w:rsidRDefault="00E238D8">
      <w:pPr>
        <w:ind w:left="720" w:hanging="720"/>
      </w:pPr>
      <w:r>
        <w:t>Bovens, M., &amp; Zouridis, S. (2002). From street-level to system-level bureaucracies: How information and communication technology is transformi</w:t>
      </w:r>
      <w:r>
        <w:t>ng administrative discretion and constitutional control. Public Administration Review, 62(2), 174–184. https://doi.org/10.1111/1540-6210.00183</w:t>
      </w:r>
    </w:p>
    <w:p w:rsidR="008815E8" w:rsidRDefault="00E238D8">
      <w:pPr>
        <w:ind w:left="720" w:hanging="720"/>
      </w:pPr>
      <w:r>
        <w:t>Busuioc, M. (2021). Accountable artificial intelligence: Holding algorithms to account. Public Administration Rev</w:t>
      </w:r>
      <w:r>
        <w:t>iew, 81(5), 825–836. https://doi.org/10.1111/puar.13293</w:t>
      </w:r>
    </w:p>
    <w:p w:rsidR="008815E8" w:rsidRDefault="00E238D8">
      <w:pPr>
        <w:ind w:left="720" w:hanging="720"/>
      </w:pPr>
      <w:r>
        <w:t>Dunleavy, P., Margetts, H., Bastow, S., &amp; Tinkler, J. (2006). New public management is dead—Long live digital-era governance. Journal of Public Administration Research and Theory, 16(3), 467–494. http</w:t>
      </w:r>
      <w:r>
        <w:t>s://doi.org/10.1093/jopart/mui057</w:t>
      </w:r>
    </w:p>
    <w:p w:rsidR="008815E8" w:rsidRDefault="00E238D8">
      <w:pPr>
        <w:ind w:left="720" w:hanging="720"/>
      </w:pPr>
      <w:r>
        <w:t>Eubanks, V. (2018). Automating inequality: How high-tech tools profile, police, and punish the poor. St. Martin's Press.</w:t>
      </w:r>
    </w:p>
    <w:p w:rsidR="008815E8" w:rsidRDefault="00E238D8">
      <w:pPr>
        <w:ind w:left="720" w:hanging="720"/>
      </w:pPr>
      <w:r>
        <w:t>European Parliament and Council. (2024). Regulation (EU) 2024/1689 laying down harmonised rules on ar</w:t>
      </w:r>
      <w:r>
        <w:t>tificial intelligence (Artificial Intelligence Act). Official Journal of the European Union.</w:t>
      </w:r>
    </w:p>
    <w:p w:rsidR="008815E8" w:rsidRDefault="00E238D8">
      <w:pPr>
        <w:ind w:left="720" w:hanging="720"/>
      </w:pPr>
      <w:r>
        <w:t>Margetts, H., &amp; Dorobantu, C. (2019). Rethinking public policy making in the zero-margin information age. Oxford Review of Economic Policy, 35(2), 307–325.</w:t>
      </w:r>
    </w:p>
    <w:p w:rsidR="008815E8" w:rsidRDefault="00E238D8">
      <w:pPr>
        <w:ind w:left="720" w:hanging="720"/>
      </w:pPr>
      <w:r>
        <w:t>Pasqual</w:t>
      </w:r>
      <w:r>
        <w:t>e, F. (2015). The Black Box Society: The secret algorithms that control money and information. Harvard University Press.</w:t>
      </w:r>
    </w:p>
    <w:sectPr w:rsidR="008815E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8815E8"/>
    <w:rsid w:val="00AA1D8D"/>
    <w:rsid w:val="00B47730"/>
    <w:rsid w:val="00CB0664"/>
    <w:rsid w:val="00E238D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4448C6"/>
  <w14:defaultImageDpi w14:val="300"/>
  <w15:docId w15:val="{BDF6DF55-2885-4C0F-8D9E-528C7D517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C693F"/>
    <w:pPr>
      <w:spacing w:after="120"/>
    </w:pPr>
    <w:rPr>
      <w:rFonts w:ascii="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style>
  <w:style w:type="character" w:customStyle="1" w:styleId="af0">
    <w:name w:val="本文 字元"/>
    <w:basedOn w:val="a2"/>
    <w:link w:val="af"/>
    <w:uiPriority w:val="99"/>
    <w:rsid w:val="00AA1D8D"/>
  </w:style>
  <w:style w:type="paragraph" w:styleId="23">
    <w:name w:val="Body Text 2"/>
    <w:basedOn w:val="a1"/>
    <w:link w:val="24"/>
    <w:uiPriority w:val="99"/>
    <w:unhideWhenUsed/>
    <w:rsid w:val="00AA1D8D"/>
    <w:pPr>
      <w:spacing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rPr>
      <w:sz w:val="16"/>
      <w:szCs w:val="16"/>
    </w:rPr>
  </w:style>
  <w:style w:type="character" w:customStyle="1" w:styleId="34">
    <w:name w:val="本文 3 字元"/>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ind w:left="360"/>
      <w:contextualSpacing/>
    </w:pPr>
  </w:style>
  <w:style w:type="paragraph" w:styleId="26">
    <w:name w:val="List Continue 2"/>
    <w:basedOn w:val="a1"/>
    <w:uiPriority w:val="99"/>
    <w:unhideWhenUsed/>
    <w:rsid w:val="0029639D"/>
    <w:pPr>
      <w:ind w:left="720"/>
      <w:contextualSpacing/>
    </w:pPr>
  </w:style>
  <w:style w:type="paragraph" w:styleId="36">
    <w:name w:val="List Continue 3"/>
    <w:basedOn w:val="a1"/>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巨集文字 字元"/>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文 字元"/>
    <w:basedOn w:val="a2"/>
    <w:link w:val="af5"/>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鮮明引文 字元"/>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FAFC6-0F02-4040-B36D-59DF83F8B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5243</Words>
  <Characters>29887</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35060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2</cp:revision>
  <dcterms:created xsi:type="dcterms:W3CDTF">2013-12-23T23:15:00Z</dcterms:created>
  <dcterms:modified xsi:type="dcterms:W3CDTF">2026-08-15T11:17:00Z</dcterms:modified>
  <cp:category/>
</cp:coreProperties>
</file>