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011主標題"/>
        <w:spacing w:after="200"/>
        <w:jc w:val="center"/>
      </w:pPr>
      <w:r>
        <w:rPr>
          <w:rFonts w:ascii="Times New Roman" w:cs="Microsoft JhengHei" w:eastAsia="Microsoft JhengHei" w:hAnsi="Times New Roman"/>
          <w:b/>
          <w:bCs/>
          <w:sz w:val="36"/>
          <w:szCs w:val="36"/>
        </w:rPr>
        <w:t xml:space="preserve">AI 治理下的國家前瞻議題建構：從智庫壟斷、演算法提案到民主協商模式</w:t>
      </w:r>
    </w:p>
    <w:p>
      <w:pPr>
        <w:pStyle w:val="011英文標題"/>
        <w:spacing w:after="200"/>
        <w:jc w:val="center"/>
      </w:pPr>
      <w:r>
        <w:rPr>
          <w:rFonts w:ascii="Times New Roman" w:cs="Microsoft JhengHei" w:eastAsia="Microsoft JhengHei" w:hAnsi="Times New Roman"/>
          <w:i/>
          <w:iCs/>
          <w:sz w:val="24"/>
          <w:szCs w:val="24"/>
        </w:rPr>
        <w:t xml:space="preserve">Building National Strategic Foresight Issues under AI Governance: From Think-Tank Monopoly, Algorithmic Agenda-Setting to Democratic Deliberation</w:t>
      </w:r>
    </w:p>
    <w:p>
      <w:pPr>
        <w:pStyle w:val="011系列標示"/>
      </w:pPr>
      <w:r>
        <w:t>盧建旭  Lancelot Lu</w:t>
      </w:r>
    </w:p>
    <w:p>
      <w:pPr>
        <w:pStyle w:val="011系列標示"/>
      </w:pPr>
      <w:r>
        <w:t>Doctor of Public Administration, University of Southern California, USA</w:t>
      </w:r>
    </w:p>
    <w:p>
      <w:pPr>
        <w:pStyle w:val="011系列標示"/>
      </w:pPr>
      <w:r>
        <w:t>本文與AI協作完成，AI參與文字組織與論證檢驗；概念構思與最終判斷由作者負責。</w:t>
      </w:r>
    </w:p>
    <w:p>
      <w:pPr>
        <w:pStyle w:val="011系列標示"/>
        <w:spacing w:after="400"/>
        <w:jc w:val="center"/>
      </w:pPr>
      <w:r>
        <w:rPr>
          <w:rFonts w:ascii="Times New Roman" w:cs="Microsoft JhengHei" w:eastAsia="Microsoft JhengHei" w:hAnsi="Times New Roman"/>
          <w:sz w:val="22"/>
          <w:szCs w:val="22"/>
        </w:rPr>
        <w:t xml:space="preserve">AI 治理研究系列 第十一篇</w:t>
      </w:r>
    </w:p>
    <w:p>
      <w:pPr>
        <w:pStyle w:val="011摘要標題"/>
        <w:spacing w:after="200" w:before="400"/>
      </w:pPr>
      <w:r>
        <w:rPr>
          <w:rFonts w:ascii="Times New Roman" w:cs="Microsoft JhengHei" w:eastAsia="Microsoft JhengHei" w:hAnsi="Times New Roman"/>
          <w:b/>
          <w:bCs/>
          <w:sz w:val="30"/>
          <w:szCs w:val="30"/>
        </w:rPr>
        <w:t xml:space="preserve">摘要</w:t>
      </w:r>
    </w:p>
    <w:p>
      <w:pPr>
        <w:pStyle w:val="011正文"/>
        <w:spacing w:after="200" w:line="360"/>
        <w:jc w:val="both"/>
      </w:pPr>
      <w:r>
        <w:rPr>
          <w:rFonts w:ascii="Times New Roman" w:hAnsi="Times New Roman" w:eastAsia="Microsoft JhengHei"/>
          <w:sz w:val="24"/>
        </w:rPr>
        <w:t>國家前瞻議題的建構，長期由智庫、政策專家與跨部會協調機制主導。此一安排具備專業深度，卻也可能因議題選擇、資料來源與詮釋框架的集中，而產生認知盲點與代表性不足。近年生成式人工智慧與資料探勘工具進入前瞻掃描，使候選議題的產生、排序與呈現逐漸受到演算法機制影響；其治理意義不在於演算法是否「取代」專家，而在於資料選取、訊號辨識與排序權重如何重組議程設定的權威。</w:t>
      </w:r>
    </w:p>
    <w:p>
      <w:pPr>
        <w:pStyle w:val="011正文"/>
        <w:spacing w:after="200" w:line="360"/>
        <w:jc w:val="both"/>
      </w:pPr>
      <w:r>
        <w:rPr>
          <w:rFonts w:ascii="Times New Roman" w:hAnsi="Times New Roman" w:eastAsia="Microsoft JhengHei"/>
          <w:sz w:val="24"/>
        </w:rPr>
        <w:t>本文採概念建構與比較案例研究取徑，結合多源流框架、演算法治理、認知治理與審議民主文獻，分析日本經濟財政諮詢會議、新加坡戰略未來中心／RAHS，以及韓國 KISTEP 三種前瞻議題建構模式。本文不將公開資料未能證實的特定演算法部署視為既成事實，而是以各案例可辨識的掃描、專家審查、協商與課責安排，辨析 AI 或資料分析可能介入的制度位置。</w:t>
      </w:r>
    </w:p>
    <w:p>
      <w:pPr>
        <w:pStyle w:val="011正文"/>
        <w:spacing w:after="200" w:line="360"/>
        <w:jc w:val="both"/>
      </w:pPr>
      <w:r>
        <w:rPr>
          <w:rFonts w:ascii="Times New Roman" w:hAnsi="Times New Roman" w:eastAsia="Microsoft JhengHei"/>
          <w:sz w:val="24"/>
        </w:rPr>
        <w:t>本文以「AI 治理 25-3-3-4-7」母架構為分析工具，聚焦 P1（情境建構與事實認定）與 P2（行政裁量與價值判斷）兩項權力移轉，並以情境建構鏈與責任鏈追蹤候選議題如何由訊號轉化為政策議程。比較分析顯示，無論前瞻工作主要依賴專家、資料分析或人機協作，理由說明、裁量邊界與民主課責都是共同的制度問題。</w:t>
      </w:r>
    </w:p>
    <w:p>
      <w:pPr>
        <w:pStyle w:val="011正文"/>
        <w:spacing w:after="200" w:line="360"/>
        <w:jc w:val="both"/>
      </w:pPr>
      <w:r>
        <w:rPr>
          <w:rFonts w:ascii="Times New Roman" w:hAnsi="Times New Roman" w:eastAsia="Microsoft JhengHei"/>
          <w:sz w:val="24"/>
        </w:rPr>
        <w:t>本文據此提出「AI 輔助國家前瞻議程建構之三階段民主協商模型」與七項治理審計指標。理論上，本文將「演算法源流」界定為資料來源選取、訊號偵測、排序權重與輸出格式所構成的制度化篩選機制；它並非當然獨立於問題、政策與政治源流，而是在可辨識條件下中介並重塑三者的可見性與耦合方式。</w:t>
      </w:r>
    </w:p>
    <w:p>
      <w:pPr>
        <w:pStyle w:val="011正文"/>
        <w:spacing w:after="200" w:line="360"/>
        <w:jc w:val="both"/>
      </w:pPr>
      <w:r>
        <w:t>本文將國家前瞻由方法論問題轉化為權力移轉、知識權威與民主正當性的治理問題，並提出可供後續訪談、文件追蹤與協商實驗檢驗的命題與觀察指標。</w:t>
      </w:r>
    </w:p>
    <w:p>
      <w:pPr>
        <w:pStyle w:val="011正文"/>
        <w:spacing w:after="200" w:line="360"/>
        <w:jc w:val="both"/>
      </w:pPr>
      <w:r>
        <w:t>關鍵詞：國家前瞻、演算法議程設定（Algorithmic Agenda-Setting）、多源流框架（Multiple Streams Framework）、智庫壟斷、民主協商、AI 治理</w:t>
      </w:r>
    </w:p>
    <w:p>
      <w:pPr>
        <w:pStyle w:val="011英文標題"/>
      </w:pPr>
      <w:r>
        <w:t>Building National Strategic Foresight Issues under AI Governance: From Think-Tank Monopoly and Algorithmic Agenda-Setting to Democratic Deliberation</w:t>
      </w:r>
    </w:p>
    <w:p>
      <w:pPr>
        <w:pStyle w:val="011摘要標題"/>
      </w:pPr>
      <w:r>
        <w:t>Abstract</w:t>
      </w:r>
    </w:p>
    <w:p>
      <w:pPr>
        <w:pStyle w:val="011正文"/>
      </w:pPr>
      <w:r>
        <w:t>National strategic foresight has long been shaped by think tanks, policy experts, and interministerial coordination. Although this arrangement offers expertise, concentration in issue selection, data sources, and interpretive frames can create cognitive blind spots and inadequate representation. As generative AI and data-mining tools enter horizon scanning, the production, ranking, and presentation of candidate issues increasingly depend on algorithmic mechanisms. The governance question is therefore not whether algorithms replace experts, but how data selection, signal detection, and ranking weights reorganize agenda-setting authority. Using conceptual construction and comparative case analysis, this article draws on the multiple streams framework, algorithmic governance, cognitive governance, and deliberative-democracy literature to examine three modes of foresight issue construction: Japan's Council on Economic and Fiscal Policy, Singapore's Centre for Strategic Futures/RAHS, and South Korea's KISTEP. It does not treat unverified algorithmic deployments as established facts; rather, it identifies the institutional locations at which AI or data analytics may enter through observable arrangements for scanning, expert review, deliberation, and accountability. Applying the AI Governance 25–3–3–4–7 framework, the analysis focuses on P1 (context construction and fact finding) and P2 (administrative discretion and value judgment), and traces how candidate issues move from signals to policy agendas through the context-construction and responsibility chains. It proposes a three-stage democratic deliberation model for AI-assisted national foresight agenda construction and seven governance-audit indicators. The article defines an algorithmic stream as the institutionalized selection mechanism constituted by data-source choice, signal detection, ranking weights, and output format. Rather than automatically constituting an independent stream, it mediates and reshapes the visibility and coupling of problem, policy, and political streams under identifiable conditions.</w:t>
      </w:r>
    </w:p>
    <w:p>
      <w:pPr>
        <w:pStyle w:val="011正文"/>
      </w:pPr>
      <w:r>
        <w:t>Keywords: national strategic foresight; algorithmic agenda-setting; multiple streams framework; think-tank monopoly; democratic deliberation; AI governance</w:t>
      </w:r>
    </w:p>
    <w:p>
      <w:pPr>
        <w:pStyle w:val="011小節標題"/>
        <w:keepNext/>
        <w:pageBreakBefore/>
        <w:spacing w:before="240" w:after="100"/>
      </w:pPr>
      <w:r>
        <w:t>閱讀指引：如何理解本文的 25-3-3-4-7 架構</w:t>
      </w:r>
    </w:p>
    <w:p>
      <w:pPr>
        <w:pStyle w:val="011正文"/>
        <w:spacing w:after="100"/>
        <w:ind w:firstLine="0"/>
      </w:pPr>
      <w:r>
        <w:t>「25-3-3-4-7」是本文採用的整合分析架構，數字表示分析維度的數量，不是文章篇號，也不要求讀者另行閱讀其他文本。本篇使用它來追問：AI 如何使前瞻議題被看見、被排序、被採納，以及這個過程如何保有理由與責任。</w:t>
      </w:r>
    </w:p>
    <w:tbl>
      <w:tblPr>
        <w:tblW w:type="auto" w:w="0"/>
        <w:tblLayout w:type="fixed"/>
        <w:tblLook w:firstColumn="1" w:firstRow="1" w:lastColumn="0" w:lastRow="0" w:noHBand="0" w:noVBand="1" w:val="04A0"/>
        <w:tblBorders>
          <w:top w:val="single" w:sz="6" w:color="9DB2C5"/>
          <w:left w:val="single" w:sz="6" w:color="9DB2C5"/>
          <w:bottom w:val="single" w:sz="6" w:color="9DB2C5"/>
          <w:right w:val="single" w:sz="6" w:color="9DB2C5"/>
          <w:insideH w:val="single" w:sz="6" w:color="9DB2C5"/>
          <w:insideV w:val="single" w:sz="6" w:color="9DB2C5"/>
        </w:tblBorders>
      </w:tblPr>
      <w:tblGrid>
        <w:gridCol w:w="1814"/>
        <w:gridCol w:w="6973"/>
      </w:tblGrid>
      <w:tr>
        <w:tc>
          <w:tcPr>
            <w:tcW w:type="dxa" w:w="1814"/>
            <w:shd w:fill="1F4E79"/>
            <w:vAlign w:val="center"/>
            <w:tcMar>
              <w:top w:w="100" w:type="dxa"/>
              <w:start w:w="130" w:type="dxa"/>
              <w:bottom w:w="100" w:type="dxa"/>
              <w:end w:w="130" w:type="dxa"/>
            </w:tcMar>
          </w:tcPr>
          <w:p>
            <w:pPr>
              <w:spacing w:after="0"/>
              <w:jc w:val="center"/>
            </w:pPr>
            <w:r>
              <w:rPr>
                <w:b/>
                <w:color w:val="FFFFFF"/>
                <w:sz w:val="21"/>
              </w:rPr>
              <w:t>構成</w:t>
            </w:r>
          </w:p>
        </w:tc>
        <w:tc>
          <w:tcPr>
            <w:tcW w:type="dxa" w:w="6973"/>
            <w:shd w:fill="1F4E79"/>
            <w:vAlign w:val="center"/>
            <w:tcMar>
              <w:top w:w="100" w:type="dxa"/>
              <w:start w:w="130" w:type="dxa"/>
              <w:bottom w:w="100" w:type="dxa"/>
              <w:end w:w="130" w:type="dxa"/>
            </w:tcMar>
          </w:tcPr>
          <w:p>
            <w:pPr>
              <w:spacing w:after="0"/>
              <w:jc w:val="center"/>
            </w:pPr>
            <w:r>
              <w:rPr>
                <w:b/>
                <w:color w:val="FFFFFF"/>
                <w:sz w:val="21"/>
              </w:rPr>
              <w:t>本文中的意思與用途</w:t>
            </w:r>
          </w:p>
        </w:tc>
      </w:tr>
      <w:tr>
        <w:tc>
          <w:tcPr>
            <w:tcW w:type="dxa" w:w="1814"/>
            <w:tcMar>
              <w:top w:w="100" w:type="dxa"/>
              <w:start w:w="130" w:type="dxa"/>
              <w:bottom w:w="100" w:type="dxa"/>
              <w:end w:w="130" w:type="dxa"/>
            </w:tcMar>
            <w:vAlign w:val="center"/>
            <w:shd w:fill="EAF2F8"/>
          </w:tcPr>
          <w:p>
            <w:pPr>
              <w:spacing w:after="0" w:line="276" w:lineRule="auto"/>
            </w:pPr>
            <w:r>
              <w:rPr>
                <w:b/>
                <w:sz w:val="20"/>
              </w:rPr>
              <w:t>25 個治理座標</w:t>
            </w:r>
          </w:p>
        </w:tc>
        <w:tc>
          <w:tcPr>
            <w:tcW w:type="dxa" w:w="6973"/>
            <w:tcMar>
              <w:top w:w="100" w:type="dxa"/>
              <w:start w:w="130" w:type="dxa"/>
              <w:bottom w:w="100" w:type="dxa"/>
              <w:end w:w="130" w:type="dxa"/>
            </w:tcMar>
            <w:vAlign w:val="center"/>
          </w:tcPr>
          <w:p>
            <w:pPr>
              <w:spacing w:after="0" w:line="276" w:lineRule="auto"/>
            </w:pPr>
            <w:r>
              <w:rPr>
                <w:b w:val="0"/>
                <w:sz w:val="20"/>
              </w:rPr>
              <w:t>以「五個治理層次 × 五個分析單位」定位問題與權力轉移發生的位置。</w:t>
            </w:r>
          </w:p>
        </w:tc>
      </w:tr>
      <w:tr>
        <w:tc>
          <w:tcPr>
            <w:tcW w:type="dxa" w:w="1814"/>
            <w:tcMar>
              <w:top w:w="100" w:type="dxa"/>
              <w:start w:w="130" w:type="dxa"/>
              <w:bottom w:w="100" w:type="dxa"/>
              <w:end w:w="130" w:type="dxa"/>
            </w:tcMar>
            <w:vAlign w:val="center"/>
            <w:shd w:fill="EAF2F8"/>
          </w:tcPr>
          <w:p>
            <w:pPr>
              <w:spacing w:after="0" w:line="276" w:lineRule="auto"/>
            </w:pPr>
            <w:r>
              <w:rPr>
                <w:b/>
                <w:sz w:val="20"/>
              </w:rPr>
              <w:t>3 種權力移轉</w:t>
            </w:r>
          </w:p>
        </w:tc>
        <w:tc>
          <w:tcPr>
            <w:tcW w:type="dxa" w:w="6973"/>
            <w:tcMar>
              <w:top w:w="100" w:type="dxa"/>
              <w:start w:w="130" w:type="dxa"/>
              <w:bottom w:w="100" w:type="dxa"/>
              <w:end w:w="130" w:type="dxa"/>
            </w:tcMar>
            <w:vAlign w:val="center"/>
          </w:tcPr>
          <w:p>
            <w:pPr>
              <w:spacing w:after="0" w:line="276" w:lineRule="auto"/>
            </w:pPr>
            <w:r>
              <w:rPr>
                <w:b w:val="0"/>
                <w:sz w:val="20"/>
              </w:rPr>
              <w:t>P1 情境建構與事實認定、P2 行政裁量與價值判斷、P3 公權力影響。本文主要分析 P1 與 P2。</w:t>
            </w:r>
          </w:p>
        </w:tc>
      </w:tr>
      <w:tr>
        <w:tc>
          <w:tcPr>
            <w:tcW w:type="dxa" w:w="1814"/>
            <w:tcMar>
              <w:top w:w="100" w:type="dxa"/>
              <w:start w:w="130" w:type="dxa"/>
              <w:bottom w:w="100" w:type="dxa"/>
              <w:end w:w="130" w:type="dxa"/>
            </w:tcMar>
            <w:vAlign w:val="center"/>
            <w:shd w:fill="EAF2F8"/>
          </w:tcPr>
          <w:p>
            <w:pPr>
              <w:spacing w:after="0" w:line="276" w:lineRule="auto"/>
            </w:pPr>
            <w:r>
              <w:rPr>
                <w:b/>
                <w:sz w:val="20"/>
              </w:rPr>
              <w:t>3 項結構效應</w:t>
            </w:r>
          </w:p>
        </w:tc>
        <w:tc>
          <w:tcPr>
            <w:tcW w:type="dxa" w:w="6973"/>
            <w:tcMar>
              <w:top w:w="100" w:type="dxa"/>
              <w:start w:w="130" w:type="dxa"/>
              <w:bottom w:w="100" w:type="dxa"/>
              <w:end w:w="130" w:type="dxa"/>
            </w:tcMar>
            <w:vAlign w:val="center"/>
          </w:tcPr>
          <w:p>
            <w:pPr>
              <w:spacing w:after="0" w:line="276" w:lineRule="auto"/>
            </w:pPr>
            <w:r>
              <w:rPr>
                <w:b w:val="0"/>
                <w:sz w:val="20"/>
              </w:rPr>
              <w:t>跨格移動、邊界消解、權威重構，用以辨識技術導入後權力如何重新配置。</w:t>
            </w:r>
          </w:p>
        </w:tc>
      </w:tr>
      <w:tr>
        <w:tc>
          <w:tcPr>
            <w:tcW w:type="dxa" w:w="1814"/>
            <w:tcMar>
              <w:top w:w="100" w:type="dxa"/>
              <w:start w:w="130" w:type="dxa"/>
              <w:bottom w:w="100" w:type="dxa"/>
              <w:end w:w="130" w:type="dxa"/>
            </w:tcMar>
            <w:vAlign w:val="center"/>
            <w:shd w:fill="EAF2F8"/>
          </w:tcPr>
          <w:p>
            <w:pPr>
              <w:spacing w:after="0" w:line="276" w:lineRule="auto"/>
            </w:pPr>
            <w:r>
              <w:rPr>
                <w:b/>
                <w:sz w:val="20"/>
              </w:rPr>
              <w:t>4 條治理鏈</w:t>
            </w:r>
          </w:p>
        </w:tc>
        <w:tc>
          <w:tcPr>
            <w:tcW w:type="dxa" w:w="6973"/>
            <w:tcMar>
              <w:top w:w="100" w:type="dxa"/>
              <w:start w:w="130" w:type="dxa"/>
              <w:bottom w:w="100" w:type="dxa"/>
              <w:end w:w="130" w:type="dxa"/>
            </w:tcMar>
            <w:vAlign w:val="center"/>
          </w:tcPr>
          <w:p>
            <w:pPr>
              <w:spacing w:after="0" w:line="276" w:lineRule="auto"/>
            </w:pPr>
            <w:r>
              <w:rPr>
                <w:b w:val="0"/>
                <w:sz w:val="20"/>
              </w:rPr>
              <w:t>情境建構、權威、理由、責任，讓讀者可沿流程追溯議題與決定如何形成。</w:t>
            </w:r>
          </w:p>
        </w:tc>
      </w:tr>
      <w:tr>
        <w:tc>
          <w:tcPr>
            <w:tcW w:type="dxa" w:w="1814"/>
            <w:tcMar>
              <w:top w:w="100" w:type="dxa"/>
              <w:start w:w="130" w:type="dxa"/>
              <w:bottom w:w="100" w:type="dxa"/>
              <w:end w:w="130" w:type="dxa"/>
            </w:tcMar>
            <w:vAlign w:val="center"/>
            <w:shd w:fill="EAF2F8"/>
          </w:tcPr>
          <w:p>
            <w:pPr>
              <w:spacing w:after="0" w:line="276" w:lineRule="auto"/>
            </w:pPr>
            <w:r>
              <w:rPr>
                <w:b/>
                <w:sz w:val="20"/>
              </w:rPr>
              <w:t>7 項治理審計</w:t>
            </w:r>
          </w:p>
        </w:tc>
        <w:tc>
          <w:tcPr>
            <w:tcW w:type="dxa" w:w="6973"/>
            <w:tcMar>
              <w:top w:w="100" w:type="dxa"/>
              <w:start w:w="130" w:type="dxa"/>
              <w:bottom w:w="100" w:type="dxa"/>
              <w:end w:w="130" w:type="dxa"/>
            </w:tcMar>
            <w:vAlign w:val="center"/>
          </w:tcPr>
          <w:p>
            <w:pPr>
              <w:spacing w:after="0" w:line="276" w:lineRule="auto"/>
            </w:pPr>
            <w:r>
              <w:rPr>
                <w:b w:val="0"/>
                <w:sz w:val="20"/>
              </w:rPr>
              <w:t>資料代表性、理由說明、責任歸屬、隱私資安、裁量邊界、組織能力、民主課責；用於採用前與事後檢核。</w:t>
            </w:r>
          </w:p>
        </w:tc>
      </w:tr>
    </w:tbl>
    <w:p>
      <w:pPr>
        <w:pStyle w:val="011章標題"/>
        <w:spacing w:after="200" w:before="400"/>
      </w:pPr>
      <w:r>
        <w:rPr>
          <w:rFonts w:ascii="Times New Roman" w:cs="Microsoft JhengHei" w:eastAsia="Microsoft JhengHei" w:hAnsi="Times New Roman"/>
          <w:b/>
          <w:bCs/>
          <w:sz w:val="30"/>
          <w:szCs w:val="30"/>
        </w:rPr>
        <w:t xml:space="preserve">第一章 緒論：國家前瞻的範式轉移與 AI 的侵入</w:t>
      </w:r>
    </w:p>
    <w:p>
      <w:pPr>
        <w:pStyle w:val="011節標題"/>
        <w:spacing w:after="150" w:before="300"/>
      </w:pPr>
      <w:r>
        <w:rPr>
          <w:rFonts w:ascii="Times New Roman" w:cs="Microsoft JhengHei" w:eastAsia="Microsoft JhengHei" w:hAnsi="Times New Roman"/>
          <w:b/>
          <w:bCs/>
          <w:sz w:val="26"/>
          <w:szCs w:val="26"/>
        </w:rPr>
        <w:t xml:space="preserve">1.1 研究動機與問題意識</w:t>
      </w:r>
    </w:p>
    <w:p>
      <w:pPr>
        <w:pStyle w:val="011正文"/>
        <w:spacing w:after="200" w:line="360"/>
        <w:jc w:val="both"/>
      </w:pPr>
      <w:r>
        <w:rPr>
          <w:rFonts w:ascii="Times New Roman" w:cs="Microsoft JhengHei" w:eastAsia="Microsoft JhengHei" w:hAnsi="Times New Roman"/>
          <w:b w:val="false"/>
          <w:bCs w:val="false"/>
          <w:sz w:val="24"/>
        </w:rPr>
        <w:t xml:space="preserve">國家前瞻工作向來被視為政策規劃體系中最具「未來取向」的環節，其任務是在資訊不完全、不確定性極高的條件下，為國家識別出值得優先關注的潛在危機與機會，並轉化為可供決策者參考的政策議程。然而，這項工作長期存在一個結構性矛盾：前瞻工作愈是仰賴專業判斷，就愈容易陷入「專家同溫層」（Epistemic Community Closure）的侵蝕效應。智庫研究員彼此引用、彼此審查、彼此培養接班人的封閉生態，使得許多前瞻報告呈現出高度相似的議題清單與敘事框架，反而削弱了前瞻工作原本應具備的「顛覆性想像」（Disruptive Imagination）功能。</w:t>
      </w:r>
    </w:p>
    <w:p>
      <w:pPr>
        <w:pStyle w:val="011正文"/>
        <w:spacing w:after="200" w:line="360"/>
        <w:jc w:val="both"/>
      </w:pPr>
      <w:r>
        <w:rPr>
          <w:rFonts w:ascii="Times New Roman" w:cs="Microsoft JhengHei" w:eastAsia="Microsoft JhengHei" w:hAnsi="Times New Roman"/>
          <w:b w:val="false"/>
          <w:bCs w:val="false"/>
          <w:sz w:val="24"/>
        </w:rPr>
        <w:t xml:space="preserve">與此同時，生成式人工智慧與巨量資料分析工具的普及，正在為前瞻工作注入一種全新的方法論可能性。透過對專利申請、學術論文、產業報告、社群輿情乃至跨語言新聞的即時探勘，演算法系統理論上可以突破人力智庫在資料涵蓋範圍與更新速度上的先天限制，發掘出人類專家尚未察覺的「弱訊號」（Weak Signals）與「新興議題」（Emerging Issues）。這種能力上的躍升，使得越來越多國家級前瞻機構——包括歐盟執委會下設的 ESPAS 網絡、美國國家情報委員會、新加坡的風險評估與前瞻中心——開始將 AI 工具納入其前瞻掃描流程，作為輔助甚至部分取代人力研判的機制。</w:t>
      </w:r>
    </w:p>
    <w:p>
      <w:pPr>
        <w:pStyle w:val="011正文"/>
        <w:spacing w:after="200" w:line="360"/>
        <w:jc w:val="both"/>
      </w:pPr>
      <w:r>
        <w:rPr>
          <w:rFonts w:ascii="Times New Roman" w:cs="Microsoft JhengHei" w:eastAsia="Microsoft JhengHei" w:hAnsi="Times New Roman"/>
          <w:b w:val="false"/>
          <w:bCs w:val="false"/>
          <w:sz w:val="24"/>
        </w:rPr>
        <w:t xml:space="preserve">然而，這種轉變的治理意涵卻遠比其技術外觀複雜。當演算法系統開始參與甚至主導「哪些議題值得國家關注」的篩選工作，實質上就是在執行一種高度政治性的權力——決定公共議程的邊界。這種權力移轉具有高度隱蔽性：決策者與公民往往只看到演算法產出的「客觀」趨勢報告或風險矩陣，卻難以追溯報告背後的訓練資料選擇、關鍵詞篩選邏輯、權重演算法設計等一系列足以左右結論的技術決定。換言之，演算法提案將原本存在於智庫內部、至少仍可透過人際網絡與學術社群加以觀察與問責的權力運作，轉化為存在於程式碼與模型參數之中、更難以被外部課責機制觸及的權力運作。</w:t>
      </w:r>
    </w:p>
    <w:p>
      <w:pPr>
        <w:pStyle w:val="011正文"/>
        <w:spacing w:after="200" w:line="360"/>
        <w:jc w:val="both"/>
      </w:pPr>
      <w:r>
        <w:rPr>
          <w:rFonts w:ascii="Times New Roman" w:cs="Microsoft JhengHei" w:eastAsia="Microsoft JhengHei" w:hAnsi="Times New Roman"/>
          <w:b w:val="false"/>
          <w:bCs w:val="false"/>
          <w:sz w:val="24"/>
        </w:rPr>
        <w:t xml:space="preserve">本文的核心關切正在於此：當國家前瞻議題建構逐漸從「智庫壟斷」過渡到「演算法提案」，公權力應如何在保有技術效益的同時，重新建立起足以承載民主課責與多元代表性的正當性基礎？</w:t>
      </w:r>
    </w:p>
    <w:p>
      <w:pPr>
        <w:pStyle w:val="011節標題"/>
        <w:spacing w:after="150" w:before="300"/>
      </w:pPr>
      <w:r>
        <w:rPr>
          <w:rFonts w:ascii="Times New Roman" w:cs="Microsoft JhengHei" w:eastAsia="Microsoft JhengHei" w:hAnsi="Times New Roman"/>
          <w:b/>
          <w:bCs/>
          <w:sz w:val="26"/>
          <w:szCs w:val="26"/>
        </w:rPr>
        <w:t xml:space="preserve">1.2 研究問題</w:t>
      </w:r>
    </w:p>
    <w:p>
      <w:pPr>
        <w:pStyle w:val="011正文"/>
        <w:spacing w:after="200" w:line="360"/>
        <w:jc w:val="both"/>
      </w:pPr>
      <w:r>
        <w:rPr>
          <w:rFonts w:ascii="Times New Roman" w:cs="Microsoft JhengHei" w:eastAsia="Microsoft JhengHei" w:hAnsi="Times New Roman"/>
          <w:b w:val="false"/>
          <w:bCs w:val="false"/>
          <w:sz w:val="24"/>
        </w:rPr>
        <w:t xml:space="preserve">本文提出以下三項核心研究問題：</w:t>
      </w:r>
    </w:p>
    <w:p>
      <w:pPr>
        <w:pStyle w:val="011正文"/>
        <w:spacing w:after="200" w:line="360"/>
        <w:jc w:val="both"/>
      </w:pPr>
      <w:r>
        <w:rPr>
          <w:rFonts w:ascii="Times New Roman" w:cs="Microsoft JhengHei" w:eastAsia="Microsoft JhengHei" w:hAnsi="Times New Roman"/>
          <w:b/>
          <w:bCs/>
          <w:sz w:val="24"/>
        </w:rPr>
        <w:t xml:space="preserve">RQ1</w:t>
      </w:r>
      <w:r>
        <w:rPr>
          <w:rFonts w:ascii="Times New Roman" w:cs="Microsoft JhengHei" w:eastAsia="Microsoft JhengHei" w:hAnsi="Times New Roman"/>
          <w:b w:val="false"/>
          <w:bCs w:val="false"/>
          <w:sz w:val="24"/>
        </w:rPr>
        <w:t xml:space="preserve">：AI 演算法提案如何重構國家前瞻議題的情境建構鏈？具體而言，演算法在資料選取、弱訊號定義與情境框架設計上，實質承接了原本屬於智庫與專家的哪些「事實認定」與「情境建構」權限（對應母架構之 P1 移轉）？</w:t>
      </w:r>
    </w:p>
    <w:p>
      <w:pPr>
        <w:pStyle w:val="011正文"/>
        <w:spacing w:after="200" w:line="360"/>
        <w:jc w:val="both"/>
      </w:pPr>
      <w:r>
        <w:rPr>
          <w:rFonts w:ascii="Times New Roman" w:cs="Microsoft JhengHei" w:eastAsia="Microsoft JhengHei" w:hAnsi="Times New Roman"/>
          <w:b/>
          <w:bCs/>
          <w:sz w:val="24"/>
        </w:rPr>
        <w:t xml:space="preserve">RQ2</w:t>
      </w:r>
      <w:r>
        <w:rPr>
          <w:rFonts w:ascii="Times New Roman" w:cs="Microsoft JhengHei" w:eastAsia="Microsoft JhengHei" w:hAnsi="Times New Roman"/>
          <w:b w:val="false"/>
          <w:bCs w:val="false"/>
          <w:sz w:val="24"/>
        </w:rPr>
        <w:t xml:space="preserve">：當傳統智庫權威判斷與演算法預測結果發生衝突時，會產生何種結構性效應？決策者在面對演算法給出的機率權重與風險評級時，其裁量空間與價值判斷的邊界應如何劃定（對應母架構之 P2 移轉）？</w:t>
      </w:r>
    </w:p>
    <w:p>
      <w:pPr>
        <w:pStyle w:val="011正文"/>
        <w:spacing w:after="200" w:line="360"/>
        <w:jc w:val="both"/>
      </w:pPr>
      <w:r>
        <w:rPr>
          <w:rFonts w:ascii="Times New Roman" w:cs="Microsoft JhengHei" w:eastAsia="Microsoft JhengHei" w:hAnsi="Times New Roman"/>
          <w:b/>
          <w:bCs/>
          <w:sz w:val="24"/>
        </w:rPr>
        <w:t xml:space="preserve">RQ3</w:t>
      </w:r>
      <w:r>
        <w:rPr>
          <w:rFonts w:ascii="Times New Roman" w:cs="Microsoft JhengHei" w:eastAsia="Microsoft JhengHei" w:hAnsi="Times New Roman"/>
          <w:b w:val="false"/>
          <w:bCs w:val="false"/>
          <w:sz w:val="24"/>
        </w:rPr>
        <w:t xml:space="preserve">：應透過何種民主協商模式與治理審計機制，建立一套兼具技術效能與民主正當性的 AI 前瞻治理鏈，以節制演算法提案可能帶來的偏誤複製與課責真空？</w:t>
      </w:r>
    </w:p>
    <w:p>
      <w:pPr>
        <w:pStyle w:val="011節標題"/>
        <w:spacing w:after="150" w:before="300"/>
      </w:pPr>
      <w:r>
        <w:rPr>
          <w:rFonts w:ascii="Times New Roman" w:cs="Microsoft JhengHei" w:eastAsia="Microsoft JhengHei" w:hAnsi="Times New Roman"/>
          <w:b/>
          <w:bCs/>
          <w:sz w:val="26"/>
          <w:szCs w:val="26"/>
        </w:rPr>
        <w:t xml:space="preserve">1.3 研究目的與重要性</w:t>
      </w:r>
    </w:p>
    <w:p>
      <w:pPr>
        <w:pStyle w:val="011正文"/>
        <w:spacing w:after="200" w:line="360"/>
        <w:jc w:val="both"/>
      </w:pPr>
      <w:r>
        <w:rPr>
          <w:rFonts w:ascii="Times New Roman" w:cs="Microsoft JhengHei" w:eastAsia="Microsoft JhengHei" w:hAnsi="Times New Roman"/>
          <w:b w:val="false"/>
          <w:bCs w:val="false"/>
          <w:sz w:val="24"/>
        </w:rPr>
        <w:t xml:space="preserve">本文之研究目的有三：第一，填補公共政策學界在「演算法議程設定」（Algorithmic Agenda-Setting）與「國家戰略前瞻」（National Strategic Foresight）兩項理論脈絡交會處的分析空白——既有的議程設定理論多聚焦於媒體、社會運動與政治源流的互動，尚未系統性納入演算法作為獨立行為者的分析角色；既有的前瞻研究則多聚焦於方法論工具（如情境規劃、德爾菲法）的操作技巧，較少觸及演算法導入後的權力移轉與正當性課題。</w:t>
      </w:r>
    </w:p>
    <w:p>
      <w:pPr>
        <w:pStyle w:val="011正文"/>
        <w:spacing w:after="200" w:line="360"/>
        <w:jc w:val="both"/>
      </w:pPr>
      <w:r>
        <w:t>第二，本文以「AI 治理 25-3-3-4-7」作為綜合性分析架構，具體說明 P1、P2 權力移轉如何在前瞻議程設定中發生，並提出可由文件、版本紀錄與協商資料檢驗的概念與觀察規則。所有核心術語、設計維度及其文獻基礎均在本文第二、三章交代，不以讀者預先閱讀其他文本為前提。</w:t>
      </w:r>
    </w:p>
    <w:p>
      <w:pPr>
        <w:pStyle w:val="011正文"/>
        <w:spacing w:after="240" w:line="360" w:before="180"/>
        <w:ind w:firstLine="0"/>
        <w:jc w:val="center"/>
      </w:pPr>
      <w:r>
        <w:rPr>
          <w:rFonts w:ascii="Times New Roman" w:hAnsi="Times New Roman" w:eastAsia="Microsoft JhengHei"/>
          <w:i/>
          <w:sz w:val="24"/>
        </w:rPr>
        <w:t>本文的政策意涵更強：從「AI 如何建構前瞻議題」，推進到「前瞻議題一旦跨過門檻，如何有正當性地進入國家應變程序」。</w:t>
      </w:r>
    </w:p>
    <w:p>
      <w:pPr>
        <w:pStyle w:val="011章標題"/>
        <w:spacing w:after="200" w:before="400"/>
      </w:pPr>
      <w:r>
        <w:rPr>
          <w:rFonts w:ascii="Times New Roman" w:cs="Microsoft JhengHei" w:eastAsia="Microsoft JhengHei" w:hAnsi="Times New Roman"/>
          <w:b/>
          <w:bCs/>
          <w:sz w:val="30"/>
          <w:szCs w:val="30"/>
        </w:rPr>
        <w:t xml:space="preserve">第二章 文獻檢討與理論基礎</w:t>
      </w:r>
    </w:p>
    <w:p>
      <w:pPr>
        <w:pStyle w:val="011節標題"/>
        <w:spacing w:after="150" w:before="300"/>
      </w:pPr>
      <w:r>
        <w:rPr>
          <w:rFonts w:ascii="Times New Roman" w:hAnsi="Times New Roman" w:eastAsia="Microsoft JhengHei"/>
        </w:rPr>
        <w:t>2.1 多源流框架、議題界定與國家前瞻</w:t>
      </w:r>
    </w:p>
    <w:p>
      <w:pPr>
        <w:pStyle w:val="011正文"/>
        <w:spacing w:after="200" w:line="360"/>
        <w:jc w:val="both"/>
      </w:pPr>
      <w:r>
        <w:t>Kingdon（1984）所提出的多源流框架（Multiple Streams Framework, MSF）說明，問題、政策與政治三條源流在特定政策之窗中耦合，方使議題取得正式議程地位。後續研究一方面強化其概念操作化，另一方面也把注意力轉向新興政策子系統中的議題與工具優先順序如何跨場域形成（Herweg, Huß, &amp; Zohlnhöfer, 2015; Cairney &amp; Jones, 2016; Lemke, Trein, &amp; Varone, 2023; DeLeo, Zohlnhöfer, &amp; Zahariadis, 2024）。因此，本文不把演算法視為第四個自動運作的行為者，而是檢視其如何介入議題可見性、問題框定與方案排序。</w:t>
      </w:r>
    </w:p>
    <w:p>
      <w:pPr>
        <w:pStyle w:val="011正文"/>
        <w:spacing w:after="200" w:line="360"/>
        <w:jc w:val="both"/>
      </w:pPr>
      <w:r>
        <w:rPr>
          <w:rFonts w:ascii="Times New Roman" w:hAnsi="Times New Roman" w:eastAsia="Microsoft JhengHei"/>
          <w:sz w:val="24"/>
        </w:rPr>
        <w:t>國家前瞻則涵蓋環境掃描、弱訊號辨識、情境推演與政策轉譯等活動；其目的不是預測單一未來，而是擴大政府對不確定性與替代路徑的辨識能力（OECD, 2019; Fuerth, 2009）。前瞻產出的議題清單因此同時是知識產物與政策選擇：哪些訊號被納入、何者被視為重大、何種未來被寫成可行，均可能影響後續資源配置與政治注意。</w:t>
      </w:r>
    </w:p>
    <w:p>
      <w:pPr>
        <w:pStyle w:val="011節標題"/>
        <w:spacing w:after="200" w:line="360"/>
        <w:jc w:val="both"/>
      </w:pPr>
      <w:r>
        <w:rPr>
          <w:rFonts w:ascii="Times New Roman" w:hAnsi="Times New Roman" w:eastAsia="Microsoft JhengHei"/>
        </w:rPr>
        <w:t>2.2 演算法治理、行政裁量與議題可見性</w:t>
      </w:r>
    </w:p>
    <w:p>
      <w:pPr>
        <w:pStyle w:val="011正文"/>
        <w:spacing w:after="150" w:before="300"/>
      </w:pPr>
      <w:r>
        <w:t>演算法並非中性的計算工具。資料集、分類規則、模型目標與輸出介面共同決定何種對象、風險與關聯得以被看見，因而構成具規範效果的治理安排（Kitchin, 2017; Yeung, 2018）。近年的公共行政研究進一步指出，演算法的組織後果取決於任務脈絡、行政程序與既有制度，而不是由技術本身單向決定；它也可能以「演算法形式化」重組原有行政流程（Wenzelburger, König, Felfeli, &amp; Achtziger, 2024; Cordella &amp; Gualdi, 2025）。演算法透明亦不能簡化為揭露程式碼；若缺乏足以理解資料來源、推論限制與制度後果的說明，形式透明未必能支持有效課責（Ananny &amp; Crawford, 2018）。</w:t>
      </w:r>
    </w:p>
    <w:p>
      <w:pPr>
        <w:pStyle w:val="011正文"/>
        <w:spacing w:after="200" w:line="360"/>
        <w:jc w:val="both"/>
      </w:pPr>
      <w:r>
        <w:rPr>
          <w:rFonts w:ascii="Times New Roman" w:hAnsi="Times New Roman" w:eastAsia="Microsoft JhengHei"/>
          <w:sz w:val="24"/>
        </w:rPr>
        <w:t>媒體與傳播研究對「演算法權力」的討論，亦可與本文對話：演算法之社會影響力，部分來自其作為概念在公共討論中被賦予的權威想像（Beer, 2017），而自動化演算法選擇作為建構社會現實之機制，其議程設定與框架效果，已被視為與傳統大眾媒體具功能類比性（Just &amp; Latzer, 2017）。本文所稱「演算法源流」，可視為此類討論延伸至公共治理領域的具體化。</w:t>
      </w:r>
    </w:p>
    <w:p>
      <w:pPr>
        <w:pStyle w:val="011正文"/>
        <w:spacing w:after="200" w:line="360"/>
        <w:jc w:val="both"/>
      </w:pPr>
      <w:r>
        <w:t>在公部門脈絡，人機互動會重新配置裁量，而不是使裁量消失。演算法建議可能因量化外觀、速度與一致性而被過度採納，也可能因責任不明而被迴避；行政人員對輸出的選擇性遵循與自動化偏誤，正是制度設計應處理的問題（Alon-Barkat &amp; Busuioc, 2023; Peeters, 2020; Grimmelikhuijsen, 2023）。Policy Sciences 的實證研究亦提醒，風險評分導入後，不能把不確定性與責任一併外包給模型（Hartmann &amp; Wenzelburger, 2021）；JPART 最新研究則顯示，公共機關對演算法歧視的責任問題，尤其在委外開發情境下，必須被明確制度化（Alon-Barkat, Busuioc, Schwoerer, &amp; Weißmüller, 2025）。此一脈絡對應本文 P1 與 P2：前者關切資料與訊號如何形成情境，後者關切排序、權重與風險語言如何錨定價值判斷。</w:t>
      </w:r>
    </w:p>
    <w:p>
      <w:pPr>
        <w:pStyle w:val="011節標題"/>
        <w:spacing w:after="200" w:line="360"/>
        <w:jc w:val="both"/>
      </w:pPr>
      <w:r>
        <w:rPr>
          <w:rFonts w:ascii="Times New Roman" w:hAnsi="Times New Roman" w:eastAsia="Microsoft JhengHei"/>
        </w:rPr>
        <w:t>2.3 認知治理、後常態科學與演算法源流</w:t>
      </w:r>
    </w:p>
    <w:p>
      <w:pPr>
        <w:pStyle w:val="011正文"/>
        <w:spacing w:after="150" w:before="300"/>
      </w:pPr>
      <w:r>
        <w:t>科技知識並非在政治之外生成；國家制度、專業權威與可接受的證據形式相互形塑（Jasanoff, 2004）。在事實不確定、利害關係重大且價值爭議明顯的問題上，後常態科學主張應擴大可參與檢視知識主張的社群（Funtowicz &amp; Ravetz, 1993）。近期研究對行政資料與演算法的觀察也指出，國家「看見」社會的方式仍須經由第一線人員、資料規則與在地修補共同完成，不能把資料化結果當成自足的客觀事實（Cerna-Aragon &amp; García, 2025）。據此，本文將演算法源流界定為「資料來源選取、訊號偵測規則、排序權重及輸出格式所構成的制度化篩選機制」。只有在此機制可被辨識，且其產出實際改變問題、政策或政治源流的可見性與耦合時，才可視為具有獨立分析意義。其觀察指標包括資料來源與排除規則、弱訊號門檻、排序準則、人工覆核權，以及候選清單被採納、修正或否決的紀錄。</w:t>
      </w:r>
    </w:p>
    <w:p>
      <w:pPr>
        <w:pPr>
          <w:pStyle w:val="011正文"/>
          <w:spacing w:after="150" w:before="300"/>
        </w:pPr>
      </w:pPr>
      <w:r>
        <w:t>演算法在此不是一般性的資料處理工具。若其僅提供檢索、摘要或研究者可自由忽略的背景材料，則宜視為輔助工具；唯有它以可重複的資料選取、訊號偵測與排序規則，系統性改變候選議題進入問題、政策或政治源流的可見性，且該結果會影響政策之窗被辨識、開啟或耦合的機率時，才具有「準獨立」的分析地位。此一定位延續多源流框架對源流交會條件的關切，而不把演算法擬人化為第四源流（Herweg et al., 2015; DeLeo et al., 2024）。</w:t>
      </w:r>
    </w:p>
    <w:p>
      <w:pPr>
        <w:pStyle w:val="011節標題"/>
        <w:spacing w:after="200" w:line="360"/>
        <w:jc w:val="both"/>
      </w:pPr>
      <w:r>
        <w:rPr>
          <w:rFonts w:ascii="Times New Roman" w:hAnsi="Times New Roman" w:eastAsia="Microsoft JhengHei"/>
        </w:rPr>
        <w:t>2.4 審議民主、mini-publics 與人機協作審計</w:t>
      </w:r>
    </w:p>
    <w:p>
      <w:pPr>
        <w:pStyle w:val="011正文"/>
        <w:spacing w:after="200" w:line="360"/>
        <w:jc w:val="both"/>
      </w:pPr>
      <w:r>
        <w:rPr>
          <w:rFonts w:ascii="Times New Roman" w:hAnsi="Times New Roman" w:eastAsia="Microsoft JhengHei"/>
          <w:sz w:val="24"/>
        </w:rPr>
        <w:t>審議民主不以公民取代專家為目的，而是要求受影響者在資訊可理解、理由可爭議且程序具代表性的條件下參與公共判斷。Mini-publics 透過抽樣、資訊平衡與審議設計，為高複雜度政策提供補充性正當性（Fishkin, 2018; OECD, 2020）。對前瞻議題而言，公民協商尤其能將世代正義、弱勢影響與文化倫理等難以量化的價值重新帶入議程。本文的七項治理審計，正是將透明、可解釋、課責與參與要求放回資料、推論、裁量與採用各節點，而非把審計限縮為事後技術稽核。</w:t>
      </w:r>
    </w:p>
    <w:p>
      <w:pPr>
        <w:pStyle w:val="011節標題"/>
        <w:spacing w:after="200" w:line="360"/>
        <w:jc w:val="both"/>
      </w:pPr>
      <w:r>
        <w:rPr>
          <w:rFonts w:ascii="Times New Roman" w:hAnsi="Times New Roman" w:eastAsia="Microsoft JhengHei"/>
        </w:rPr>
        <w:t>2.5 美國、日本經驗與臺灣研究缺口</w:t>
      </w:r>
    </w:p>
    <w:p>
      <w:pPr>
        <w:pStyle w:val="011正文"/>
        <w:spacing w:after="200" w:line="360"/>
        <w:jc w:val="both"/>
      </w:pPr>
      <w:r>
        <w:rPr>
          <w:rFonts w:ascii="Times New Roman" w:hAnsi="Times New Roman" w:eastAsia="Microsoft JhengHei"/>
          <w:sz w:val="24"/>
        </w:rPr>
        <w:t>美國的可借鏡處，首先不是把人工智慧直接置於議程決定者的位置，而是將長期分析、跨界諮詢與情境不確定性制度化。國家情報委員會（NIC）《Global Trends》系列以公開、非機密的方式呈現長期驅動因素、替代未來與關鍵不確定性，並以其作為情報社群、學界、民間與政策社群之間的長期分析接口（National Intelligence Council, 2021）。近年美國的 AI 治理討論亦強調可管理風險、文件化與治理角色配置，例如 NIST AI RMF 將治理、資料、量測與管理視為持續循環，而非一次性技術驗證（National Institute of Standards and Technology, 2023）。對本文而言，其啟示是：演算法提案可進入前瞻掃描，但必須與多情境呈現、人工覆核、反證紀錄及跨界檢視相連，不能以單一排序取代公共判斷。</w:t>
      </w:r>
    </w:p>
    <w:p>
      <w:pPr>
        <w:pStyle w:val="011正文"/>
      </w:pPr>
      <w:r>
        <w:rPr>
          <w:rFonts w:ascii="Times New Roman" w:hAnsi="Times New Roman" w:eastAsia="Microsoft JhengHei"/>
          <w:sz w:val="24"/>
        </w:rPr>
        <w:t>日本的可借鏡處，則在於將中長期科技與社會課題置於內閣層級的基本計畫、專家會議與跨部會協調之中。第六期科學技術與創新基本計畫以 Society 5.0、包容性與韌性為政策方向，顯示前瞻不僅是技術預測，也涉及社會課題的選取與政策整合（Cabinet Office, Government of Japan, 2021）。然而，日本案例同時提醒本文：專家委員會與政策路線圖可提高整合能力，卻不當然處理早期議題建構的透明度與代表性。因此，本研究不將日本視為「AI 演算法前瞻」的直接證據，而是將其作為專家／跨部會基準模式，用以比較 AI 或資料分析進入 P1、P2 後需要新增何種理由說明與課責安排。</w:t>
      </w:r>
    </w:p>
    <w:p>
      <w:pPr>
        <w:pStyle w:val="011正文"/>
      </w:pPr>
      <w:r>
        <w:rPr>
          <w:rFonts w:ascii="Times New Roman" w:hAnsi="Times New Roman" w:eastAsia="Microsoft JhengHei"/>
          <w:sz w:val="24"/>
        </w:rPr>
        <w:t>臺灣並非沒有相關研究與實作。公共行政研究已討論政府導入 AI 的公共治理潛力、人機協作、公共價值錯置、多重代理人、AI 裁量與自動化偏誤（丁玉珍、林子倫，2020；黃心怡、曾冠球、廖洲棚、陳敦源，2021；黃心怡、陳敦源，2023）；亦有研究從透明、課責、隱私、數位包容與公務人力能力分析 AI 導入的治理條件（廖興中，2024）。政策實作上，國發會的 2050 淨零路徑、科技發展規劃與 AI 新十大建設，都具有跨部會、長期與前瞻性質（國家發展委員會，2025）。因此，本文的缺口並非宣稱臺灣沒有 AI 治理文獻，而是指出較少研究同時處理「演算法形成與排序國家議題（P1）—行政裁量（P2）—民主協商修復—事前治理審計」的連動命題，並把它放入國家前瞻議程設定的完整程序中檢驗。</w:t>
      </w:r>
    </w:p>
    <w:p>
      <w:pPr>
        <w:pStyle w:val="011節標題"/>
        <w:spacing w:after="200" w:line="360"/>
        <w:jc w:val="both"/>
      </w:pPr>
      <w:r>
        <w:rPr>
          <w:rFonts w:ascii="Times New Roman" w:hAnsi="Times New Roman" w:eastAsia="Microsoft JhengHei"/>
        </w:rPr>
        <w:t>2.6 母架構「25-3-3-4-7」的取用與連結</w:t>
      </w:r>
    </w:p>
    <w:p>
      <w:pPr>
        <w:pStyle w:val="011正文"/>
      </w:pPr>
      <w:r>
        <w:rPr>
          <w:rFonts w:ascii="Times New Roman" w:hAnsi="Times New Roman" w:eastAsia="Microsoft JhengHei"/>
          <w:sz w:val="24"/>
        </w:rPr>
        <w:t>本文定位於「政策體系／組織設計 × 社會／國際」層次，聚焦 P1（情境建構與事實認定）與 P2（行政裁量與價值判斷）。分析上以情境建構鏈追蹤資料訊號至正式議程的轉化，以責任鏈辨析開發商、委外智庫與主管機關的責任位置；並以七項治理審計連結資料代表性、理由說明、責任歸屬、隱私資安、裁量邊界、組織能力與民主課責。</w:t>
      </w:r>
    </w:p>
    <w:p>
      <w:pPr>
        <w:pStyle w:val="011章標題"/>
        <w:spacing w:after="200" w:before="400"/>
      </w:pPr>
      <w:r>
        <w:rPr>
          <w:rFonts w:ascii="Times New Roman" w:cs="Microsoft JhengHei" w:eastAsia="Microsoft JhengHei" w:hAnsi="Times New Roman"/>
          <w:b/>
          <w:bCs/>
          <w:sz w:val="30"/>
          <w:szCs w:val="30"/>
        </w:rPr>
        <w:t xml:space="preserve">第三章 研究設計與方法論</w:t>
      </w:r>
    </w:p>
    <w:p>
      <w:pPr>
        <w:pStyle w:val="011節標題"/>
        <w:spacing w:after="150" w:before="300"/>
      </w:pPr>
      <w:r>
        <w:rPr>
          <w:rFonts w:ascii="Times New Roman" w:cs="Microsoft JhengHei" w:eastAsia="Microsoft JhengHei" w:hAnsi="Times New Roman"/>
          <w:b/>
          <w:bCs/>
          <w:sz w:val="26"/>
          <w:szCs w:val="26"/>
        </w:rPr>
        <w:t xml:space="preserve">3.1 核心分析架構</w:t>
      </w:r>
    </w:p>
    <w:p>
      <w:pPr>
        <w:pStyle w:val="011正文"/>
        <w:spacing w:after="200" w:line="360"/>
        <w:jc w:val="both"/>
      </w:pPr>
      <w:r>
        <w:rPr>
          <w:rFonts w:ascii="Times New Roman" w:cs="Microsoft JhengHei" w:eastAsia="Microsoft JhengHei" w:hAnsi="Times New Roman"/>
          <w:b w:val="false"/>
          <w:bCs w:val="false"/>
          <w:sz w:val="24"/>
        </w:rPr>
        <w:t xml:space="preserve">本文之核心分析架構可簡化呈現如下：</w:t>
      </w:r>
    </w:p>
    <w:p>
      <w:pPr>
        <w:pStyle w:val="011正文"/>
        <w:spacing w:after="200" w:line="360"/>
        <w:jc w:val="both"/>
      </w:pPr>
      <w:r>
        <w:rPr>
          <w:rFonts w:ascii="Times New Roman" w:cs="Microsoft JhengHei" w:eastAsia="Microsoft JhengHei" w:hAnsi="Times New Roman"/>
          <w:b w:val="false"/>
          <w:bCs w:val="false"/>
          <w:sz w:val="24"/>
        </w:rPr>
        <w:t xml:space="preserve">智庫／演算法輸入 → 情境建構鏈（P1）→ 權威與價值裁量（P2）→ 民主協商與政策轉化（P3）</w:t>
      </w:r>
    </w:p>
    <w:p>
      <w:pPr>
        <w:pStyle w:val="011正文"/>
        <w:spacing w:after="200" w:line="360"/>
        <w:jc w:val="both"/>
      </w:pPr>
      <w:r>
        <w:rPr>
          <w:rFonts w:ascii="Times New Roman" w:cs="Microsoft JhengHei" w:eastAsia="Microsoft JhengHei" w:hAnsi="Times New Roman"/>
          <w:b w:val="false"/>
          <w:bCs w:val="false"/>
          <w:sz w:val="24"/>
        </w:rPr>
        <w:t xml:space="preserve">在這一流程的每一個環節，均施加「治理審計」機制加以檢視：七項治理審計指標分別對應輸入端的資料代表性、建構端的理由說明義務、裁量端的責任歸屬與邊界劃分，以及轉化端的組織能力與民主課責。此一架構的設計邏輯，在於避免將 AI 前瞻治理簡化為單一時點的「導入或不導入」二元選擇，而是將其視為一套需要在流程各節點分別施加節制與審視的動態治理鏈。</w:t>
      </w:r>
    </w:p>
    <w:p>
      <w:pPr>
        <w:pPr>
          <w:pStyle w:val="011正文"/>
          <w:spacing w:after="200" w:line="360"/>
          <w:jc w:val="both"/>
        </w:pPr>
      </w:pPr>
      <w:r>
        <w:t>3.1.1 本文實際操作的維度與背景定位</w:t>
      </w:r>
    </w:p>
    <w:p>
      <w:pPr>
        <w:pPr>
          <w:pPr>
            <w:pStyle w:val="011正文"/>
            <w:spacing w:after="200" w:line="360"/>
            <w:jc w:val="both"/>
          </w:pPr>
        </w:pPr>
      </w:pPr>
      <w:r>
        <w:t>為降低母架構的閱讀負擔，本文不以二十五個座標逐格評分，也不主張每一構面皆已獲得實證支持。本文真正啟動的比較維度，是 P1／P2、情境建構鏈與責任鏈、三項結構效應及七項治理審計；二十五治理座標僅用於定位分析層次，P3 則用於說明前瞻議題一旦被採納後的公共權力後果。C1 情境鏈與 PE／PI 矩陣均在本文中界定為輔助觀察工具，而不是必須先閱讀其他研究才能理解的前提。</w:t>
      </w:r>
    </w:p>
    <w:tbl>
      <w:tblPr>
        <w:tblW w:type="auto" w:w="0"/>
        <w:tblLayout w:type="fixed"/>
        <w:tblLook w:firstColumn="1" w:firstRow="1" w:lastColumn="0" w:lastRow="0" w:noHBand="0" w:noVBand="1" w:val="04A0"/>
        <w:tblBorders>
          <w:top w:val="single" w:sz="6" w:color="808080"/>
          <w:left w:val="single" w:sz="6" w:color="808080"/>
          <w:bottom w:val="single" w:sz="6" w:color="808080"/>
          <w:right w:val="single" w:sz="6" w:color="808080"/>
          <w:insideH w:val="single" w:sz="6" w:color="808080"/>
          <w:insideV w:val="single" w:sz="6" w:color="808080"/>
        </w:tblBorders>
      </w:tblPr>
      <w:tblGrid>
        <w:gridCol w:w="2256"/>
        <w:gridCol w:w="2256"/>
        <w:gridCol w:w="2256"/>
        <w:gridCol w:w="2256"/>
      </w:tblGrid>
      <w:tr>
        <w:tc>
          <w:tcPr>
            <w:tcW w:type="dxa" w:w="1701"/>
          </w:tcPr>
          <w:p>
            <w:pPr>
              <w:spacing w:after="40"/>
            </w:pPr>
            <w:r>
              <w:rPr>
                <w:b/>
                <w:sz w:val="18"/>
              </w:rPr>
              <w:t>構面</w:t>
            </w:r>
          </w:p>
        </w:tc>
        <w:tc>
          <w:tcPr>
            <w:tcW w:type="dxa" w:w="2268"/>
          </w:tcPr>
          <w:p>
            <w:pPr>
              <w:spacing w:after="40"/>
            </w:pPr>
            <w:r>
              <w:rPr>
                <w:b/>
                <w:sz w:val="18"/>
              </w:rPr>
              <w:t>本文是否實際操作</w:t>
            </w:r>
          </w:p>
        </w:tc>
        <w:tc>
          <w:tcPr>
            <w:tcW w:type="dxa" w:w="2438"/>
          </w:tcPr>
          <w:p>
            <w:pPr>
              <w:spacing w:after="40"/>
            </w:pPr>
            <w:r>
              <w:rPr>
                <w:b/>
                <w:sz w:val="18"/>
              </w:rPr>
              <w:t>本文用途</w:t>
            </w:r>
          </w:p>
        </w:tc>
        <w:tc>
          <w:tcPr>
            <w:tcW w:type="dxa" w:w="2268"/>
          </w:tcPr>
          <w:p>
            <w:pPr>
              <w:spacing w:after="40"/>
            </w:pPr>
            <w:r>
              <w:rPr>
                <w:b/>
                <w:sz w:val="18"/>
              </w:rPr>
              <w:t>不作何種主張</w:t>
            </w:r>
          </w:p>
        </w:tc>
      </w:tr>
      <w:tr>
        <w:tc>
          <w:tcPr>
            <w:tcW w:type="dxa" w:w="1701"/>
          </w:tcPr>
          <w:p>
            <w:pPr>
              <w:spacing w:after="40"/>
            </w:pPr>
            <w:r>
              <w:rPr>
                <w:sz w:val="18"/>
              </w:rPr>
              <w:t>25 個治理座標</w:t>
            </w:r>
          </w:p>
        </w:tc>
        <w:tc>
          <w:tcPr>
            <w:tcW w:type="dxa" w:w="2268"/>
          </w:tcPr>
          <w:p>
            <w:pPr>
              <w:spacing w:after="40"/>
            </w:pPr>
            <w:r>
              <w:rPr>
                <w:sz w:val="18"/>
              </w:rPr>
              <w:t>部分</w:t>
            </w:r>
          </w:p>
        </w:tc>
        <w:tc>
          <w:tcPr>
            <w:tcW w:type="dxa" w:w="2438"/>
          </w:tcPr>
          <w:p>
            <w:pPr>
              <w:spacing w:after="40"/>
            </w:pPr>
            <w:r>
              <w:rPr>
                <w:sz w:val="18"/>
              </w:rPr>
              <w:t>定位案例位於政策體系／組織設計與社會／國際的交界</w:t>
            </w:r>
          </w:p>
        </w:tc>
        <w:tc>
          <w:tcPr>
            <w:tcW w:type="dxa" w:w="2268"/>
          </w:tcPr>
          <w:p>
            <w:pPr>
              <w:spacing w:after="40"/>
            </w:pPr>
            <w:r>
              <w:rPr>
                <w:sz w:val="18"/>
              </w:rPr>
              <w:t>不逐格量化評分</w:t>
            </w:r>
          </w:p>
        </w:tc>
      </w:tr>
      <w:tr>
        <w:tc>
          <w:tcPr>
            <w:tcW w:type="dxa" w:w="1701"/>
          </w:tcPr>
          <w:p>
            <w:pPr>
              <w:spacing w:after="40"/>
            </w:pPr>
            <w:r>
              <w:rPr>
                <w:sz w:val="18"/>
              </w:rPr>
              <w:t>P1／P2 權力移轉</w:t>
            </w:r>
          </w:p>
        </w:tc>
        <w:tc>
          <w:tcPr>
            <w:tcW w:type="dxa" w:w="2268"/>
          </w:tcPr>
          <w:p>
            <w:pPr>
              <w:spacing w:after="40"/>
            </w:pPr>
            <w:r>
              <w:rPr>
                <w:sz w:val="18"/>
              </w:rPr>
              <w:t>是</w:t>
            </w:r>
          </w:p>
        </w:tc>
        <w:tc>
          <w:tcPr>
            <w:tcW w:type="dxa" w:w="2438"/>
          </w:tcPr>
          <w:p>
            <w:pPr>
              <w:spacing w:after="40"/>
            </w:pPr>
            <w:r>
              <w:rPr>
                <w:sz w:val="18"/>
              </w:rPr>
              <w:t>追蹤情境建構、排序與價值裁量的制度位置</w:t>
            </w:r>
          </w:p>
        </w:tc>
        <w:tc>
          <w:tcPr>
            <w:tcW w:type="dxa" w:w="2268"/>
          </w:tcPr>
          <w:p>
            <w:pPr>
              <w:spacing w:after="40"/>
            </w:pPr>
            <w:r>
              <w:rPr>
                <w:sz w:val="18"/>
              </w:rPr>
              <w:t>不由公開文件推定已發生實質移轉</w:t>
            </w:r>
          </w:p>
        </w:tc>
      </w:tr>
      <w:tr>
        <w:tc>
          <w:tcPr>
            <w:tcW w:type="dxa" w:w="1701"/>
          </w:tcPr>
          <w:p>
            <w:r>
              <w:t>本文內建輔助工具</w:t>
            </w:r>
          </w:p>
        </w:tc>
        <w:tc>
          <w:tcPr>
            <w:tcW w:type="dxa" w:w="2268"/>
          </w:tcPr>
          <w:p>
            <w:r>
              <w:t>六步驟協商與三級僵局處理；C1 情境鏈追蹤資料至議程的五個節點；PE／PI 僅用於辨識議程影響與制度支撐程度。三者均於本文第五章說明。</w:t>
            </w:r>
          </w:p>
        </w:tc>
        <w:tc>
          <w:tcPr>
            <w:tcW w:type="dxa" w:w="2438"/>
          </w:tcPr>
          <w:p>
            <w:pPr>
              <w:spacing w:after="40"/>
            </w:pPr>
            <w:r>
              <w:rPr>
                <w:sz w:val="18"/>
              </w:rPr>
              <w:t>檢視來源、理由、責任、裁量與監督的可追溯性</w:t>
            </w:r>
          </w:p>
        </w:tc>
        <w:tc>
          <w:tcPr>
            <w:tcW w:type="dxa" w:w="2268"/>
          </w:tcPr>
          <w:p>
            <w:pPr>
              <w:spacing w:after="40"/>
            </w:pPr>
            <w:r>
              <w:rPr>
                <w:sz w:val="18"/>
              </w:rPr>
              <w:t>不等同既有機關已完成稽核</w:t>
            </w:r>
          </w:p>
        </w:tc>
      </w:tr>
      <w:tr>
        <w:tc>
          <w:tcPr>
            <w:tcW w:type="dxa" w:w="1701"/>
          </w:tcPr>
          <w:p>
            <w:pPr>
              <w:spacing w:after="40"/>
            </w:pPr>
            <w:r>
              <w:rPr>
                <w:sz w:val="18"/>
              </w:rPr>
              <w:t>C1、PE／PI 與 P3</w:t>
            </w:r>
          </w:p>
        </w:tc>
        <w:tc>
          <w:tcPr>
            <w:tcW w:type="dxa" w:w="2268"/>
          </w:tcPr>
          <w:p>
            <w:pPr>
              <w:spacing w:after="40"/>
            </w:pPr>
            <w:r>
              <w:rPr>
                <w:sz w:val="18"/>
              </w:rPr>
              <w:t>輔助</w:t>
            </w:r>
          </w:p>
        </w:tc>
        <w:tc>
          <w:tcPr>
            <w:tcW w:type="dxa" w:w="2438"/>
          </w:tcPr>
          <w:p>
            <w:pPr>
              <w:spacing w:after="40"/>
            </w:pPr>
            <w:r>
              <w:rPr>
                <w:sz w:val="18"/>
              </w:rPr>
              <w:t>辨識流程節點、議程影響與採納後的可能後果</w:t>
            </w:r>
          </w:p>
        </w:tc>
        <w:tc>
          <w:tcPr>
            <w:tcW w:type="dxa" w:w="2268"/>
          </w:tcPr>
          <w:p>
            <w:pPr>
              <w:spacing w:after="40"/>
            </w:pPr>
            <w:r>
              <w:rPr>
                <w:sz w:val="18"/>
              </w:rPr>
              <w:t>不作成效果估計或因果判定</w:t>
            </w:r>
          </w:p>
        </w:tc>
      </w:tr>
    </w:tbl>
    <w:p>
      <w:pPr>
        <w:pStyle w:val="011小節標題"/>
      </w:pPr>
      <w:r>
        <w:t>3.1.2 設計維度的文獻基礎與本文操作化</w:t>
      </w:r>
    </w:p>
    <w:p>
      <w:pPr>
        <w:pStyle w:val="011正文"/>
      </w:pPr>
      <w:r>
        <w:t>本文所稱的「25-3-3-4-7」不是另一套未經說明的縮寫，而是本研究將既有理論轉為比較分析工具的設計語言。二十五治理座標以五個治理層次與五個分析單位交叉定位問題發生的位置；三種權力功能性移轉分別指 P1 情境建構與事實認定、P2 行政裁量與價值判斷、P3 公權力影響；三項結構效應用以辨識跨格移動、邊界消解與權威重構；四條治理鏈依序追蹤情境建構、權威、理由與責任；七項治理審計則將資料代表性、理由說明、責任歸屬、隱私與資安、裁量邊界、組織能力及民主課責轉為採用前的檢核項目。其文獻基礎可分為四組：多源流與前瞻研究說明議題如何進入正式注意（Kingdon, 2011; Herweg et al., 2015; OECD, 2019）；演算法治理與公共行政研究說明資料、模型與行政程序如何重組裁量（Kitchin, 2017; Yeung, 2018; Wenzelburger et al., 2024; Cordella &amp; Gualdi, 2025）；認知治理與後常態科學說明知識權威與可接受證據如何被共同建構（Jasanoff, 2004; Funtowicz &amp; Ravetz, 1993）；審議民主與 AI 風險治理則提供代表性、理由可爭議性、責任與持續監督的規範標準（Fishkin, 2018; NIST, 2023）。因此，本文並非把各維度當成既定結論，而是把它們明確用於辨識候選議題如何形成、何者可改寫排序，以及何處需要制度性修正。</w:t>
      </w:r>
    </w:p>
    <w:p>
      <w:pPr>
        <w:pStyle w:val="011節標題"/>
        <w:spacing w:after="150" w:before="300"/>
      </w:pPr>
      <w:r>
        <w:rPr>
          <w:rFonts w:ascii="Times New Roman" w:hAnsi="Times New Roman" w:eastAsia="Microsoft JhengHei"/>
        </w:rPr>
        <w:t>3.2 概念建構與比較案例研究設計</w:t>
      </w:r>
    </w:p>
    <w:p>
      <w:pPr>
        <w:pStyle w:val="011正文"/>
        <w:spacing w:after="200" w:line="360"/>
        <w:jc w:val="both"/>
      </w:pPr>
      <w:r>
        <w:rPr>
          <w:rFonts w:ascii="Times New Roman" w:hAnsi="Times New Roman" w:eastAsia="Microsoft JhengHei"/>
          <w:sz w:val="24"/>
        </w:rPr>
        <w:t>本文採概念建構與結構化比較案例研究（structured, focused comparison）。概念建構部分以多源流、演算法治理、認知治理與審議民主文獻，界定演算法源流及其可觀察指標；並在本文內建構三項可操作工具：六步驟協商流程與僵局分級、C1 情境鏈指標群，以及 PE／PI 議程設定矩陣。比較部分則以公開法規、官方報告、機構方法文件與可查核政策資料，檢視三個國家前瞻制度中的議題來源、專家審查、人機分工、裁量保留與課責安排。</w:t>
      </w:r>
    </w:p>
    <w:p>
      <w:pPr>
        <w:pStyle w:val="011正文"/>
        <w:spacing w:after="200" w:line="360"/>
        <w:jc w:val="both"/>
      </w:pPr>
      <w:r>
        <w:rPr>
          <w:rFonts w:ascii="Times New Roman" w:hAnsi="Times New Roman" w:eastAsia="Microsoft JhengHei"/>
          <w:sz w:val="24"/>
        </w:rPr>
        <w:t>案例選擇採最大差異原則：日本呈現以跨部會協調與專家／民間委員為核心的基準模式；新加坡呈現將環境掃描、意義建構與策略設計分段配置的人機協作模式；韓國 KISTEP 則呈現德爾菲、文獻／專利分析與法制化前瞻相互結合的混合模式。三案並非用以估計因果效果，而是用以辨析演算法或資料分析可能進入 P1、P2 的不同制度位置。</w:t>
      </w:r>
    </w:p>
    <w:p>
      <w:pPr>
        <w:pStyle w:val="011正文"/>
        <w:spacing w:after="200" w:line="360"/>
        <w:jc w:val="both"/>
      </w:pPr>
      <w:r>
        <w:rPr>
          <w:rFonts w:ascii="Times New Roman" w:hAnsi="Times New Roman" w:eastAsia="Microsoft JhengHei"/>
          <w:sz w:val="24"/>
        </w:rPr>
        <w:t>每一案例均依同一提問架構分析：（一）候選議題由何種資料、專家或制度程序產生；（二）何者界定弱訊號、情境與優先順序；（三）人類裁量在哪一節點得以修正或否決輸出；（四）理由說明、責任歸屬與公民／立法監督如何被制度化。其後，再以 C1 情境鏈、PE／PI 矩陣與七項治理審計比對該程序的可追溯性、議程影響力與正當性條件。此一設計避免將公開資料未能驗證的演算法模型、訓練資料或自動化程度推定為事實。</w:t>
      </w:r>
    </w:p>
    <w:p>
      <w:pPr>
        <w:pStyle w:val="011正文"/>
        <w:spacing w:after="200" w:line="360"/>
        <w:jc w:val="both"/>
      </w:pPr>
      <w:r>
        <w:rPr>
          <w:rFonts w:ascii="Times New Roman" w:hAnsi="Times New Roman" w:eastAsia="Microsoft JhengHei"/>
          <w:sz w:val="24"/>
        </w:rPr>
        <w:t>本研究不報告訪談、德爾菲或公民協商實驗結果。本文的協商流程、僵局分級、C1 與 PE／PI 是概念性與程序性的分析工具：前者用於指出演算法提案進入公共判斷後應有的處理節點，後兩者用於在文件比較中辨識情境建構是否可追溯，以及演算法輸出在議程設定階段究竟是資訊輔助或實質定向。後續研究可取得候選清單與版本紀錄進行過程追蹤、訪談實際參與者，或以設計良好的德爾菲與公民協商研究檢驗其效果。</w:t>
      </w:r>
    </w:p>
    <w:p>
      <w:pPr>
        <w:pPr>
          <w:pStyle w:val="011正文"/>
          <w:spacing w:after="200" w:line="360"/>
          <w:jc w:val="both"/>
        </w:pPr>
      </w:pPr>
      <w:r>
        <w:t>3.2.1 可檢驗命題與後續研究路徑</w:t>
      </w:r>
    </w:p>
    <w:p>
      <w:pPr>
        <w:pPr>
          <w:pPr>
            <w:pStyle w:val="011正文"/>
            <w:spacing w:after="200" w:line="360"/>
            <w:jc w:val="both"/>
          </w:pPr>
        </w:pPr>
      </w:pPr>
      <w:r>
        <w:t>本文提出三項可被後續資料支持或推翻的命題。命題一：在保有完整版本紀錄與人工基準的前瞻系統中，演算法候選清單若實質介入 P1，應可觀察到候選議題的多樣性、入選率或排序相對基準發生可追溯的改變。命題二：當排序輸出進入 P2 而缺乏否決、改寫與理由紀錄時，行政人員對演算法建議的選擇性遵循或自動化偏誤將較難被辨識與節制。命題三：在高爭議或高影響的前瞻議題中，若能保留資訊平衡、異議記錄與第三級僵局的制度出口，參與者對程序正當性與採納理由的接受度應高於僅由專家或系統直接排序的程序。</w:t>
      </w:r>
    </w:p>
    <w:p>
      <w:pPr>
        <w:pPr>
          <w:pPr>
            <w:pPr>
              <w:pStyle w:val="011正文"/>
              <w:spacing w:after="200" w:line="360"/>
              <w:jc w:val="both"/>
            </w:pPr>
          </w:pPr>
        </w:pPr>
      </w:pPr>
      <w:r>
        <w:t>相應的研究設計可包括：以 KISTEP 或其他公開前瞻報告的年度候選清單與方法文件進行版本／過程追蹤；以訪談或文件紀錄辨識人工覆核、否決與理由記載；以及以情境實驗或小型公眾比較不同資訊揭露與僵局處理設計。這些路徑皆可使本文命題接受反駁，而非以概念論述取代經驗驗證。</w:t>
      </w:r>
    </w:p>
    <w:p>
      <w:pPr>
        <w:pStyle w:val="011節標題"/>
        <w:spacing w:after="150" w:before="300"/>
      </w:pPr>
      <w:r>
        <w:rPr>
          <w:rFonts w:ascii="Times New Roman" w:cs="Microsoft JhengHei" w:eastAsia="Microsoft JhengHei" w:hAnsi="Times New Roman"/>
          <w:b/>
          <w:bCs/>
          <w:sz w:val="26"/>
          <w:szCs w:val="26"/>
        </w:rPr>
        <w:t xml:space="preserve">3.3 案例分析：日本經濟財政諮詢會議與二〇五〇未來戰略研究小組</w:t>
      </w:r>
    </w:p>
    <w:p>
      <w:pPr>
        <w:pStyle w:val="011正文"/>
        <w:spacing w:after="200" w:line="360"/>
        <w:jc w:val="both"/>
      </w:pPr>
      <w:r>
        <w:rPr>
          <w:rFonts w:ascii="Times New Roman" w:cs="Microsoft JhengHei" w:eastAsia="Microsoft JhengHei" w:hAnsi="Times New Roman"/>
          <w:b w:val="false"/>
          <w:bCs w:val="false"/>
          <w:sz w:val="24"/>
        </w:rPr>
        <w:t xml:space="preserve">為使前述「智庫壟斷」基準模式的討論更具實證厚度，本文選取二〇二一年日本政府籌組專門研究小組以擬定二〇五〇年長期願景未來策略之個案，作為「傳統專家／議會複合體主導前瞻議程建構」的代表性案例，用以與後續章節所討論之演算法提案模式進行對照。</w:t>
      </w:r>
    </w:p>
    <w:p>
      <w:pPr>
        <w:pStyle w:val="011正文"/>
        <w:spacing w:after="200" w:line="360"/>
        <w:jc w:val="both"/>
      </w:pPr>
      <w:r>
        <w:rPr>
          <w:rFonts w:ascii="Times New Roman" w:cs="Microsoft JhengHei" w:eastAsia="Microsoft JhengHei" w:hAnsi="Times New Roman"/>
          <w:b/>
          <w:bCs/>
          <w:sz w:val="24"/>
        </w:rPr>
        <w:t xml:space="preserve">個案背景</w:t>
      </w:r>
      <w:r>
        <w:rPr>
          <w:rFonts w:ascii="Times New Roman" w:cs="Microsoft JhengHei" w:eastAsia="Microsoft JhengHei" w:hAnsi="Times New Roman"/>
          <w:b w:val="false"/>
          <w:bCs w:val="false"/>
          <w:sz w:val="24"/>
        </w:rPr>
        <w:t xml:space="preserve">。依據公開資料整理，日本內閣府所屬「經濟財政諮詢會議」（該會議為內閣府「重要政策相關會議」之一，其組織地位大致相當於我國行政院層級之政策協調機制）過去的議程設定，主要環繞於總理政策方向之落實，以及由總理辦公室主導之結構改革議題。二〇二一年，日本政府協調於該會議下另行成立一個專門研究小組，其任務為彙整結構改革與經濟營運策略，並將數位化、脫碳等需要長期、跨屆期努力方能見效的議題，正式納入年度「骨太方針」（經濟財政營運與改革方針基本框架）之議程當中。值得注意的是，此一研究小組成立之具體時程、專家遴選標準與議程設計，於決策初期均尚未對外公布，僅承諾於六月分之骨太方針中明確說明，顯示前瞻議題建構初期階段的不透明性，不僅存在於演算法系統，亦同樣存在於傳統的跨部會協調機制之中。</w:t>
      </w:r>
    </w:p>
    <w:p>
      <w:pPr>
        <w:pStyle w:val="011正文"/>
        <w:spacing w:after="200" w:line="360"/>
        <w:jc w:val="both"/>
      </w:pPr>
      <w:r>
        <w:rPr>
          <w:rFonts w:ascii="Times New Roman" w:cs="Microsoft JhengHei" w:eastAsia="Microsoft JhengHei" w:hAnsi="Times New Roman"/>
          <w:b/>
          <w:bCs/>
          <w:sz w:val="24"/>
        </w:rPr>
        <w:t xml:space="preserve">以多源流理論與 P1／P2 概念解讀</w:t>
      </w:r>
      <w:r>
        <w:rPr>
          <w:rFonts w:ascii="Times New Roman" w:cs="Microsoft JhengHei" w:eastAsia="Microsoft JhengHei" w:hAnsi="Times New Roman"/>
          <w:b w:val="false"/>
          <w:bCs w:val="false"/>
          <w:sz w:val="24"/>
        </w:rPr>
        <w:t xml:space="preserve">。若以 Kingdon 之多源流框架解讀，此案例呈現出教科書式的「政策之窗」開啟過程：其問題源流為數位化與脫碳等長期結構性挑戰所累積的政策壓力；政策源流則體現於經濟財政諮詢會議中一名民間議員於五月分提出之民間建議文件，主張政府應正式將長期策略思維納入決策框架；政治源流則是年底預算編製週期與骨太方針年度慣例所形成的時機之窗，使得原本停留在倡議層次的長期願景訴求，得以順勢搭載於既有的預算協調機制中被正式提出。就此而言，本案例的議程開啟動力，高度契合傳統三源流之交會模式，尚未出現本文於後續章節所主張、獨立於三源流之外的「演算法源流」介入痕跡。</w:t>
      </w:r>
    </w:p>
    <w:p>
      <w:pPr>
        <w:pStyle w:val="011正文"/>
        <w:spacing w:after="200" w:line="360"/>
        <w:jc w:val="both"/>
      </w:pPr>
      <w:r>
        <w:rPr>
          <w:rFonts w:ascii="Times New Roman" w:cs="Microsoft JhengHei" w:eastAsia="Microsoft JhengHei" w:hAnsi="Times New Roman"/>
          <w:b w:val="false"/>
          <w:bCs w:val="false"/>
          <w:sz w:val="24"/>
        </w:rPr>
        <w:t xml:space="preserve">以本文母架構之權力移轉焦點觀之，本案例中的 P1（情境建構權）——即「二〇五〇年應關注何種長期議題」之情境框架設定——實質上由經濟財政諮詢會議之民間議員與參與研究小組之遴選專家所共同壟斷，其操作方式仍為傳統的建議文件提出、跨部會協調與封閉遴選；而 P2（價值判斷權）——即數位化、脫碳等議題於骨太方針中之優先順序與資源配置權重——則保留於總理辦公室與相關部會的政治協商過程，尚未見任何巨量資料探勘或演算法機率權重介入決策依據的公開痕跡。</w:t>
      </w:r>
    </w:p>
    <w:p>
      <w:pPr>
        <w:pStyle w:val="011正文"/>
        <w:spacing w:after="200" w:line="360"/>
        <w:jc w:val="both"/>
      </w:pPr>
      <w:r>
        <w:rPr>
          <w:rFonts w:ascii="Times New Roman" w:cs="Microsoft JhengHei" w:eastAsia="Microsoft JhengHei" w:hAnsi="Times New Roman"/>
          <w:b/>
          <w:bCs/>
          <w:sz w:val="24"/>
        </w:rPr>
        <w:t xml:space="preserve">案例的分析意涵</w:t>
      </w:r>
      <w:r>
        <w:rPr>
          <w:rFonts w:ascii="Times New Roman" w:cs="Microsoft JhengHei" w:eastAsia="Microsoft JhengHei" w:hAnsi="Times New Roman"/>
          <w:b w:val="false"/>
          <w:bCs w:val="false"/>
          <w:sz w:val="24"/>
        </w:rPr>
        <w:t xml:space="preserve">。本案例的最大價值，在於提供了一個未經 AI 演算法系統介入的「純智庫／議會複合體」前瞻議程建構基準模型，可與本文後續章節（第四章）所討論之演算法提案模式進行對照分析：其一，兩者同樣面對研究小組成立初期的低透明度問題，顯示不透明性未必是演算法系統的專屬缺陷，而可能是前瞻議題建構工作本身固有的制度慣性。</w:t>
      </w:r>
    </w:p>
    <w:p>
      <w:pPr>
        <w:pStyle w:val="011正文"/>
        <w:spacing w:after="200" w:line="360"/>
        <w:jc w:val="both"/>
      </w:pPr>
      <w:r>
        <w:rPr>
          <w:rFonts w:ascii="Times New Roman" w:cs="Microsoft JhengHei" w:eastAsia="Microsoft JhengHei" w:hAnsi="Times New Roman"/>
          <w:b w:val="false"/>
          <w:bCs w:val="false"/>
          <w:sz w:val="24"/>
        </w:rPr>
        <w:t xml:space="preserve">其二，本案例中「民間議員建議文件」所扮演的角色，恰可類比於演算法提案模式中「演算法產出候選議題清單」的功能位置——兩者均是將原本分散、隱性的政策關切，轉化為具體、可供正式議程採納之提案文件的中介機制，但前者的產出過程至少保留了可供事後追溯的個人具名建議與文件內容，較後者深埋於程式碼與模型參數之中的產出邏輯，仍相對具備較高的可課責性。此一對照亦間接支持本文於第六章所提出「理由說明審計」與「責任歸屬審計」之必要性——即便是傳統的專家壟斷模式，亦有必要透過類似的審計邏輯強化其透明度，而非僅將審計要求視為因應 AI 導入才需新增的額外負擔。</w:t>
      </w:r>
    </w:p>
    <w:p>
      <w:pPr>
        <w:pStyle w:val="011節標題"/>
        <w:spacing w:after="150" w:before="300"/>
      </w:pPr>
      <w:r>
        <w:rPr>
          <w:rFonts w:ascii="Times New Roman" w:cs="Microsoft JhengHei" w:eastAsia="Microsoft JhengHei" w:hAnsi="Times New Roman"/>
          <w:b/>
          <w:bCs/>
          <w:sz w:val="26"/>
          <w:szCs w:val="26"/>
        </w:rPr>
        <w:t xml:space="preserve">3.4 案例分析：新加坡「戰略未來中心」（CSF）與風險評估及前瞻掃描系統（RAHS）之人機協作模式</w:t>
      </w:r>
    </w:p>
    <w:p>
      <w:pPr>
        <w:pStyle w:val="011正文"/>
        <w:spacing w:after="200" w:line="360"/>
        <w:jc w:val="both"/>
      </w:pPr>
      <w:r>
        <w:rPr>
          <w:rFonts w:ascii="Times New Roman" w:cs="Microsoft JhengHei" w:eastAsia="Microsoft JhengHei" w:hAnsi="Times New Roman"/>
          <w:b w:val="false"/>
          <w:bCs w:val="false"/>
          <w:sz w:val="24"/>
        </w:rPr>
        <w:t xml:space="preserve">若日本案例代表前瞻光譜中「純專家／議會複合體」的一端，新加坡則提供了一個介於純人力與純演算法之間、制度化程度極高的「人機協作」中間案例，適合用以檢驗本文 P1／P2 概念在混合模式下的表現形態。</w:t>
      </w:r>
    </w:p>
    <w:p>
      <w:pPr>
        <w:pStyle w:val="011正文"/>
        <w:spacing w:after="200" w:line="360"/>
        <w:jc w:val="both"/>
      </w:pPr>
      <w:r>
        <w:rPr>
          <w:rFonts w:ascii="Times New Roman" w:cs="Microsoft JhengHei" w:eastAsia="Microsoft JhengHei" w:hAnsi="Times New Roman"/>
          <w:b/>
          <w:bCs/>
          <w:sz w:val="24"/>
        </w:rPr>
        <w:t xml:space="preserve">個案背景</w:t>
      </w:r>
      <w:r>
        <w:rPr>
          <w:rFonts w:ascii="Times New Roman" w:cs="Microsoft JhengHei" w:eastAsia="Microsoft JhengHei" w:hAnsi="Times New Roman"/>
          <w:b w:val="false"/>
          <w:bCs w:val="false"/>
          <w:sz w:val="24"/>
        </w:rPr>
        <w:t xml:space="preserve">。新加坡的國家前瞻能力建置歷程甚早，其起點可追溯至一九八〇年代末國防部內部的前瞻實驗，一九九五年於總理公署成立「情境規劃室」，二〇〇三年更名為「策略政策室」（Strategic Policy Office, SPO），二〇〇九年則於策略政策室之下成立「戰略未來中心」（Centre for Strategic Futures, CSF），定位為專責探索政府視野盲點、從事開放式長期前瞻研究並持續試驗新方法論的未來學智庫。與此平行運作的，是隸屬於國家安全統籌秘書處（NSCS）之下的「風險評估與前瞻掃描」（Risk Assessment and Horizon Scanning, RAHS）團隊及其「RAHS 解決方案中心」，其任務聚焦於國安與風險面向的訊號偵測，二者在阿拉伯之春、社群媒體崛起、資安威脅與工業四.〇等議題浮現的時期密切協作。CSF 發展出一套稱為「情境規劃加強版」（SP+, Scenario Planning Plus）之方法論，將前瞻工作拆解為定義焦點、環境掃描、意義建構、發展可能未來、設計策略與持續監測六個階段性功能。近年來，CSF 已將前瞻掃描與情境工作嵌入「政策衝刺」（Policy Sprints）流程，並將其成果用以支持國家人工智慧與技能發展等戰略之制定。</w:t>
      </w:r>
    </w:p>
    <w:p>
      <w:pPr>
        <w:pStyle w:val="011正文"/>
        <w:spacing w:after="200" w:line="360"/>
        <w:jc w:val="both"/>
      </w:pPr>
      <w:r>
        <w:rPr>
          <w:rFonts w:ascii="Times New Roman" w:cs="Microsoft JhengHei" w:eastAsia="Microsoft JhengHei" w:hAnsi="Times New Roman"/>
          <w:b/>
          <w:bCs/>
          <w:sz w:val="24"/>
        </w:rPr>
        <w:t xml:space="preserve">以 P1／P2 概念解讀人機協作模式</w:t>
      </w:r>
      <w:r>
        <w:rPr>
          <w:rFonts w:ascii="Times New Roman" w:cs="Microsoft JhengHei" w:eastAsia="Microsoft JhengHei" w:hAnsi="Times New Roman"/>
          <w:b w:val="false"/>
          <w:bCs w:val="false"/>
          <w:sz w:val="24"/>
        </w:rPr>
        <w:t xml:space="preserve">。新加坡案例的關鍵特徵，在於其並未將 P1（情境建構權）完全交由演算法系統，亦未完全保留於人力專家，而是透過 RAHS 團隊與 CSF 之間的分工協作，形成一種「機器持續掃描、人力階段性統整」的混合治理鏈：環境掃描與弱訊號偵測階段大量倚賴系統化、資料驅動的持續監測機制，但「意義建構」與「發展可能未來」兩個階段，則明確保留為人力主導的質性判斷工作，透過定期的深度綜整會議（依公開資料顯示約以半年為週期）將原始訊號轉化為情境敘事。就 P2（價值判斷權）而言，SP+ 方法論中的「設計策略」階段，其優先順序與資源配置判斷仍由 CSF 與相關部會之政策官員共同決定，演算法系統於此階段主要扮演提供選項模擬與情境推演支援的角色，而非直接輸出決策建議。以上分工描述係依 CSF 公開方法論文件所呈現之角色設計，屬「可能的制度位置」，尚不等同於已確認之實際逐案操作紀錄。</w:t>
      </w:r>
    </w:p>
    <w:p>
      <w:pPr>
        <w:pStyle w:val="011正文"/>
        <w:spacing w:after="200" w:line="360"/>
        <w:jc w:val="both"/>
      </w:pPr>
      <w:r>
        <w:rPr>
          <w:rFonts w:ascii="Times New Roman" w:cs="Microsoft JhengHei" w:eastAsia="Microsoft JhengHei" w:hAnsi="Times New Roman"/>
          <w:b/>
          <w:bCs/>
          <w:sz w:val="24"/>
        </w:rPr>
        <w:t xml:space="preserve">案例的分析意涵</w:t>
      </w:r>
      <w:r>
        <w:rPr>
          <w:rFonts w:ascii="Times New Roman" w:cs="Microsoft JhengHei" w:eastAsia="Microsoft JhengHei" w:hAnsi="Times New Roman"/>
          <w:b w:val="false"/>
          <w:bCs w:val="false"/>
          <w:sz w:val="24"/>
        </w:rPr>
        <w:t xml:space="preserve">。相較於日本案例代表的「零 AI 介入」基準與本文第四章所描述的「演算法深度主導」情境，新加坡模式提供了一個具制度化設計的「治理鏈分段」範例：透過將前瞻工作拆解為掃描、意義建構、策略設計等不同功能階段，並將 P1、P2 的實質裁量權明確保留於特定階段的人力團隊，新加坡案例展示了一種可能的制度化解方，用以回應本文第六章所提出「裁量邊界審計」之核心關切——即演算法只能提案、意義詮釋與價值定調權應保留於人機複合共識機制。然而，本文亦須指出，現有公開資料多聚焦於 CSF 與 RAHS 之組織架構與方法論設計，較少揭露其環境掃描階段所採用之具體演算法模型、訓練資料來源與篩選邏輯之技術細節，此一資訊不對稱本身，亦呼應本文第六章「理由說明審計」所欲節制之風險。</w:t>
      </w:r>
    </w:p>
    <w:p>
      <w:pPr>
        <w:pStyle w:val="011節標題"/>
        <w:spacing w:after="150" w:before="300"/>
      </w:pPr>
      <w:r>
        <w:rPr>
          <w:rFonts w:ascii="Times New Roman" w:cs="Microsoft JhengHei" w:eastAsia="Microsoft JhengHei" w:hAnsi="Times New Roman"/>
          <w:b/>
          <w:bCs/>
          <w:sz w:val="26"/>
          <w:szCs w:val="26"/>
        </w:rPr>
        <w:t xml:space="preserve">3.5 案例分析：韓國科學技術評價與規劃院（KISTEP）之德爾菲—巨量資料混合前瞻模式</w:t>
      </w:r>
    </w:p>
    <w:p>
      <w:pPr>
        <w:pStyle w:val="011正文"/>
        <w:spacing w:after="200" w:line="360"/>
        <w:jc w:val="both"/>
      </w:pPr>
      <w:r>
        <w:rPr>
          <w:rFonts w:ascii="Times New Roman" w:cs="Microsoft JhengHei" w:eastAsia="Microsoft JhengHei" w:hAnsi="Times New Roman"/>
          <w:b/>
          <w:bCs/>
          <w:sz w:val="24"/>
        </w:rPr>
        <w:t xml:space="preserve">個案背景</w:t>
      </w:r>
      <w:r>
        <w:rPr>
          <w:rFonts w:ascii="Times New Roman" w:cs="Microsoft JhengHei" w:eastAsia="Microsoft JhengHei" w:hAnsi="Times New Roman"/>
          <w:b w:val="false"/>
          <w:bCs w:val="false"/>
          <w:sz w:val="24"/>
        </w:rPr>
        <w:t xml:space="preserve">。韓國之國家技術前瞻工作，法制化程度為三個案例中最高者：依據《科學技術基本法》第十三、十四及二十七條之規定，政府有法定義務定期辦理全國性技術前瞻，作為擬定五年期科技發展計畫之基礎，此一前瞻工作由隸屬於科學技術資訊通訊部（MSIT）之政府出資研究機構——韓國科學技術評價與規劃院（KISTEP）——負責統籌執行。KISTEP 之前瞻方法論，自一九九〇年代承襲日本經驗以來，即以德爾菲問卷調查為核心工具，並逐步結合論文與專利之巨量資料分析、技術成長曲線擬合等量化方法，形成一套「預測基礎技術評價」（Forecast-based Technology Evaluation）之混合方法論。學界研究並指出，韓國歷次技術前瞻的方法論演進，呈現出從早期僅納入自然科學家與工程師參與，逐步擴大納入政策制定者、社會科學家乃至一般公民參與的「包容性」轉向趨勢，此一轉向被認為提升了前瞻工作之透明度與政策採用之直接性。</w:t>
      </w:r>
    </w:p>
    <w:p>
      <w:pPr>
        <w:pStyle w:val="011正文"/>
        <w:spacing w:after="200" w:line="360"/>
        <w:jc w:val="both"/>
      </w:pPr>
      <w:r>
        <w:rPr>
          <w:rFonts w:ascii="Times New Roman" w:cs="Microsoft JhengHei" w:eastAsia="Microsoft JhengHei" w:hAnsi="Times New Roman"/>
          <w:b/>
          <w:bCs/>
          <w:sz w:val="24"/>
        </w:rPr>
        <w:t xml:space="preserve">以 P1／P2 概念解讀</w:t>
      </w:r>
      <w:r>
        <w:rPr>
          <w:rFonts w:ascii="Times New Roman" w:cs="Microsoft JhengHei" w:eastAsia="Microsoft JhengHei" w:hAnsi="Times New Roman"/>
          <w:b w:val="false"/>
          <w:bCs w:val="false"/>
          <w:sz w:val="24"/>
        </w:rPr>
        <w:t xml:space="preserve">。在 P1（情境建構權）層面，KISTEP 案例呈現出一種「雙軌並行」的權力配置：巨量資料分析（論文與專利探勘、技術成長曲線）負責提供候選技術議題之量化基礎，而德爾菲問卷之題目設計與專家名單遴選，則仍由 KISTEP 之研究團隊主導，兩軌資訊於後續整合階段交叉驗證。在 P2（價值判斷權）層面，儘管方法論上納入政策制定者與公民參與之管道逐步擴大，既有研究文獻亦同時指出，德爾菲問卷之操作實務上仍高度倚賴專家意見，公民與政策制定者之參與深度與影響力，相對於自然科學家與工程師社群，仍存在結構性落差，顯示韓國模式雖具法制化與方法論混合之形式優勢，其實質民主參與程度是否已充分節制 P1／P2 之技術官僚傾向，仍有待進一步檢視。以上「雙軌並行」之描述，同樣係依 KISTEP 公開方法論文件所呈現之制度設計，屬「可能的制度位置」，而非已確認兩軌資訊交叉驗證之逐案實際紀錄。</w:t>
      </w:r>
    </w:p>
    <w:p>
      <w:pPr>
        <w:pStyle w:val="011正文"/>
        <w:spacing w:after="200" w:line="360"/>
        <w:jc w:val="both"/>
      </w:pPr>
      <w:r>
        <w:rPr>
          <w:rFonts w:ascii="Times New Roman" w:cs="Microsoft JhengHei" w:eastAsia="Microsoft JhengHei" w:hAnsi="Times New Roman"/>
          <w:b/>
          <w:bCs/>
          <w:sz w:val="24"/>
        </w:rPr>
        <w:t xml:space="preserve">案例的分析意涵</w:t>
      </w:r>
      <w:r>
        <w:rPr>
          <w:rFonts w:ascii="Times New Roman" w:cs="Microsoft JhengHei" w:eastAsia="Microsoft JhengHei" w:hAnsi="Times New Roman"/>
          <w:b w:val="false"/>
          <w:bCs w:val="false"/>
          <w:sz w:val="24"/>
        </w:rPr>
        <w:t xml:space="preserve">。KISTEP 案例的特殊價值，在於其展示了「法制化強制要求」作為節制前瞻議題建構不透明性的一種制度路徑——透過《科學技術基本法》明文要求定期辦理、方法論公開發布（如年度重點新興技術報告），KISTEP 案例在本文第六章「民主課責審計」意義下的形式課責程度，優於日本案例中「決策後才公布」的做法。然而，其德爾菲問卷仍由專家社群實質主導之現況，亦提醒本文：法制化與方法論混合本身，並不自動保證 P1／P2 移轉之民主正當性，仍須輔以本文第五章所主張之六步驟民主協商工作流程，方能真正縮小前瞻議題建構之正當性缺口。</w:t>
      </w:r>
    </w:p>
    <w:p>
      <w:pPr>
        <w:pStyle w:val="011節標題"/>
        <w:spacing w:after="150" w:before="300"/>
      </w:pPr>
      <w:r>
        <w:rPr>
          <w:rFonts w:ascii="Times New Roman" w:cs="Microsoft JhengHei" w:eastAsia="Microsoft JhengHei" w:hAnsi="Times New Roman"/>
          <w:b/>
          <w:bCs/>
          <w:sz w:val="26"/>
          <w:szCs w:val="26"/>
        </w:rPr>
        <w:t xml:space="preserve">3.6 三案例綜合比較：從純專家壟斷到人機協作的前瞻光譜</w:t>
      </w:r>
    </w:p>
    <w:p>
      <w:pPr>
        <w:pStyle w:val="011正文"/>
        <w:spacing w:after="200" w:line="360"/>
        <w:jc w:val="both"/>
      </w:pPr>
      <w:r>
        <w:rPr>
          <w:rFonts w:ascii="Times New Roman" w:cs="Microsoft JhengHei" w:eastAsia="Microsoft JhengHei" w:hAnsi="Times New Roman"/>
          <w:b w:val="false"/>
          <w:bCs w:val="false"/>
          <w:sz w:val="24"/>
        </w:rPr>
        <w:t xml:space="preserve">綜合日本、新加坡與韓國三案例，本文得以描繪出一條「前瞻議題建構模式光譜」：日本案例位於光譜之「純專家／議會複合體」端，就現有公開資料而言，其 P1、P2 兩項權力可辨識為由民間議員、遴選專家與跨部會協商所掌握，未見演算法系統實質介入之公開痕跡；韓國案例居於光譜中段偏專家端，其巨量資料分析呈現出「可能承接」P1 情境建構功能之制度位置，但 P2 之價值裁量仍高度倚賴德爾菲專家社群，且已具備法制化之課責框架；新加坡案例則居於光譜中段偏協作端，透過 RAHS 與 CSF 之分工設計，其公開方法論呈現出將 P1 之環境掃描功能交由系統化持續監測機制之可能制度位置，同時明確保留意義建構與策略設計階段之人力裁量權，形成本文第五章所欲倡議之「治理鏈分段」原則的一個先行實例。需說明的是，此處所排列之光譜，反映的是三案例公開文件所呈現之制度分工形態，而非可驗證之演算法實際介入程度；依本文 4.2.1 之判定規則，公開資料尚不足以據此推定三國演算法介入深淺已成定論，光譜僅供比較案例間制度設計差異之用。</w:t>
      </w:r>
    </w:p>
    <w:p>
      <w:pPr>
        <w:pStyle w:val="011正文"/>
        <w:spacing w:after="200" w:line="360"/>
        <w:jc w:val="both"/>
      </w:pPr>
      <w:r>
        <w:rPr>
          <w:rFonts w:ascii="Times New Roman" w:cs="Microsoft JhengHei" w:eastAsia="Microsoft JhengHei" w:hAnsi="Times New Roman"/>
          <w:b w:val="false"/>
          <w:bCs w:val="false"/>
          <w:sz w:val="24"/>
        </w:rPr>
        <w:t xml:space="preserve">三案例之共同啟示在於：無論演算法介入深度為何，前瞻議題建構過程中的「理由說明」與「民主課責」缺口，並非僅存在於高度演算法化的情境，而是貫穿於從純人力到人機協作各種模式的共同結構性風險。此一發現，進一步支持本文第六章所提出七項治理審計指標之普遍適用性——這些審計工具不應被窄化為「因應 AI 導入而生的額外規範」，而應被定位為所有國家前瞻議題建構模式（無論其技術介入程度）皆應具備的基礎治理配置。</w:t>
      </w:r>
    </w:p>
    <w:p>
      <w:pPr>
        <w:pPr>
          <w:pStyle w:val="011正文"/>
          <w:spacing w:after="200" w:line="360"/>
          <w:jc w:val="both"/>
        </w:pPr>
      </w:pPr>
      <w:r>
        <w:t>表 3-1  三案例之可追溯性與裁量保留對照（資料來源：作者依公開法規、官方報告與機構方法文件整理）</w:t>
      </w:r>
    </w:p>
    <w:tbl>
      <w:tblPr>
        <w:tblW w:type="auto" w:w="0"/>
        <w:tblLayout w:type="fixed"/>
        <w:tblLook w:firstColumn="1" w:firstRow="1" w:lastColumn="0" w:lastRow="0" w:noHBand="0" w:noVBand="1" w:val="04A0"/>
        <w:tblBorders>
          <w:top w:val="single" w:sz="6" w:color="808080"/>
          <w:left w:val="single" w:sz="6" w:color="808080"/>
          <w:bottom w:val="single" w:sz="6" w:color="808080"/>
          <w:right w:val="single" w:sz="6" w:color="808080"/>
          <w:insideH w:val="single" w:sz="6" w:color="808080"/>
          <w:insideV w:val="single" w:sz="6" w:color="808080"/>
        </w:tblBorders>
      </w:tblPr>
      <w:tblGrid>
        <w:gridCol w:w="2256"/>
        <w:gridCol w:w="2256"/>
        <w:gridCol w:w="2256"/>
        <w:gridCol w:w="2256"/>
      </w:tblGrid>
      <w:tr>
        <w:tc>
          <w:tcPr>
            <w:tcW w:type="dxa" w:w="1701"/>
          </w:tcPr>
          <w:p>
            <w:pPr>
              <w:spacing w:after="40"/>
            </w:pPr>
            <w:r>
              <w:rPr>
                <w:b/>
                <w:sz w:val="18"/>
              </w:rPr>
              <w:t>案例</w:t>
            </w:r>
          </w:p>
        </w:tc>
        <w:tc>
          <w:tcPr>
            <w:tcW w:type="dxa" w:w="2268"/>
          </w:tcPr>
          <w:p>
            <w:pPr>
              <w:spacing w:after="40"/>
            </w:pPr>
            <w:r>
              <w:rPr>
                <w:b/>
                <w:sz w:val="18"/>
              </w:rPr>
              <w:t>候選議題與資料／程序</w:t>
            </w:r>
          </w:p>
        </w:tc>
        <w:tc>
          <w:tcPr>
            <w:tcW w:type="dxa" w:w="2438"/>
          </w:tcPr>
          <w:p>
            <w:pPr>
              <w:spacing w:after="40"/>
            </w:pPr>
            <w:r>
              <w:rPr>
                <w:b/>
                <w:sz w:val="18"/>
              </w:rPr>
              <w:t>人工否決與理由紀錄</w:t>
            </w:r>
          </w:p>
        </w:tc>
        <w:tc>
          <w:tcPr>
            <w:tcW w:type="dxa" w:w="2268"/>
          </w:tcPr>
          <w:p>
            <w:pPr>
              <w:spacing w:after="40"/>
            </w:pPr>
            <w:r>
              <w:rPr>
                <w:b/>
                <w:sz w:val="18"/>
              </w:rPr>
              <w:t>公開可辨識的限制</w:t>
            </w:r>
          </w:p>
        </w:tc>
      </w:tr>
      <w:tr>
        <w:tc>
          <w:tcPr>
            <w:tcW w:type="dxa" w:w="1701"/>
          </w:tcPr>
          <w:p>
            <w:pPr>
              <w:spacing w:after="40"/>
            </w:pPr>
            <w:r>
              <w:rPr>
                <w:sz w:val="18"/>
              </w:rPr>
              <w:t>日本</w:t>
            </w:r>
          </w:p>
        </w:tc>
        <w:tc>
          <w:tcPr>
            <w:tcW w:type="dxa" w:w="2268"/>
          </w:tcPr>
          <w:p>
            <w:pPr>
              <w:spacing w:after="40"/>
            </w:pPr>
            <w:r>
              <w:rPr>
                <w:sz w:val="18"/>
              </w:rPr>
              <w:t>專家建議、跨部會協調與政策文件；未見演算法排序的公開證據</w:t>
            </w:r>
          </w:p>
        </w:tc>
        <w:tc>
          <w:tcPr>
            <w:tcW w:type="dxa" w:w="2438"/>
          </w:tcPr>
          <w:p>
            <w:pPr>
              <w:spacing w:after="40"/>
            </w:pPr>
            <w:r>
              <w:rPr>
                <w:sz w:val="18"/>
              </w:rPr>
              <w:t>政治與部會協商保有採納權；早期遴選與議程設計資訊有限</w:t>
            </w:r>
          </w:p>
        </w:tc>
        <w:tc>
          <w:tcPr>
            <w:tcW w:type="dxa" w:w="2268"/>
          </w:tcPr>
          <w:p>
            <w:pPr>
              <w:spacing w:after="40"/>
            </w:pPr>
            <w:r>
              <w:rPr>
                <w:sz w:val="18"/>
              </w:rPr>
              <w:t>無法據此推定演算法介入或完整理由鏈</w:t>
            </w:r>
          </w:p>
        </w:tc>
      </w:tr>
      <w:tr>
        <w:tc>
          <w:tcPr>
            <w:tcW w:type="dxa" w:w="1701"/>
          </w:tcPr>
          <w:p>
            <w:pPr>
              <w:spacing w:after="40"/>
            </w:pPr>
            <w:r>
              <w:rPr>
                <w:sz w:val="18"/>
              </w:rPr>
              <w:t>新加坡 CSF／RAHS</w:t>
            </w:r>
          </w:p>
        </w:tc>
        <w:tc>
          <w:tcPr>
            <w:tcW w:type="dxa" w:w="2268"/>
          </w:tcPr>
          <w:p>
            <w:pPr>
              <w:spacing w:after="40"/>
            </w:pPr>
            <w:r>
              <w:rPr>
                <w:sz w:val="18"/>
              </w:rPr>
              <w:t>SP+ 將掃描、意義建構、策略設計分段；掃描工具技術細節未完整公開</w:t>
            </w:r>
          </w:p>
        </w:tc>
        <w:tc>
          <w:tcPr>
            <w:tcW w:type="dxa" w:w="2438"/>
          </w:tcPr>
          <w:p>
            <w:pPr>
              <w:spacing w:after="40"/>
            </w:pPr>
            <w:r>
              <w:rPr>
                <w:sz w:val="18"/>
              </w:rPr>
              <w:t>意義建構與策略設計仍由人員與部會進行；個別否決紀錄未普遍公開</w:t>
            </w:r>
          </w:p>
        </w:tc>
        <w:tc>
          <w:tcPr>
            <w:tcW w:type="dxa" w:w="2268"/>
          </w:tcPr>
          <w:p>
            <w:pPr>
              <w:spacing w:after="40"/>
            </w:pPr>
            <w:r>
              <w:rPr>
                <w:sz w:val="18"/>
              </w:rPr>
              <w:t>僅能判定可能的人機分工位置</w:t>
            </w:r>
          </w:p>
        </w:tc>
      </w:tr>
      <w:tr>
        <w:tc>
          <w:tcPr>
            <w:tcW w:type="dxa" w:w="1701"/>
          </w:tcPr>
          <w:p>
            <w:pPr>
              <w:spacing w:after="40"/>
            </w:pPr>
            <w:r>
              <w:rPr>
                <w:sz w:val="18"/>
              </w:rPr>
              <w:t>韓國 KISTEP</w:t>
            </w:r>
          </w:p>
        </w:tc>
        <w:tc>
          <w:tcPr>
            <w:tcW w:type="dxa" w:w="2268"/>
          </w:tcPr>
          <w:p>
            <w:pPr>
              <w:spacing w:after="40"/>
            </w:pPr>
            <w:r>
              <w:rPr>
                <w:sz w:val="18"/>
              </w:rPr>
              <w:t>德爾菲、文獻／專利與技術資料分析交叉使用；具定期前瞻制度</w:t>
            </w:r>
          </w:p>
        </w:tc>
        <w:tc>
          <w:tcPr>
            <w:tcW w:type="dxa" w:w="2438"/>
          </w:tcPr>
          <w:p>
            <w:pPr>
              <w:spacing w:after="40"/>
            </w:pPr>
            <w:r>
              <w:rPr>
                <w:sz w:val="18"/>
              </w:rPr>
              <w:t>研究團隊與專家程序參與題目與整合；個別排序改寫紀錄不完整</w:t>
            </w:r>
          </w:p>
        </w:tc>
        <w:tc>
          <w:tcPr>
            <w:tcW w:type="dxa" w:w="2268"/>
          </w:tcPr>
          <w:p>
            <w:pPr>
              <w:spacing w:after="40"/>
            </w:pPr>
            <w:r>
              <w:rPr>
                <w:sz w:val="18"/>
              </w:rPr>
              <w:t>法制化不等於已證實充分公民參與或演算法影響</w:t>
            </w:r>
          </w:p>
        </w:tc>
      </w:tr>
    </w:tbl>
    <w:p>
      <w:pPr>
        <w:pStyle w:val="011章標題"/>
        <w:spacing w:after="200" w:before="400"/>
      </w:pPr>
      <w:r>
        <w:rPr>
          <w:rFonts w:ascii="Times New Roman" w:cs="Microsoft JhengHei" w:eastAsia="Microsoft JhengHei" w:hAnsi="Times New Roman"/>
          <w:b/>
          <w:bCs/>
          <w:sz w:val="30"/>
          <w:szCs w:val="30"/>
        </w:rPr>
        <w:t xml:space="preserve">第四章 智庫壟斷與演算法提案的權力移轉解析</w:t>
      </w:r>
    </w:p>
    <w:p>
      <w:pPr>
        <w:pStyle w:val="011節標題"/>
        <w:spacing w:after="150" w:before="300"/>
      </w:pPr>
      <w:r>
        <w:rPr>
          <w:rFonts w:ascii="Times New Roman" w:cs="Microsoft JhengHei" w:eastAsia="Microsoft JhengHei" w:hAnsi="Times New Roman"/>
          <w:b/>
          <w:bCs/>
          <w:sz w:val="26"/>
          <w:szCs w:val="26"/>
        </w:rPr>
        <w:t xml:space="preserve">4.1 從智庫壟斷到演算法提案：議題產出範式的轉變</w:t>
      </w:r>
    </w:p>
    <w:p>
      <w:pPr>
        <w:pStyle w:val="011正文"/>
        <w:spacing w:after="200" w:line="360"/>
        <w:jc w:val="both"/>
      </w:pPr>
      <w:r>
        <w:rPr>
          <w:rFonts w:ascii="Times New Roman" w:hAnsi="Times New Roman" w:eastAsia="Microsoft JhengHei"/>
          <w:sz w:val="24"/>
        </w:rPr>
        <w:t>傳統智庫與專家模式的優勢，在於能將專業知識、政策經驗與跨部門協調凝聚為可行的議程；其風險則在於議題來源、遴選規則與詮釋框架可能集中於少數專業網絡。本文所稱「智庫壟斷」並非對智庫的價值判斷，而是指候選議題及其理由主要由封閉的專業程序產出、外部難以檢視或挑戰的制度狀態。</w:t>
      </w:r>
    </w:p>
    <w:p>
      <w:pPr>
        <w:pStyle w:val="011正文"/>
        <w:spacing w:after="200" w:line="360"/>
        <w:jc w:val="both"/>
      </w:pPr>
      <w:r>
        <w:rPr>
          <w:rFonts w:ascii="Times New Roman" w:hAnsi="Times New Roman" w:eastAsia="Microsoft JhengHei"/>
          <w:sz w:val="24"/>
        </w:rPr>
        <w:t>資料探勘與生成式 AI 可擴大前瞻掃描的資料範圍與更新速度，但資料量增加不等於觀點多元。語言分布、平台可見度、歷史資料偏差及提示詞設計，都可能使某些議題較容易被偵測與排序；因此，演算法提案應被理解為改變議題可見性的機制，而非自動消除專家同溫層的技術解方。</w:t>
      </w:r>
    </w:p>
    <w:p>
      <w:pPr>
        <w:pStyle w:val="011節標題"/>
        <w:spacing w:after="150" w:before="300"/>
      </w:pPr>
      <w:r>
        <w:rPr>
          <w:rFonts w:ascii="Times New Roman" w:cs="Microsoft JhengHei" w:eastAsia="Microsoft JhengHei" w:hAnsi="Times New Roman"/>
          <w:b/>
          <w:bCs/>
          <w:sz w:val="26"/>
          <w:szCs w:val="26"/>
        </w:rPr>
        <w:t xml:space="preserve">4.2 P1 與 P2 的實質移轉</w:t>
      </w:r>
    </w:p>
    <w:p>
      <w:pPr>
        <w:pStyle w:val="011正文"/>
        <w:spacing w:after="200" w:line="360"/>
        <w:jc w:val="both"/>
      </w:pPr>
      <w:r>
        <w:rPr>
          <w:rFonts w:ascii="Times New Roman" w:hAnsi="Times New Roman" w:eastAsia="Microsoft JhengHei"/>
          <w:sz w:val="24"/>
        </w:rPr>
        <w:t>在 P1（情境建構與事實認定）層面，演算法源流可能透過資料庫選取、關鍵詞／提示詞、弱訊號門檻與聚類或排序規則，影響何者被命名為「新興議題」。相較於傳統德爾菲法可檢視題目與專家構成，模型或平台的規則若未留存版本、來源與人工覆核紀錄，將使前瞻情境的形成更難追溯。這不是已被本研究直接觀察到的普遍事實，而是可由文件追蹤與系統稽核檢驗的 P1 命題。</w:t>
      </w:r>
    </w:p>
    <w:p>
      <w:pPr>
        <w:pStyle w:val="011正文"/>
        <w:spacing w:after="200" w:line="360"/>
        <w:jc w:val="both"/>
      </w:pPr>
      <w:r>
        <w:rPr>
          <w:rFonts w:ascii="Times New Roman" w:hAnsi="Times New Roman" w:eastAsia="Microsoft JhengHei"/>
          <w:sz w:val="24"/>
        </w:rPr>
        <w:t>在 P2（行政裁量與價值判斷）層面，機率、風險分數與排序名次可能成為跨部門溝通中的權威語言，從而使價值權衡被表面客觀的量化語言錨定。公共部門人機互動研究已顯示，自動化建議可能引發選擇性遵循或自動化偏誤；就前瞻而言，應檢視決策者能否取得不確定性資訊、提出反證並留下不採納或改寫排序的理由。</w:t>
      </w:r>
    </w:p>
    <w:p>
      <w:pPr>
        <w:pStyle w:val="011正文"/>
        <w:spacing w:after="200" w:line="360"/>
        <w:jc w:val="both"/>
      </w:pPr>
      <w:r>
        <w:rPr>
          <w:rFonts w:ascii="Times New Roman" w:hAnsi="Times New Roman" w:eastAsia="Microsoft JhengHei"/>
          <w:sz w:val="24"/>
        </w:rPr>
        <w:t>就 RQ2 所關切之衝突情境而言，當智庫或跨部會專家判斷與演算法排序結果不一致時，至少可觀察到三種處理型態：其一，決策者以演算法排序取代專家判斷，並以量化外觀作為正當化理由，此時原本屬於 P2 之價值裁量實質內縮；其二，決策者維持專家判斷並否決或改寫演算法排序，但若未留存否決理由與比較依據，外部即難以判斷否決係基於證據，抑或基於既有利益或組織慣性；其三，將雙方結果並列於前瞻報告，交由後續協商或上級機關裁決，此時 P2 之裁量邊界實質移轉至協商或審查機制本身。三種型態並無先天優劣之分，關鍵在於何種型態被選擇、選擇之理由是否留存，以及該理由是否可受外部監督者檢視——若缺乏此類紀錄，決策者面對演算法機率權重時的裁量空間便難以界定，亦難以區分「審慎採納」與「自動化偏誤」。</w:t>
      </w:r>
    </w:p>
    <w:p>
      <w:pPr>
        <w:pPr>
          <w:pStyle w:val="011正文"/>
          <w:spacing w:after="200" w:line="360"/>
          <w:jc w:val="both"/>
        </w:pPr>
      </w:pPr>
      <w:r>
        <w:t>4.2.1 「演算法源流」的判定規則與證據層次</w:t>
      </w:r>
    </w:p>
    <w:p>
      <w:pPr>
        <w:pPr>
          <w:pPr>
            <w:pStyle w:val="011正文"/>
            <w:spacing w:after="200" w:line="360"/>
            <w:jc w:val="both"/>
          </w:pPr>
        </w:pPr>
      </w:pPr>
      <w:r>
        <w:t>為避免將任何資料工具都概稱為「演算法源流」，本文提出三項累積性的判定規則。第一，候選清單或排序必須相較於未使用該機制的基準、前一版本或人工覆核前版本，出現可辨識的議題可見性、入選與排序差異；第二，必須留存足以追溯此差異的作業紀錄，例如資料來源、檢索或提示詞、模型／規則版本、門檻、排序邏輯與人工覆核；第三，必須有採納、改寫或否決紀錄，證明輸出實際進入議程處理，而非僅作背景參考。三項規則不是要求公開敏感模型細節，而是要求能讓適格監督者理解「何以改變、誰曾覆核、最後如何處置」。</w:t>
      </w:r>
    </w:p>
    <w:p>
      <w:pPr>
        <w:pPr>
          <w:pPr>
            <w:pPr>
              <w:pStyle w:val="011正文"/>
              <w:spacing w:after="200" w:line="360"/>
              <w:jc w:val="both"/>
            </w:pPr>
          </w:pPr>
        </w:pPr>
      </w:pPr>
      <w:r>
        <w:t>證據判讀亦應分層。當三類紀錄均可取得，且能連結到候選議題的處置結果時，才可稱為「已觀察到的實質介入」；若僅能確認系統具有掃描、聚類或排序功能，卻無法判斷其是否改變候選清單或採納結果，則僅能稱為「可能的制度位置」；若公開資料無法證實任何規則或影響，則不應推定權力已經移轉。此一區分使「演算法源流」成為可由版本紀錄、候選清單與訪談資料反駁或支持的分析命題。</w:t>
      </w:r>
    </w:p>
    <w:p>
      <w:pPr>
        <w:pStyle w:val="011節標題"/>
        <w:spacing w:after="150" w:before="300"/>
      </w:pPr>
      <w:r>
        <w:rPr>
          <w:rFonts w:ascii="Times New Roman" w:cs="Microsoft JhengHei" w:eastAsia="Microsoft JhengHei" w:hAnsi="Times New Roman"/>
          <w:b/>
          <w:bCs/>
          <w:sz w:val="26"/>
          <w:szCs w:val="26"/>
        </w:rPr>
        <w:t xml:space="preserve">4.3 三項結構效應的浮現</w:t>
      </w:r>
    </w:p>
    <w:p>
      <w:pPr>
        <w:pStyle w:val="011正文"/>
        <w:spacing w:after="200" w:line="360"/>
        <w:jc w:val="both"/>
      </w:pPr>
      <w:r>
        <w:rPr>
          <w:rFonts w:ascii="Times New Roman" w:hAnsi="Times New Roman" w:eastAsia="Microsoft JhengHei"/>
          <w:sz w:val="24"/>
        </w:rPr>
        <w:t>據此，本文提出三項有待後續研究檢驗的結構效應：</w:t>
      </w:r>
    </w:p>
    <w:p>
      <w:pPr>
        <w:pStyle w:val="011正文"/>
        <w:spacing w:after="200" w:line="360"/>
        <w:jc w:val="both"/>
      </w:pPr>
      <w:r>
        <w:rPr>
          <w:rFonts w:ascii="Times New Roman" w:hAnsi="Times New Roman" w:eastAsia="Microsoft JhengHei"/>
          <w:sz w:val="24"/>
        </w:rPr>
        <w:t>跨格移動：候選議題的實質塑造力可能由可辨識的專家或智庫，移往涵蓋資料提供者、模型供應商、系統整合者與使用機關的人機網絡。分析重點不是預設權力已移轉，而是追蹤各節點誰能改變資料、規則與採用結果。</w:t>
      </w:r>
    </w:p>
    <w:p>
      <w:pPr>
        <w:pStyle w:val="011正文"/>
        <w:spacing w:after="200" w:line="360"/>
        <w:jc w:val="both"/>
      </w:pPr>
      <w:r>
        <w:rPr>
          <w:rFonts w:ascii="Times New Roman" w:hAnsi="Times New Roman" w:eastAsia="Microsoft JhengHei"/>
          <w:sz w:val="24"/>
        </w:rPr>
        <w:t>邊界消解：專家判斷與資料驅動訊號的分工可能模糊，尤其在專家只負責解釋或背書既定排序時。其可觀察徵象包括：是否保有獨立問題界定權、是否能提出替代情境，以及異議是否被正式記錄。</w:t>
      </w:r>
    </w:p>
    <w:p>
      <w:pPr>
        <w:pStyle w:val="011正文"/>
        <w:spacing w:after="200" w:line="360"/>
        <w:jc w:val="both"/>
      </w:pPr>
      <w:r>
        <w:rPr>
          <w:rFonts w:ascii="Times New Roman" w:hAnsi="Times New Roman" w:eastAsia="Microsoft JhengHei"/>
          <w:sz w:val="24"/>
        </w:rPr>
        <w:t>權威重構：量化輸出可能因其技術外觀而在組織內獲得額外說服力，即使資料品質、模型限制與不確定性未被充分說明。七項治理審計的功能，正是在採用前要求來源、理由、責任與裁量界線可被檢視。</w:t>
      </w:r>
    </w:p>
    <w:p>
      <w:pPr>
        <w:jc w:val="center"/>
      </w:pPr>
      <w:r>
        <w:drawing>
          <wp:inline xmlns:a="http://schemas.openxmlformats.org/drawingml/2006/main" xmlns:pic="http://schemas.openxmlformats.org/drawingml/2006/picture">
            <wp:extent cx="5580000" cy="3348000"/>
            <wp:docPr id="2" name="Picture 2"/>
            <wp:cNvGraphicFramePr>
              <a:graphicFrameLocks noChangeAspect="1"/>
            </wp:cNvGraphicFramePr>
            <a:graphic>
              <a:graphicData uri="http://schemas.openxmlformats.org/drawingml/2006/picture">
                <pic:pic>
                  <pic:nvPicPr>
                    <pic:cNvPr id="0" name="figure_4_1_power_shift_concept.png"/>
                    <pic:cNvPicPr/>
                  </pic:nvPicPr>
                  <pic:blipFill>
                    <a:blip r:embed="rId9"/>
                    <a:stretch>
                      <a:fillRect/>
                    </a:stretch>
                  </pic:blipFill>
                  <pic:spPr>
                    <a:xfrm>
                      <a:off x="0" y="0"/>
                      <a:ext cx="5580000" cy="3348000"/>
                    </a:xfrm>
                    <a:prstGeom prst="rect"/>
                  </pic:spPr>
                </pic:pic>
              </a:graphicData>
            </a:graphic>
          </wp:inline>
        </w:drawing>
      </w:r>
    </w:p>
    <w:p>
      <w:pPr>
        <w:pStyle w:val="011圖說"/>
        <w:jc w:val="center"/>
      </w:pPr>
      <w:r>
        <w:rPr>
          <w:rFonts w:ascii="Times New Roman" w:hAnsi="Times New Roman" w:eastAsia="Microsoft JhengHei"/>
        </w:rPr>
        <w:t>圖 4-1　從智庫壟斷到演算法提案：P1／P2 權力移轉與三項結構效應（資料來源：作者繪製）</w:t>
      </w:r>
    </w:p>
    <w:p>
      <w:pPr>
        <w:pStyle w:val="011章標題"/>
        <w:spacing w:after="200" w:before="400"/>
      </w:pPr>
      <w:r>
        <w:rPr>
          <w:rFonts w:ascii="Times New Roman" w:cs="Microsoft JhengHei" w:eastAsia="Microsoft JhengHei" w:hAnsi="Times New Roman"/>
          <w:b/>
          <w:bCs/>
          <w:sz w:val="30"/>
          <w:szCs w:val="30"/>
        </w:rPr>
        <w:t xml:space="preserve">第五章 民主協商模式對演算法議程之修復機制</w:t>
      </w:r>
    </w:p>
    <w:p>
      <w:pPr>
        <w:pStyle w:val="011節標題"/>
        <w:spacing w:after="150" w:before="300"/>
      </w:pPr>
      <w:r>
        <w:rPr>
          <w:rFonts w:ascii="Times New Roman" w:cs="Microsoft JhengHei" w:eastAsia="Microsoft JhengHei" w:hAnsi="Times New Roman"/>
          <w:b/>
          <w:bCs/>
          <w:sz w:val="26"/>
          <w:szCs w:val="26"/>
        </w:rPr>
        <w:t xml:space="preserve">5.1 前瞻議題建構中的民主正當性缺口</w:t>
      </w:r>
    </w:p>
    <w:p>
      <w:pPr>
        <w:pStyle w:val="011正文"/>
        <w:spacing w:after="200" w:line="360"/>
        <w:jc w:val="both"/>
      </w:pPr>
      <w:r>
        <w:rPr>
          <w:rFonts w:ascii="Times New Roman" w:cs="Microsoft JhengHei" w:eastAsia="Microsoft JhengHei" w:hAnsi="Times New Roman"/>
          <w:b w:val="false"/>
          <w:bCs w:val="false"/>
          <w:sz w:val="24"/>
        </w:rPr>
        <w:t xml:space="preserve">國家前瞻議題所具備的「不確定性」與「技術高牆」雙重特性，長期以來是公民被排斥於前瞻議程建構之外的主要理由。決策者與智庫往往以「前瞻工作需要高度專業判斷，公民參與可能引入短視近利的偏誤」為由，將前瞻議程建構限縮於封閉的專家審議機制之內。然而，這種排除邏輯忽略了一個關鍵事實：演算法預測系統雖然在資料處理規模上遠勝人力，卻同樣容易系統性地忽視「非量化價值」——例如世代正義（Intergenerational Justice，即當代決策對未出生世代權益的影響）、弱勢群體的主觀受害經驗，以及難以被量化指標捕捉的文化與倫理關切。這些非量化價值恰恰是民主協商機制相對於演算法系統最具比較優勢之處。</w:t>
      </w:r>
    </w:p>
    <w:p>
      <w:pPr>
        <w:pStyle w:val="011節標題"/>
        <w:spacing w:after="150" w:before="300"/>
      </w:pPr>
      <w:r>
        <w:rPr>
          <w:rFonts w:ascii="Times New Roman" w:cs="Microsoft JhengHei" w:eastAsia="Microsoft JhengHei" w:hAnsi="Times New Roman"/>
          <w:b/>
          <w:bCs/>
          <w:sz w:val="26"/>
          <w:szCs w:val="26"/>
        </w:rPr>
        <w:t xml:space="preserve">5.2 民主協商模式的六步驟工作流程</w:t>
      </w:r>
    </w:p>
    <w:p>
      <w:pPr>
        <w:pStyle w:val="011正文"/>
        <w:spacing w:after="200" w:line="360"/>
        <w:jc w:val="both"/>
      </w:pPr>
      <w:r>
        <w:t>以下六步驟是本研究針對 AI 輔助前瞻議程所界定的程序設計。其規範依據來自審議民主的代表性、資訊平衡與理由可爭議原則（Fishkin, 2018; OECD, 2020），並依前瞻議題建構的特殊風險予以操作化：演算法可以提供可追溯的候選議題與證據，但不得在未經資訊平衡、價值審議與理由紀錄的情況下直接決定公共議程。</w:t>
      </w:r>
    </w:p>
    <w:p>
      <w:pPr>
        <w:pStyle w:val="011正文"/>
        <w:spacing w:after="200" w:line="360"/>
        <w:jc w:val="both"/>
      </w:pPr>
      <w:r>
        <w:rPr>
          <w:rFonts w:ascii="Times New Roman" w:cs="Microsoft JhengHei" w:eastAsia="Microsoft JhengHei" w:hAnsi="Times New Roman"/>
          <w:b w:val="false"/>
          <w:bCs w:val="false"/>
          <w:sz w:val="24"/>
        </w:rPr>
        <w:t xml:space="preserve">第一步為</w:t>
      </w:r>
      <w:r>
        <w:rPr>
          <w:rFonts w:ascii="Times New Roman" w:cs="Microsoft JhengHei" w:eastAsia="Microsoft JhengHei" w:hAnsi="Times New Roman"/>
          <w:b/>
          <w:bCs/>
          <w:sz w:val="24"/>
        </w:rPr>
        <w:t xml:space="preserve">議題發起與演算法提案釋出</w:t>
      </w:r>
      <w:r>
        <w:rPr>
          <w:rFonts w:ascii="Times New Roman" w:cs="Microsoft JhengHei" w:eastAsia="Microsoft JhengHei" w:hAnsi="Times New Roman"/>
          <w:b w:val="false"/>
          <w:bCs w:val="false"/>
          <w:sz w:val="24"/>
        </w:rPr>
        <w:t xml:space="preserve">，要求前瞻機構在演算法系統產出候選議題清單後，即依透明度原則對外（至少對參與協商之利益關係人）揭露該清單，避免演算法提案在完全不透明的狀態下直接進入決策核心。</w:t>
      </w:r>
    </w:p>
    <w:p>
      <w:pPr>
        <w:pStyle w:val="011正文"/>
        <w:spacing w:after="200" w:line="360"/>
        <w:jc w:val="both"/>
      </w:pPr>
      <w:r>
        <w:rPr>
          <w:rFonts w:ascii="Times New Roman" w:cs="Microsoft JhengHei" w:eastAsia="Microsoft JhengHei" w:hAnsi="Times New Roman"/>
          <w:b w:val="false"/>
          <w:bCs w:val="false"/>
          <w:sz w:val="24"/>
        </w:rPr>
        <w:t xml:space="preserve">第二步為</w:t>
      </w:r>
      <w:r>
        <w:rPr>
          <w:rFonts w:ascii="Times New Roman" w:cs="Microsoft JhengHei" w:eastAsia="Microsoft JhengHei" w:hAnsi="Times New Roman"/>
          <w:b/>
          <w:bCs/>
          <w:sz w:val="24"/>
        </w:rPr>
        <w:t xml:space="preserve">利益關係人與公民代表抽樣</w:t>
      </w:r>
      <w:r>
        <w:rPr>
          <w:rFonts w:ascii="Times New Roman" w:cs="Microsoft JhengHei" w:eastAsia="Microsoft JhengHei" w:hAnsi="Times New Roman"/>
          <w:b w:val="false"/>
          <w:bCs w:val="false"/>
          <w:sz w:val="24"/>
        </w:rPr>
        <w:t xml:space="preserve">，運用分層隨機抽樣方法組建具代表性的小型公眾（Mini-Publics），確保協商參與者在人口特徵、地理分布與利益立場上具備一定的多元性，而非僅由自我選擇、通常較具政治積極性的群體參與。</w:t>
      </w:r>
    </w:p>
    <w:p>
      <w:pPr>
        <w:pStyle w:val="011正文"/>
        <w:spacing w:after="200" w:line="360"/>
        <w:jc w:val="both"/>
      </w:pPr>
      <w:r>
        <w:rPr>
          <w:rFonts w:ascii="Times New Roman" w:cs="Microsoft JhengHei" w:eastAsia="Microsoft JhengHei" w:hAnsi="Times New Roman"/>
          <w:b w:val="false"/>
          <w:bCs w:val="false"/>
          <w:sz w:val="24"/>
        </w:rPr>
        <w:t xml:space="preserve">第三步為</w:t>
      </w:r>
      <w:r>
        <w:rPr>
          <w:rFonts w:ascii="Times New Roman" w:cs="Microsoft JhengHei" w:eastAsia="Microsoft JhengHei" w:hAnsi="Times New Roman"/>
          <w:b/>
          <w:bCs/>
          <w:sz w:val="24"/>
        </w:rPr>
        <w:t xml:space="preserve">情境解構與資訊平等化</w:t>
      </w:r>
      <w:r>
        <w:rPr>
          <w:rFonts w:ascii="Times New Roman" w:cs="Microsoft JhengHei" w:eastAsia="Microsoft JhengHei" w:hAnsi="Times New Roman"/>
          <w:b w:val="false"/>
          <w:bCs w:val="false"/>
          <w:sz w:val="24"/>
        </w:rPr>
        <w:t xml:space="preserve">，將演算法產出的複合式前瞻情境——通常包含大量技術術語、統計圖表與機率分布——轉譯為一般公民可理解的政策抉擇語言，避免因資訊不對等而使協商淪為技術專家對公民代表的單向說服。</w:t>
      </w:r>
    </w:p>
    <w:p>
      <w:pPr>
        <w:pStyle w:val="011正文"/>
        <w:spacing w:after="200" w:line="360"/>
        <w:jc w:val="both"/>
      </w:pPr>
      <w:r>
        <w:rPr>
          <w:rFonts w:ascii="Times New Roman" w:cs="Microsoft JhengHei" w:eastAsia="Microsoft JhengHei" w:hAnsi="Times New Roman"/>
          <w:b w:val="false"/>
          <w:bCs w:val="false"/>
          <w:sz w:val="24"/>
        </w:rPr>
        <w:t xml:space="preserve">第四步為</w:t>
      </w:r>
      <w:r>
        <w:rPr>
          <w:rFonts w:ascii="Times New Roman" w:cs="Microsoft JhengHei" w:eastAsia="Microsoft JhengHei" w:hAnsi="Times New Roman"/>
          <w:b/>
          <w:bCs/>
          <w:sz w:val="24"/>
        </w:rPr>
        <w:t xml:space="preserve">價值審議與權衡</w:t>
      </w:r>
      <w:r>
        <w:rPr>
          <w:rFonts w:ascii="Times New Roman" w:cs="Microsoft JhengHei" w:eastAsia="Microsoft JhengHei" w:hAnsi="Times New Roman"/>
          <w:b w:val="false"/>
          <w:bCs w:val="false"/>
          <w:sz w:val="24"/>
        </w:rPr>
        <w:t xml:space="preserve">，針對演算法系統結構性容易遺漏的價值盲點，安排專門議程進行質性補正，包括但不限於世代正義、弱勢群體衝擊與文化倫理面向的審議。</w:t>
      </w:r>
    </w:p>
    <w:p>
      <w:pPr>
        <w:pStyle w:val="011正文"/>
        <w:spacing w:after="200" w:line="360"/>
        <w:jc w:val="both"/>
      </w:pPr>
      <w:r>
        <w:rPr>
          <w:rFonts w:ascii="Times New Roman" w:hAnsi="Times New Roman" w:eastAsia="Microsoft JhengHei"/>
          <w:sz w:val="24"/>
        </w:rPr>
        <w:t>第五步為僵局分級與衝突處置。第一級為「資訊性分歧」：爭點在資料來源、機率估計或模型限制，由補件、再計算或獨立技術覆核處理；第二級為「權衡性分歧」：各方承認事實基礎但對風險、成本或受影響群體的優先順序不同，應並列方案、理由與少數意見後進行協商；第三級為「原則性僵局」：涉及基本權利、不可逆損害或重大世代正義衝突，不能以平均偏好或模型排序強行消除，應保留異議、啟動獨立仲裁或交由具民主授權的機關作成可受監督的決定。</w:t>
      </w:r>
    </w:p>
    <w:p>
      <w:pPr>
        <w:pStyle w:val="011正文"/>
        <w:spacing w:after="200" w:line="360"/>
        <w:jc w:val="both"/>
      </w:pPr>
      <w:r>
        <w:rPr>
          <w:rFonts w:ascii="Times New Roman" w:hAnsi="Times New Roman" w:eastAsia="Microsoft JhengHei"/>
          <w:sz w:val="24"/>
        </w:rPr>
        <w:t>第六步為政策建議書生成與雙重回饋。建議書須同時呈現候選議題、支持與反對理由、少數意見、僵局等級、最終採納／未採納決定及其責任機關；經程序審核後，才得把經確認的問題定義、反例與價值條件回饋至後續資料標註、提示詞或排序規則。此一回饋是可被審計的修正紀錄，而非將單次協商偏好直接寫入模型。</w:t>
      </w:r>
    </w:p>
    <w:p>
      <w:pPr>
        <w:pPr>
          <w:pStyle w:val="011正文"/>
          <w:spacing w:after="200" w:line="360"/>
          <w:jc w:val="both"/>
        </w:pPr>
      </w:pPr>
      <w:r>
        <w:t>5.2.1 可行性條件與第三級僵局的處理</w:t>
      </w:r>
    </w:p>
    <w:p>
      <w:pPr>
        <w:pPr>
          <w:pPr>
            <w:pStyle w:val="011正文"/>
            <w:spacing w:after="200" w:line="360"/>
            <w:jc w:val="both"/>
          </w:pPr>
        </w:pPr>
      </w:pPr>
      <w:r>
        <w:t>六步驟並非意味所有前瞻情境都必須以相同時間與公開程度進行。例行性前瞻可採具代表性的小型公眾；涉及高度專業或保密資訊者，宜採分層說明、經授權的利益關係人／公民代表與非機密版資料包，並設定明確的協商時間窗，以降低資訊負荷與延宕成本。若處於緊急狀態，無法在事前完整展開程序，至少應使用預先準備的情境資料包、留存壓縮程序的理由，並在事後啟動可受檢視的民主修復與回顧。</w:t>
      </w:r>
    </w:p>
    <w:p>
      <w:pPr>
        <w:pStyle w:val="011正文"/>
        <w:spacing w:after="200" w:line="360"/>
        <w:jc w:val="both"/>
      </w:pPr>
      <w:r>
        <w:rPr>
          <w:rFonts w:ascii="Times New Roman" w:hAnsi="Times New Roman" w:eastAsia="Microsoft JhengHei"/>
          <w:sz w:val="24"/>
        </w:rPr>
        <w:t>上述分層並非任意裁量，而應依三項判準決定：其一，議題影響範圍——僅涉及特定機關內部作業者，可採機關內部覆核；影響跨部門資源分配或特定群體權益者，應納入具代表性之小型公眾；影響全國性資源分配或世代長期利益者，應啟動較大規模、跨部門之協商軌道。其二，爭議程度——若候選議題於專家與初步利益關係人徵詢中已呈現高度共識，可採簡化說明程序；若出現明顯價值分歧或利益衝突，應進入完整六步驟並預先評估是否可能升至第三級僵局。其三，保密等級——屬一般行政資訊者採公開協商；涉及國安、外交或商業機密者，改採經授權之利益關係人／公民代表與非機密版資料包，並由獨立審查者確認資訊揭露之最小必要範圍。三項判準應於前瞻機構內部程序中先行公告，而非於個案發生後由承辦人員片面認定，以避免「分層」本身成為規避協商之理由。</w:t>
      </w:r>
    </w:p>
    <w:p>
      <w:pPr>
        <w:pPr>
          <w:pPr>
            <w:pPr>
              <w:pStyle w:val="011正文"/>
              <w:spacing w:after="200" w:line="360"/>
              <w:jc w:val="both"/>
            </w:pPr>
          </w:pPr>
        </w:pPr>
      </w:pPr>
      <w:r>
        <w:t>第三級「原則性僵局」的啟動條件，應包括基本權利可能受侵害、可能造成不可逆損害，或各方在完整資訊下仍無法在可接受的替代方案間形成理由充分的共識。此時，幕僚單位應製作決策備忘錄，並列多數與少數意見、不可接受的風險及待決問題；由獨立審查者檢視程序與證據，再交由依法具有民主授權的決策機關作成決定。最終決定應記載採取或未採取特定方案的理由、責任主體與重新檢討期限，使「交由授權機關決定」不致成為抹除異議的程序出口。</w:t>
      </w:r>
    </w:p>
    <w:p>
      <w:pPr>
        <w:jc w:val="center"/>
      </w:pPr>
      <w:r>
        <w:drawing>
          <wp:inline xmlns:a="http://schemas.openxmlformats.org/drawingml/2006/main" xmlns:pic="http://schemas.openxmlformats.org/drawingml/2006/picture">
            <wp:extent cx="5580000" cy="3240000"/>
            <wp:docPr id="1" name="Picture 1"/>
            <wp:cNvGraphicFramePr>
              <a:graphicFrameLocks noChangeAspect="1"/>
            </wp:cNvGraphicFramePr>
            <a:graphic>
              <a:graphicData uri="http://schemas.openxmlformats.org/drawingml/2006/picture">
                <pic:pic>
                  <pic:nvPicPr>
                    <pic:cNvPr id="0" name="figure_5_1_deliberative_foresight_workflow.png"/>
                    <pic:cNvPicPr/>
                  </pic:nvPicPr>
                  <pic:blipFill>
                    <a:blip r:embed="rId8"/>
                    <a:stretch>
                      <a:fillRect/>
                    </a:stretch>
                  </pic:blipFill>
                  <pic:spPr>
                    <a:xfrm>
                      <a:off x="0" y="0"/>
                      <a:ext cx="5580000" cy="3240000"/>
                    </a:xfrm>
                    <a:prstGeom prst="rect"/>
                  </pic:spPr>
                </pic:pic>
              </a:graphicData>
            </a:graphic>
          </wp:inline>
        </w:drawing>
      </w:r>
    </w:p>
    <w:p>
      <w:pPr>
        <w:pStyle w:val="011圖說"/>
        <w:jc w:val="center"/>
      </w:pPr>
      <w:r>
        <w:rPr>
          <w:rFonts w:ascii="Times New Roman" w:hAnsi="Times New Roman" w:eastAsia="Microsoft JhengHei"/>
        </w:rPr>
        <w:t>圖 5-1　AI 輔助國家前瞻議程建構之六步驟民主協商流程（資料來源：作者繪製）</w:t>
      </w:r>
    </w:p>
    <w:p>
      <w:pPr>
        <w:pStyle w:val="011節標題"/>
        <w:spacing w:after="150" w:before="300"/>
      </w:pPr>
      <w:r>
        <w:rPr>
          <w:rFonts w:ascii="Times New Roman" w:cs="Microsoft JhengHei" w:eastAsia="Microsoft JhengHei" w:hAnsi="Times New Roman"/>
          <w:b/>
          <w:bCs/>
          <w:sz w:val="26"/>
          <w:szCs w:val="26"/>
        </w:rPr>
        <w:t xml:space="preserve">5.3 微觀評估工具的整合應用</w:t>
      </w:r>
    </w:p>
    <w:p>
      <w:pPr>
        <w:pStyle w:val="011正文"/>
        <w:spacing w:after="200" w:line="360"/>
        <w:jc w:val="both"/>
      </w:pPr>
      <w:r>
        <w:rPr>
          <w:rFonts w:ascii="Times New Roman" w:hAnsi="Times New Roman" w:eastAsia="Microsoft JhengHei"/>
          <w:sz w:val="24"/>
        </w:rPr>
        <w:t>本文另以兩組內建的微觀評估工具檢視上述流程。第一，C1「情境鏈」指標群追蹤一個候選議題從資料／訊號、問題命名、情境敘事、政策選項到正式議程的五個節點；每一節點均檢視來源是否可辨識、轉換理由是否可說明、誰有修正權，以及異議是否留存。C1 因此不是抽象的正當性標籤，而是檢驗情境建構鏈能否被追溯與爭議的指標群。第二，PE／PI 政策週期矩陣僅用於「議程設定」階段：PE（policy effect）判斷演算法輸出對議題可見性、排序與正式採納的實質影響；PI（policy infrastructure）判斷其所依賴的資料、模型、專業覆核、協商、法規與組織能力是否到位。將兩者交叉，可區分四種狀態：低 PE／低 PI 的試驗性工具、低 PE／高 PI 的受控輔助、高 PE／低 PI 的高風險定向，以及高 PE／高 PI 的可監督嵌入。此矩陣不預設高 PE 必然較好；當影響力升高時，C1 與七項治理審計所要求的理由、裁量與課責也必須同步提高。</w:t>
      </w:r>
    </w:p>
    <w:p>
      <w:pPr>
        <w:pStyle w:val="011章標題"/>
        <w:spacing w:after="200" w:before="400"/>
      </w:pPr>
      <w:r>
        <w:rPr>
          <w:rFonts w:ascii="Times New Roman" w:cs="Microsoft JhengHei" w:eastAsia="Microsoft JhengHei" w:hAnsi="Times New Roman"/>
          <w:b/>
          <w:bCs/>
          <w:sz w:val="30"/>
          <w:szCs w:val="30"/>
        </w:rPr>
        <w:t xml:space="preserve">第六章 七項治理審計與政策建議</w:t>
      </w:r>
    </w:p>
    <w:p>
      <w:pPr>
        <w:pStyle w:val="011節標題"/>
        <w:spacing w:after="150" w:before="300"/>
      </w:pPr>
      <w:r>
        <w:rPr>
          <w:rFonts w:ascii="Times New Roman" w:cs="Microsoft JhengHei" w:eastAsia="Microsoft JhengHei" w:hAnsi="Times New Roman"/>
          <w:b/>
          <w:bCs/>
          <w:sz w:val="26"/>
          <w:szCs w:val="26"/>
        </w:rPr>
        <w:t xml:space="preserve">6.1 前瞻議題 AI 系統之七項治理審計</w:t>
      </w:r>
    </w:p>
    <w:p>
      <w:pPr>
        <w:pStyle w:val="011正文"/>
        <w:spacing w:after="200" w:line="360"/>
        <w:jc w:val="both"/>
      </w:pPr>
      <w:r>
        <w:t>本文提出以下七項治理審計指標，作為國家前瞻機構導入 AI 演算法提案系統時的制度化落實工具：</w:t>
      </w:r>
    </w:p>
    <w:p>
      <w:pPr>
        <w:pStyle w:val="011正文"/>
        <w:spacing w:after="200" w:line="360"/>
        <w:jc w:val="both"/>
      </w:pPr>
      <w:r>
        <w:rPr>
          <w:rFonts w:ascii="Times New Roman" w:cs="Microsoft JhengHei" w:eastAsia="Microsoft JhengHei" w:hAnsi="Times New Roman"/>
          <w:b/>
          <w:bCs/>
          <w:sz w:val="24"/>
        </w:rPr>
        <w:t xml:space="preserve">一、資料代表性審計</w:t>
      </w:r>
      <w:r>
        <w:rPr>
          <w:rFonts w:ascii="Times New Roman" w:cs="Microsoft JhengHei" w:eastAsia="Microsoft JhengHei" w:hAnsi="Times New Roman"/>
          <w:b w:val="false"/>
          <w:bCs w:val="false"/>
          <w:sz w:val="24"/>
        </w:rPr>
        <w:t xml:space="preserve">：檢視訓練資料與即時探勘資料來源，是否涵蓋少數族群觀點、非主流語言文獻與邊緣化社群的關切議題，避免資料代表性偏誤複製既有的社會權力結構。</w:t>
      </w:r>
    </w:p>
    <w:p>
      <w:pPr>
        <w:pStyle w:val="011正文"/>
        <w:spacing w:after="200" w:line="360"/>
        <w:jc w:val="both"/>
      </w:pPr>
      <w:r>
        <w:rPr>
          <w:rFonts w:ascii="Times New Roman" w:cs="Microsoft JhengHei" w:eastAsia="Microsoft JhengHei" w:hAnsi="Times New Roman"/>
          <w:b/>
          <w:bCs/>
          <w:sz w:val="24"/>
        </w:rPr>
        <w:t xml:space="preserve">二、理由說明審計</w:t>
      </w:r>
      <w:r>
        <w:rPr>
          <w:rFonts w:ascii="Times New Roman" w:cs="Microsoft JhengHei" w:eastAsia="Microsoft JhengHei" w:hAnsi="Times New Roman"/>
          <w:b w:val="false"/>
          <w:bCs w:val="false"/>
          <w:sz w:val="24"/>
        </w:rPr>
        <w:t xml:space="preserve">：檢驗演算法將特定議題歸類為「重大國家威脅」或「優先前瞻議題」的推論鏈，是否可被政策分析師以合理的技術投入加以追溯與理解，避免決策依據淪為完全不可解釋的黑箱輸出。</w:t>
      </w:r>
    </w:p>
    <w:p>
      <w:pPr>
        <w:pStyle w:val="011正文"/>
        <w:spacing w:after="200" w:line="360"/>
        <w:jc w:val="both"/>
      </w:pPr>
      <w:r>
        <w:rPr>
          <w:rFonts w:ascii="Times New Roman" w:cs="Microsoft JhengHei" w:eastAsia="Microsoft JhengHei" w:hAnsi="Times New Roman"/>
          <w:b/>
          <w:bCs/>
          <w:sz w:val="24"/>
        </w:rPr>
        <w:t xml:space="preserve">三、責任歸屬審計</w:t>
      </w:r>
      <w:r>
        <w:rPr>
          <w:rFonts w:ascii="Times New Roman" w:cs="Microsoft JhengHei" w:eastAsia="Microsoft JhengHei" w:hAnsi="Times New Roman"/>
          <w:b w:val="false"/>
          <w:bCs w:val="false"/>
          <w:sz w:val="24"/>
        </w:rPr>
        <w:t xml:space="preserve">：預先建立當演算法系統遺漏重大國安、經濟或社會前瞻風險時的責任分配框架，明確劃分系統開發商、委外執行智庫與主管機關三方在不同情境下應承擔的責任比例。</w:t>
      </w:r>
    </w:p>
    <w:p>
      <w:pPr>
        <w:pStyle w:val="011正文"/>
        <w:spacing w:after="200" w:line="360"/>
        <w:jc w:val="both"/>
      </w:pPr>
      <w:r>
        <w:rPr>
          <w:rFonts w:ascii="Times New Roman" w:cs="Microsoft JhengHei" w:eastAsia="Microsoft JhengHei" w:hAnsi="Times New Roman"/>
          <w:b/>
          <w:bCs/>
          <w:sz w:val="24"/>
        </w:rPr>
        <w:t xml:space="preserve">四、隱私與資安審計</w:t>
      </w:r>
      <w:r>
        <w:rPr>
          <w:rFonts w:ascii="Times New Roman" w:cs="Microsoft JhengHei" w:eastAsia="Microsoft JhengHei" w:hAnsi="Times New Roman"/>
          <w:b w:val="false"/>
          <w:bCs w:val="false"/>
          <w:sz w:val="24"/>
        </w:rPr>
        <w:t xml:space="preserve">：檢視巨量前瞻資料探勘過程是否涉及敏感個人資料或國家機密資訊的不當蒐集、儲存或外洩風險，特別是在涉及跨境雲端運算與國際模型供應商的情境下。</w:t>
      </w:r>
    </w:p>
    <w:p>
      <w:pPr>
        <w:pStyle w:val="011正文"/>
        <w:spacing w:after="200" w:line="360"/>
        <w:jc w:val="both"/>
      </w:pPr>
      <w:r>
        <w:rPr>
          <w:rFonts w:ascii="Times New Roman" w:cs="Microsoft JhengHei" w:eastAsia="Microsoft JhengHei" w:hAnsi="Times New Roman"/>
          <w:b/>
          <w:bCs/>
          <w:sz w:val="24"/>
        </w:rPr>
        <w:t xml:space="preserve">五、裁量邊界審計</w:t>
      </w:r>
      <w:r>
        <w:rPr>
          <w:rFonts w:ascii="Times New Roman" w:cs="Microsoft JhengHei" w:eastAsia="Microsoft JhengHei" w:hAnsi="Times New Roman"/>
          <w:b w:val="false"/>
          <w:bCs w:val="false"/>
          <w:sz w:val="24"/>
        </w:rPr>
        <w:t xml:space="preserve">：明確劃定演算法系統僅具備「提案」功能，最終的價值定調與政策決策權，應保留於人機複合共識機制、行政首長或立法機關，避免演算法產出被實質等同於決策本身。</w:t>
      </w:r>
    </w:p>
    <w:p>
      <w:pPr>
        <w:pStyle w:val="011正文"/>
        <w:spacing w:after="200" w:line="360"/>
        <w:jc w:val="both"/>
      </w:pPr>
      <w:r>
        <w:rPr>
          <w:rFonts w:ascii="Times New Roman" w:cs="Microsoft JhengHei" w:eastAsia="Microsoft JhengHei" w:hAnsi="Times New Roman"/>
          <w:b/>
          <w:bCs/>
          <w:sz w:val="24"/>
        </w:rPr>
        <w:t xml:space="preserve">六、組織能力審計</w:t>
      </w:r>
      <w:r>
        <w:rPr>
          <w:rFonts w:ascii="Times New Roman" w:cs="Microsoft JhengHei" w:eastAsia="Microsoft JhengHei" w:hAnsi="Times New Roman"/>
          <w:b w:val="false"/>
          <w:bCs w:val="false"/>
          <w:sz w:val="24"/>
        </w:rPr>
        <w:t xml:space="preserve">：評估文官體系是否具備對 AI 前瞻報告進行「實質覆核」（Substantive Review）的專業能力與制度時間，而非僅能被動接受演算法產出，卻無能力對其方法論假設提出實質質疑。</w:t>
      </w:r>
    </w:p>
    <w:p>
      <w:pPr>
        <w:pStyle w:val="011正文"/>
        <w:spacing w:after="200" w:line="360"/>
        <w:jc w:val="both"/>
      </w:pPr>
      <w:r>
        <w:rPr>
          <w:rFonts w:ascii="Times New Roman" w:cs="Microsoft JhengHei" w:eastAsia="Microsoft JhengHei" w:hAnsi="Times New Roman"/>
          <w:b/>
          <w:bCs/>
          <w:sz w:val="24"/>
        </w:rPr>
        <w:t xml:space="preserve">七、民主課責審計</w:t>
      </w:r>
      <w:r>
        <w:rPr>
          <w:rFonts w:ascii="Times New Roman" w:cs="Microsoft JhengHei" w:eastAsia="Microsoft JhengHei" w:hAnsi="Times New Roman"/>
          <w:b w:val="false"/>
          <w:bCs w:val="false"/>
          <w:sz w:val="24"/>
        </w:rPr>
        <w:t xml:space="preserve">：檢驗前瞻議程設定流程是否設有正式的公民參與管道與立法機關監督機制，確保演算法提案的產出與採用過程，並非完全封閉於行政部門與技術供應商之間的雙邊關係。</w:t>
      </w:r>
    </w:p>
    <w:p>
      <w:pPr>
        <w:pPr>
          <w:pStyle w:val="011正文"/>
          <w:spacing w:after="200" w:line="360"/>
          <w:jc w:val="both"/>
        </w:pPr>
      </w:pPr>
      <w:r>
        <w:t>6.1.1 分層審計與執行責任</w:t>
      </w:r>
    </w:p>
    <w:p>
      <w:pPr>
        <w:pPr>
          <w:pPr>
            <w:pStyle w:val="011正文"/>
            <w:spacing w:after="200" w:line="360"/>
            <w:jc w:val="both"/>
          </w:pPr>
        </w:pPr>
      </w:pPr>
      <w:r>
        <w:t>七項審計不宜被理解為每次導入均以同等強度、由同一機關執行。系統試辦或正式採用前，至少應完成資料代表性、理由說明、責任歸屬、隱私與資安及裁量邊界五項基礎審計；其中隱私與資安不得因系統仍在試辦而低於法令與風險管理要求。組織能力與民主課責則應隨系統影響範圍、議題敏感度與採用程度逐步加強，並在高影響或高爭議議題中於採用前一併確認。</w:t>
      </w:r>
    </w:p>
    <w:p>
      <w:pPr>
        <w:pPr>
          <w:pPr>
            <w:pPr>
              <w:pStyle w:val="011正文"/>
              <w:spacing w:after="200" w:line="360"/>
              <w:jc w:val="both"/>
            </w:pPr>
          </w:pPr>
        </w:pPr>
      </w:pPr>
      <w:r>
        <w:t>就分工而言，前瞻或政策規劃的主管機關（例如國發會或各領域主管機關）應對候選議題、P1 情境建構與採納理由負主要紀錄責任；涉及機密與安全資料時，國安與資安權責機關宜負責資料邊界、風險控管與保密程序的協調，而非當然取代議程決定；審計機關則可檢視內控制度、紀錄保存與程序遵循，並不替代政策判斷。本文所建議的「國家前瞻治理審計小組」應作為跨機關、具外部專業與公民觀點的審查平台，負責方法、理由與參與程序的檢核；其設置方式與法定權限仍須依現行制度另行設計。</w:t>
      </w:r>
    </w:p>
    <w:p>
      <w:pPr>
        <w:pStyle w:val="011節標題"/>
        <w:spacing w:after="150" w:before="300"/>
      </w:pPr>
      <w:r>
        <w:rPr>
          <w:rFonts w:ascii="Times New Roman" w:cs="Microsoft JhengHei" w:eastAsia="Microsoft JhengHei" w:hAnsi="Times New Roman"/>
          <w:b/>
          <w:bCs/>
          <w:sz w:val="26"/>
          <w:szCs w:val="26"/>
        </w:rPr>
        <w:t xml:space="preserve">6.2 政策建議</w:t>
      </w:r>
    </w:p>
    <w:p>
      <w:pPr>
        <w:pStyle w:val="011正文"/>
        <w:spacing w:after="200" w:line="360"/>
        <w:jc w:val="both"/>
      </w:pPr>
      <w:r>
        <w:rPr>
          <w:rFonts w:ascii="Times New Roman" w:cs="Microsoft JhengHei" w:eastAsia="Microsoft JhengHei" w:hAnsi="Times New Roman"/>
          <w:b w:val="false"/>
          <w:bCs w:val="false"/>
          <w:sz w:val="24"/>
        </w:rPr>
        <w:t xml:space="preserve">基於前述分析與七項治理審計指標，本文提出三個層面的政策建議：</w:t>
      </w:r>
    </w:p>
    <w:p>
      <w:pPr>
        <w:pStyle w:val="011正文"/>
        <w:spacing w:after="200" w:line="360"/>
        <w:jc w:val="both"/>
      </w:pPr>
      <w:r>
        <w:rPr>
          <w:rFonts w:ascii="Times New Roman" w:cs="Microsoft JhengHei" w:eastAsia="Microsoft JhengHei" w:hAnsi="Times New Roman"/>
          <w:b/>
          <w:bCs/>
          <w:sz w:val="24"/>
        </w:rPr>
        <w:t xml:space="preserve">制度層面</w:t>
      </w:r>
      <w:r>
        <w:rPr>
          <w:rFonts w:ascii="Times New Roman" w:cs="Microsoft JhengHei" w:eastAsia="Microsoft JhengHei" w:hAnsi="Times New Roman"/>
          <w:b w:val="false"/>
          <w:bCs w:val="false"/>
          <w:sz w:val="24"/>
        </w:rPr>
        <w:t xml:space="preserve">：建議國家前瞻會報或相當層級的政策規劃機制，正式導入「演算法透明度報告」作為前瞻報告的必要附件，並建立「公民參與審議雙軌制」——即在專家審議軌道之外，另闢一條具有實質影響力（而非僅具象徵意義）的公民協商軌道，兩軌並行、交互檢核。</w:t>
      </w:r>
    </w:p>
    <w:p>
      <w:pPr>
        <w:pStyle w:val="011正文"/>
        <w:spacing w:after="200" w:line="360"/>
        <w:jc w:val="both"/>
      </w:pPr>
      <w:r>
        <w:rPr>
          <w:rFonts w:ascii="Times New Roman" w:cs="Microsoft JhengHei" w:eastAsia="Microsoft JhengHei" w:hAnsi="Times New Roman"/>
          <w:b/>
          <w:bCs/>
          <w:sz w:val="24"/>
        </w:rPr>
        <w:t xml:space="preserve">組織層面</w:t>
      </w:r>
      <w:r>
        <w:rPr>
          <w:rFonts w:ascii="Times New Roman" w:cs="Microsoft JhengHei" w:eastAsia="Microsoft JhengHei" w:hAnsi="Times New Roman"/>
          <w:b w:val="false"/>
          <w:bCs w:val="false"/>
          <w:sz w:val="24"/>
        </w:rPr>
        <w:t xml:space="preserve">：建議成立「國家前瞻治理審計小組」，其組織定位宜隸屬於相對獨立於前瞻報告產出機關的監督機構（例如國家審計機關或跨部會之獨立辦公室），以避免審計機制淪為自我審查。</w:t>
      </w:r>
    </w:p>
    <w:p>
      <w:pPr>
        <w:pStyle w:val="011正文"/>
        <w:spacing w:after="200" w:line="360"/>
        <w:jc w:val="both"/>
      </w:pPr>
      <w:r>
        <w:rPr>
          <w:rFonts w:ascii="Times New Roman" w:hAnsi="Times New Roman" w:eastAsia="Microsoft JhengHei"/>
          <w:sz w:val="24"/>
        </w:rPr>
        <w:t>技術與教育層面：建議中長期投入建置本土化的「公共前瞻大語言模型」（Public Foresight LLM），以降低對國際商業模型供應商的技術依賴；並於文官培訓體系開設前瞻提示詞審計、情境鏈追蹤與演算法報告解讀課程，使承辦人員能對資料、推論與採納理由進行實質覆核。</w:t>
      </w:r>
    </w:p>
    <w:p>
      <w:pPr>
        <w:pStyle w:val="011節標題"/>
        <w:spacing w:after="150" w:before="300"/>
      </w:pPr>
      <w:r>
        <w:t>6.3 臺灣近期示範性應用：二〇二六年城鎮韌性（防空）演習</w:t>
      </w:r>
    </w:p>
    <w:p>
      <w:pPr>
        <w:pStyle w:val="011正文"/>
      </w:pPr>
      <w:r>
        <w:t>二〇二六年城鎮韌性（防空）演習提供本文政策意涵的近期示範性應用，而非對演習本身的實證驗證。全國防空演習於八月七日至十三日分區實施；其中，中部七縣市於八月十日、北部七縣市於八月十三日，首次進行各約三十分鐘的行動網路降速演練。該演練並非斷網，語音通話、簡訊與文字傳輸原則上維持，較可能受影響者為影音串流、視訊通話、行動支付及雲端同步等高流量服務；政府並要求維持醫療、交通及一一〇、一一九等重要公共服務（行政院，2026；國防部全民防衛動員署，2026；國家通訊傳播委員會，2026）。</w:t>
      </w:r>
    </w:p>
    <w:p>
      <w:pPr>
        <w:pStyle w:val="011正文"/>
      </w:pPr>
      <w:r>
        <w:t>本文不以此一演習作為已完成的實證驗證，亦不評斷其軍事成敗；其用途在於示範：當政府以有限通訊環境作為韌性測試時，本文架構如何把演習由單純的技術效能檢驗，擴展為可追溯的議程建構、裁量與課責檢視。此處須特別說明，本節並非本文第四項正式案例，而是以較低分析密度呈現之示範性應用：不同於第三章對日本、新加坡、韓國三案所採用之四點提問架構與可追溯性比對，本節僅套用 P1／P2 提問，用於展示本文架構於近期政策情境之延伸可能，讀者不宜將其分析深度與前三案等量齊觀。</w:t>
      </w:r>
    </w:p>
    <w:p>
      <w:pPr>
        <w:pStyle w:val="011正文"/>
      </w:pPr>
      <w:r>
        <w:rPr>
          <w:rFonts w:ascii="Times New Roman" w:hAnsi="Times New Roman" w:eastAsia="Microsoft JhengHei"/>
          <w:sz w:val="24"/>
        </w:rPr>
        <w:t>第一，P1（情境建構與事實認定）要求主辦機關說明：為何將「行動網路降速」列為優先演練情境？此一選擇依據何種風險資訊、民生依賴關係與跨域連鎖影響？又有哪些通訊備援需求、使用者群體或替代情境未被納入？此處的重點不是要求公開敏感作戰資訊，而是在可公開範圍內保留情境選擇、資料來源與排除理由的紀錄，避免演習只驗證最易測量的已知問題。</w:t>
      </w:r>
    </w:p>
    <w:p>
      <w:pPr>
        <w:pStyle w:val="011正文"/>
      </w:pPr>
      <w:r>
        <w:rPr>
          <w:rFonts w:ascii="Times New Roman" w:hAnsi="Times New Roman" w:eastAsia="Microsoft JhengHei"/>
          <w:sz w:val="24"/>
        </w:rPr>
        <w:t>第二，P2（行政裁量與價值判斷）要求將降速範圍、時段、公共服務優先順序及例外處理視為行政裁量，而非純粹技術參數。醫療通聯、緊急報案、交通營運與其他高依賴服務之間如何權衡，應有可說明的風險判準、即時修正權限與不採納特定建議的理由紀錄。如此才能避免技術排序或流量管理結果被誤認為自動具有公共正當性。</w:t>
      </w:r>
    </w:p>
    <w:p>
      <w:pPr>
        <w:pStyle w:val="011正文"/>
      </w:pPr>
      <w:r>
        <w:rPr>
          <w:rFonts w:ascii="Times New Roman" w:hAnsi="Times New Roman" w:eastAsia="Microsoft JhengHei"/>
          <w:sz w:val="24"/>
        </w:rPr>
        <w:t>第三，責任鏈與七項治理審計可作為演習後檢討的共同架構：資料代表性審計檢視受影響群體與服務是否被充分辨識；理由說明審計檢視降速設計與例外條件能否被理解；責任歸屬審計釐清中央、地方、通訊監理機關與電信業者的分工；裁量邊界、組織能力與民主課責審計，則檢視是否存在人員覆核、跨機關協調、民眾告知、錯假訊息澄清與事後修正的制度出口。</w:t>
      </w:r>
    </w:p>
    <w:p>
      <w:pPr>
        <w:pStyle w:val="011正文"/>
      </w:pPr>
      <w:r>
        <w:rPr>
          <w:rFonts w:ascii="Times New Roman" w:hAnsi="Times New Roman" w:eastAsia="Microsoft JhengHei"/>
          <w:sz w:val="24"/>
        </w:rPr>
        <w:t>由此可見，本研究的實務貢獻不在於替特定演習提供作戰判斷，而在於提出一份可用於演習前設計、演習中紀錄與演習後檢討的治理檢核表。即使系統復原、通訊品質或作業流程達成技術目標，若早期未納入重要風險、受影響群體或可爭議的理由，演習仍可能在治理上留下盲點；反之，若能保留上述記錄與修正機制，演習便可累積為下一輪國家韌性議題建構的制度學習。</w:t>
      </w:r>
    </w:p>
    <w:p>
      <w:pPr>
        <w:pStyle w:val="011章標題"/>
        <w:spacing w:after="200" w:before="400"/>
      </w:pPr>
      <w:r>
        <w:rPr>
          <w:rFonts w:ascii="Times New Roman" w:cs="Microsoft JhengHei" w:eastAsia="Microsoft JhengHei" w:hAnsi="Times New Roman"/>
          <w:b/>
          <w:bCs/>
          <w:sz w:val="30"/>
          <w:szCs w:val="30"/>
        </w:rPr>
        <w:t xml:space="preserve">第七章 結論</w:t>
      </w:r>
    </w:p>
    <w:p>
      <w:pPr>
        <w:pStyle w:val="011正文"/>
        <w:spacing w:after="200" w:line="360"/>
        <w:jc w:val="both"/>
      </w:pPr>
      <w:r>
        <w:rPr>
          <w:rFonts w:ascii="Times New Roman" w:hAnsi="Times New Roman" w:eastAsia="Microsoft JhengHei"/>
          <w:sz w:val="24"/>
        </w:rPr>
        <w:t>本文以「AI 治理 25-3-3-4-7」母架構，對國家前瞻議題建構進行概念建構與比較案例分析。本文主張，前瞻工作不應只被理解為技術預測或專家諮詢，而應被視為界定未來問題、分配注意力與形成政策正當性的制度過程。</w:t>
      </w:r>
    </w:p>
    <w:p>
      <w:pPr>
        <w:pStyle w:val="011正文"/>
        <w:spacing w:after="200" w:line="360"/>
        <w:jc w:val="both"/>
      </w:pPr>
      <w:r>
        <w:t>本文提出的演算法源流，是可由資料來源、訊號規則、排序機制、人工覆核權及採納紀錄加以觀察的制度化篩選機制（定義詳見第二、三章，此處不再重複列舉「25-3-3-4-7」各項構成）。本文真正的貢獻，在於將演算法介入國家前瞻議程設定，由方法論或技術描述問題，轉譯為可由資料紀錄、覆核程序與協商設計檢驗之具體治理命題：權力發生於何種層次、P1／P2／P3 沿何種路徑移轉、其結構性後果為何，以及採用前應檢核何種資料、理由、裁量與課責條件。</w:t>
      </w:r>
    </w:p>
    <w:p>
      <w:pPr>
        <w:pStyle w:val="011正文"/>
        <w:spacing w:after="200" w:line="360"/>
        <w:jc w:val="both"/>
      </w:pPr>
      <w:r>
        <w:rPr>
          <w:rFonts w:ascii="Times New Roman" w:hAnsi="Times New Roman" w:eastAsia="Microsoft JhengHei"/>
          <w:sz w:val="24"/>
        </w:rPr>
        <w:t>本研究的限制在於使用公開文件與概念性比較，無法直接判定各系統的實際模型、訓練資料、內部權重或參與者認知。後續研究可取得版本紀錄與候選清單進行過程追蹤、訪談實際參與者，並以設計良好的德爾菲或公民協商研究，檢驗演算法介入是否改變議題多樣性、裁量品質與正當性感知。</w:t>
      </w:r>
    </w:p>
    <w:p>
      <w:pPr>
        <w:pPr>
          <w:pStyle w:val="011正文"/>
          <w:spacing w:after="200" w:line="360"/>
          <w:jc w:val="both"/>
        </w:pPr>
      </w:pPr>
      <w:r>
        <w:t>就臺灣前瞻體系而言，制度建議宜有明確順序：第一，先建立候選議題、資料來源、人工覆核與採納理由的版本紀錄，使 P1／P2 得以被追溯；第二，對高影響或高爭議議題，將七項審計中的資料、理由、責任、資安與裁量邊界列為採用前最低要求；第三，再依議題敏感度配置分層協商、外部審查與事後民主回顧。此一順序不要求一次成立全新的龐大機構，而是先讓既有前瞻與政策規劃程序保留可檢視、可改寫與可課責的紀錄。</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4500"/>
        <w:gridCol w:w="4500"/>
      </w:tblGrid>
      <w:tr>
        <w:tc>
          <w:tcPr>
            <w:tcW w:type="dxa" w:w="4500"/>
            <w:shd w:fill="D9E2F3" w:val="clear"/>
            <w:tcMar>
              <w:top w:type="dxa" w:w="100"/>
              <w:left w:type="dxa" w:w="100"/>
              <w:bottom w:type="dxa" w:w="100"/>
              <w:right w:type="dxa" w:w="100"/>
            </w:tcMar>
          </w:tcPr>
          <w:p>
            <w:r>
              <w:rPr>
                <w:rFonts w:ascii="Microsoft JhengHei" w:cs="Microsoft JhengHei" w:eastAsia="Microsoft JhengHei" w:hAnsi="Microsoft JhengHei"/>
                <w:b/>
                <w:bCs/>
                <w:sz w:val="20"/>
                <w:szCs w:val="20"/>
              </w:rPr>
              <w:t xml:space="preserve">設計維度</w:t>
            </w:r>
          </w:p>
        </w:tc>
        <w:tc>
          <w:tcPr>
            <w:tcW w:type="dxa" w:w="4500"/>
            <w:shd w:fill="D9E2F3" w:val="clear"/>
            <w:tcMar>
              <w:top w:type="dxa" w:w="100"/>
              <w:left w:type="dxa" w:w="100"/>
              <w:bottom w:type="dxa" w:w="100"/>
              <w:right w:type="dxa" w:w="100"/>
            </w:tcMar>
          </w:tcPr>
          <w:p>
            <w:r>
              <w:rPr>
                <w:rFonts w:ascii="Microsoft JhengHei" w:cs="Microsoft JhengHei" w:eastAsia="Microsoft JhengHei" w:hAnsi="Microsoft JhengHei"/>
                <w:b/>
                <w:bCs/>
                <w:sz w:val="20"/>
                <w:szCs w:val="20"/>
              </w:rPr>
              <w:t xml:space="preserve">詳細內容</w:t>
            </w:r>
          </w:p>
        </w:tc>
      </w:tr>
      <w:tr>
        <w:tc>
          <w:tcPr>
            <w:tcW w:type="dxa" w:w="4500"/>
            <w:tcMar>
              <w:top w:type="dxa" w:w="100"/>
              <w:left w:type="dxa" w:w="100"/>
              <w:bottom w:type="dxa" w:w="100"/>
              <w:right w:type="dxa" w:w="100"/>
            </w:tcMar>
          </w:tcPr>
          <w:p>
            <w:r>
              <w:rPr>
                <w:rFonts w:ascii="Microsoft JhengHei" w:cs="Microsoft JhengHei" w:eastAsia="Microsoft JhengHei" w:hAnsi="Microsoft JhengHei"/>
                <w:b w:val="false"/>
                <w:bCs w:val="false"/>
                <w:sz w:val="20"/>
                <w:szCs w:val="20"/>
              </w:rPr>
              <w:t xml:space="preserve">研究題目</w:t>
            </w:r>
          </w:p>
        </w:tc>
        <w:tc>
          <w:tcPr>
            <w:tcW w:type="dxa" w:w="4500"/>
            <w:tcMar>
              <w:top w:type="dxa" w:w="100"/>
              <w:left w:type="dxa" w:w="100"/>
              <w:bottom w:type="dxa" w:w="100"/>
              <w:right w:type="dxa" w:w="100"/>
            </w:tcMar>
          </w:tcPr>
          <w:p>
            <w:r>
              <w:rPr>
                <w:rFonts w:ascii="Microsoft JhengHei" w:cs="Microsoft JhengHei" w:eastAsia="Microsoft JhengHei" w:hAnsi="Microsoft JhengHei"/>
                <w:b w:val="false"/>
                <w:bCs w:val="false"/>
                <w:sz w:val="20"/>
                <w:szCs w:val="20"/>
              </w:rPr>
              <w:t xml:space="preserve">AI 治理下的國家前瞻議題建構：從智庫壟斷、演算法提案到民主協商模式</w:t>
            </w:r>
          </w:p>
        </w:tc>
      </w:tr>
      <w:tr>
        <w:tc>
          <w:tcPr>
            <w:tcW w:type="dxa" w:w="4500"/>
            <w:tcMar>
              <w:top w:type="dxa" w:w="100"/>
              <w:left w:type="dxa" w:w="100"/>
              <w:bottom w:type="dxa" w:w="100"/>
              <w:right w:type="dxa" w:w="100"/>
            </w:tcMar>
          </w:tcPr>
          <w:p>
            <w:r>
              <w:rPr>
                <w:rFonts w:ascii="Microsoft JhengHei" w:cs="Microsoft JhengHei" w:eastAsia="Microsoft JhengHei" w:hAnsi="Microsoft JhengHei"/>
                <w:b w:val="false"/>
                <w:bCs w:val="false"/>
                <w:sz w:val="20"/>
                <w:szCs w:val="20"/>
              </w:rPr>
              <w:t xml:space="preserve">母架構取用</w:t>
            </w:r>
          </w:p>
        </w:tc>
        <w:tc>
          <w:tcPr>
            <w:tcW w:type="dxa" w:w="4500"/>
            <w:tcMar>
              <w:top w:type="dxa" w:w="100"/>
              <w:left w:type="dxa" w:w="100"/>
              <w:bottom w:type="dxa" w:w="100"/>
              <w:right w:type="dxa" w:w="100"/>
            </w:tcMar>
          </w:tcPr>
          <w:p>
            <w:r>
              <w:rPr>
                <w:rFonts w:ascii="Microsoft JhengHei" w:cs="Microsoft JhengHei" w:eastAsia="Microsoft JhengHei" w:hAnsi="Microsoft JhengHei"/>
                <w:b w:val="false"/>
                <w:bCs w:val="false"/>
                <w:sz w:val="20"/>
                <w:szCs w:val="20"/>
              </w:rPr>
              <w:t xml:space="preserve">25 座標：政策體系／組織設計 × 社會／國際；權力移轉：P1（情境建構）＋ P2（裁量與價值）；治理鏈：情境建構鏈＋責任鏈；審計工具：七項治理審計全套導入</w:t>
            </w:r>
          </w:p>
        </w:tc>
      </w:tr>
      <w:tr>
        <w:tc>
          <w:tcPr>
            <w:tcW w:type="dxa" w:w="4500"/>
            <w:tcMar>
              <w:top w:type="dxa" w:w="100"/>
              <w:left w:type="dxa" w:w="100"/>
              <w:bottom w:type="dxa" w:w="100"/>
              <w:right w:type="dxa" w:w="100"/>
            </w:tcMar>
          </w:tcPr>
          <w:p>
            <w:r>
              <w:rPr>
                <w:rFonts w:ascii="Microsoft JhengHei" w:cs="Microsoft JhengHei" w:eastAsia="Microsoft JhengHei" w:hAnsi="Microsoft JhengHei"/>
                <w:b w:val="false"/>
                <w:bCs w:val="false"/>
                <w:sz w:val="20"/>
                <w:szCs w:val="20"/>
              </w:rPr>
              <w:t xml:space="preserve">子工具整合</w:t>
            </w:r>
          </w:p>
        </w:tc>
        <w:tc>
          <w:tcPr>
            <w:tcW w:type="dxa" w:w="4500"/>
            <w:tcMar>
              <w:top w:type="dxa" w:w="100"/>
              <w:left w:type="dxa" w:w="100"/>
              <w:bottom w:type="dxa" w:w="100"/>
              <w:right w:type="dxa" w:w="100"/>
            </w:tcMar>
          </w:tcPr>
          <w:p>
            <w:r>
              <w:rPr>
                <w:rFonts w:ascii="Microsoft JhengHei" w:cs="Microsoft JhengHei" w:eastAsia="Microsoft JhengHei" w:hAnsi="Microsoft JhengHei"/>
                <w:b w:val="false"/>
                <w:bCs w:val="false"/>
                <w:sz w:val="20"/>
                <w:szCs w:val="20"/>
              </w:rPr>
              <w:t xml:space="preserve">結合第四篇《協商模式》之六步驟工作流程與僵局分級；結合第六篇《民主正當性》之 C1 情境鏈指標群；結合第七篇《公共政策》之 PE／PI 政策週期矩陣（議程設定階段）</w:t>
            </w:r>
          </w:p>
        </w:tc>
      </w:tr>
      <w:tr>
        <w:tc>
          <w:tcPr>
            <w:tcW w:type="dxa" w:w="4500"/>
            <w:tcMar>
              <w:top w:type="dxa" w:w="100"/>
              <w:left w:type="dxa" w:w="100"/>
              <w:bottom w:type="dxa" w:w="100"/>
              <w:right w:type="dxa" w:w="100"/>
            </w:tcMar>
          </w:tcPr>
          <w:p>
            <w:r>
              <w:rPr>
                <w:rFonts w:ascii="Microsoft JhengHei" w:cs="Microsoft JhengHei" w:eastAsia="Microsoft JhengHei" w:hAnsi="Microsoft JhengHei"/>
                <w:b w:val="false"/>
                <w:bCs w:val="false"/>
                <w:sz w:val="20"/>
                <w:szCs w:val="20"/>
              </w:rPr>
              <w:t xml:space="preserve">資料收集</w:t>
            </w:r>
          </w:p>
        </w:tc>
        <w:tc>
          <w:tcPr>
            <w:tcW w:type="dxa" w:w="4500"/>
            <w:tcMar>
              <w:top w:type="dxa" w:w="100"/>
              <w:left w:type="dxa" w:w="100"/>
              <w:bottom w:type="dxa" w:w="100"/>
              <w:right w:type="dxa" w:w="100"/>
            </w:tcMar>
          </w:tcPr>
          <w:p>
            <w:r>
              <w:t>公開法規、官方報告、機構方法文件與可查核政策資料；採結構化比較案例分析。未報告訪談、德爾菲或公民協商實驗結果。</w:t>
            </w:r>
          </w:p>
        </w:tc>
      </w:tr>
      <w:tr>
        <w:tc>
          <w:tcPr>
            <w:tcW w:type="dxa" w:w="4500"/>
            <w:tcMar>
              <w:top w:type="dxa" w:w="100"/>
              <w:left w:type="dxa" w:w="100"/>
              <w:bottom w:type="dxa" w:w="100"/>
              <w:right w:type="dxa" w:w="100"/>
            </w:tcMar>
          </w:tcPr>
          <w:p>
            <w:r>
              <w:rPr>
                <w:rFonts w:ascii="Microsoft JhengHei" w:cs="Microsoft JhengHei" w:eastAsia="Microsoft JhengHei" w:hAnsi="Microsoft JhengHei"/>
                <w:b w:val="false"/>
                <w:bCs w:val="false"/>
                <w:sz w:val="20"/>
                <w:szCs w:val="20"/>
              </w:rPr>
              <w:t xml:space="preserve">理論創新</w:t>
            </w:r>
          </w:p>
        </w:tc>
        <w:tc>
          <w:tcPr>
            <w:tcW w:type="dxa" w:w="4500"/>
            <w:tcMar>
              <w:top w:type="dxa" w:w="100"/>
              <w:left w:type="dxa" w:w="100"/>
              <w:bottom w:type="dxa" w:w="100"/>
              <w:right w:type="dxa" w:w="100"/>
            </w:tcMar>
          </w:tcPr>
          <w:p>
            <w:r>
              <w:t>提出可觀察的「演算法源流」：資料來源選取、訊號偵測規則、排序權重、輸出格式與人工覆核；建構「AI 提案—專家審查—民主協商」三階段治理模式。</w:t>
            </w:r>
          </w:p>
        </w:tc>
      </w:tr>
    </w:tbl>
    <w:p>
      <w:pPr>
        <w:spacing w:after="200"/>
      </w:pPr>
    </w:p>
    <w:p>
      <w:pPr>
        <w:pStyle w:val="011正文"/>
        <w:spacing w:after="200" w:before="400"/>
      </w:pPr>
      <w:r>
        <w:rPr>
          <w:rFonts w:ascii="Times New Roman" w:hAnsi="Times New Roman" w:eastAsia="Microsoft JhengHei"/>
          <w:sz w:val="24"/>
        </w:rPr>
        <w:t>參考文獻</w:t>
      </w:r>
    </w:p>
    <w:p>
      <w:pPr>
        <w:pStyle w:val="011中文文獻標題"/>
        <w:ind w:firstLine="0"/>
        <w:jc w:val="left"/>
      </w:pPr>
      <w:r>
        <w:rPr>
          <w:rFonts w:ascii="Times New Roman" w:hAnsi="Times New Roman" w:eastAsia="Microsoft JhengHei"/>
          <w:sz w:val="21"/>
        </w:rPr>
        <w:t>中文文獻</w:t>
      </w:r>
    </w:p>
    <w:p>
      <w:pPr>
        <w:pStyle w:val="011參考文獻"/>
        <w:ind w:left="420" w:hanging="420"/>
      </w:pPr>
      <w:r>
        <w:rPr>
          <w:rFonts w:ascii="Times New Roman" w:hAnsi="Times New Roman" w:eastAsia="Microsoft JhengHei"/>
          <w:sz w:val="21"/>
        </w:rPr>
        <w:t>丁玉珍、林子倫（2020）。人工智慧提升政府公共治理的應用潛力探討。檔案半年刊，19（2），24–41。</w:t>
      </w:r>
    </w:p>
    <w:p>
      <w:pPr>
        <w:pStyle w:val="011參考文獻"/>
        <w:ind w:left="420" w:hanging="420"/>
      </w:pPr>
      <w:r>
        <w:rPr>
          <w:rFonts w:ascii="Times New Roman" w:hAnsi="Times New Roman" w:eastAsia="Microsoft JhengHei"/>
          <w:sz w:val="21"/>
        </w:rPr>
        <w:t>行政院（2026年7月23日）。2026城鎮韌性（防空）演習：行動網路降速演練。https://www.ey.gov.tw/Page/448DE008087A1971/096fb808-f775-47cd-bca9-9f3916680f54</w:t>
      </w:r>
    </w:p>
    <w:p>
      <w:pPr>
        <w:pStyle w:val="011參考文獻"/>
        <w:ind w:left="420" w:hanging="420"/>
      </w:pPr>
      <w:r>
        <w:rPr>
          <w:rFonts w:ascii="Times New Roman" w:hAnsi="Times New Roman" w:eastAsia="Microsoft JhengHei"/>
          <w:sz w:val="21"/>
        </w:rPr>
        <w:t>國防部全民防衛動員署（2026）。2026城鎮韌性（防空）演習期程規劃表。https://adma.mnd.gov.tw/unit/100005/8182</w:t>
      </w:r>
    </w:p>
    <w:p>
      <w:pPr>
        <w:pStyle w:val="011參考文獻"/>
        <w:ind w:left="420" w:hanging="420"/>
      </w:pPr>
      <w:r>
        <w:rPr>
          <w:rFonts w:ascii="Times New Roman" w:hAnsi="Times New Roman" w:eastAsia="Microsoft JhengHei"/>
          <w:sz w:val="21"/>
        </w:rPr>
        <w:t>國家發展委員會（2025）。AI新十大建設推動方案（114年至117年）。https://www.ndc.gov.tw/Content_List.aspx?n=EF80A54FA6A63200</w:t>
      </w:r>
    </w:p>
    <w:p>
      <w:pPr>
        <w:pStyle w:val="011參考文獻"/>
        <w:ind w:left="420" w:hanging="420"/>
      </w:pPr>
      <w:r>
        <w:rPr>
          <w:rFonts w:ascii="Times New Roman" w:hAnsi="Times New Roman" w:eastAsia="Microsoft JhengHei"/>
          <w:sz w:val="21"/>
        </w:rPr>
        <w:t>國家通訊傳播委員會（2026）。行動網路降速演練專區。https://www.ncc.gov.tw/chncc/app/data/view?id=1262&amp;module=commonMessage1262&amp;serno=7d958b34-bd8d-4384-a2a8-bca5d18d81d2</w:t>
      </w:r>
    </w:p>
    <w:p>
      <w:pPr>
        <w:pStyle w:val="011參考文獻"/>
        <w:ind w:left="420" w:hanging="420"/>
      </w:pPr>
      <w:r>
        <w:rPr>
          <w:rFonts w:ascii="Times New Roman" w:hAnsi="Times New Roman" w:eastAsia="Microsoft JhengHei"/>
          <w:sz w:val="21"/>
        </w:rPr>
        <w:t>廖興中（2024）。人工智慧在公共行政的機會與挑戰。文官制度，16（2），1–19。</w:t>
      </w:r>
    </w:p>
    <w:p>
      <w:pPr>
        <w:pStyle w:val="011參考文獻"/>
        <w:ind w:left="420" w:hanging="420"/>
      </w:pPr>
      <w:r>
        <w:rPr>
          <w:rFonts w:ascii="Times New Roman" w:hAnsi="Times New Roman" w:eastAsia="Microsoft JhengHei"/>
          <w:sz w:val="21"/>
        </w:rPr>
        <w:t>黃心怡、曾冠球、廖洲棚、陳敦源（2021）。當人工智慧進入政府：公共行政理論對 AI 運用的反思。文官制度，13（2），91–114。</w:t>
      </w:r>
    </w:p>
    <w:p>
      <w:pPr>
        <w:pStyle w:val="011參考文獻"/>
        <w:ind w:left="420" w:hanging="420"/>
      </w:pPr>
      <w:r>
        <w:rPr>
          <w:rFonts w:ascii="Times New Roman" w:hAnsi="Times New Roman" w:eastAsia="Microsoft JhengHei"/>
          <w:sz w:val="21"/>
        </w:rPr>
        <w:t>黃心怡、陳敦源（2023）。人工智慧協作下的公共行政研究：對公部門組織議題的多層次反思。政治科學論叢，96，139–178。https://doi.org/10.6166/TJPS.202306_(96).0004</w:t>
      </w:r>
    </w:p>
    <w:p>
      <w:pPr>
        <w:pStyle w:val="011英文文獻標題"/>
        <w:ind w:firstLine="0"/>
        <w:jc w:val="left"/>
      </w:pPr>
      <w:r>
        <w:rPr>
          <w:rFonts w:ascii="Times New Roman" w:hAnsi="Times New Roman" w:eastAsia="Microsoft JhengHei"/>
          <w:sz w:val="21"/>
        </w:rPr>
        <w:t>English references</w:t>
      </w:r>
    </w:p>
    <w:p>
      <w:pPr>
        <w:pStyle w:val="011參考文獻"/>
        <w:ind w:left="420" w:hanging="420"/>
      </w:pPr>
      <w:r>
        <w:rPr>
          <w:rFonts w:ascii="Times New Roman" w:hAnsi="Times New Roman" w:eastAsia="Microsoft JhengHei"/>
          <w:sz w:val="21"/>
        </w:rPr>
        <w:t>Alon-Barkat, S., &amp; Busuioc, M. (2023). Human–AI interactions in public sector decision making: Automation bias and selective adherence to algorithmic advice. Journal of Public Administration Research and Theory, 33(1), 153–169. https://doi.org/10.1093/jopart/muac007</w:t>
      </w:r>
    </w:p>
    <w:p>
      <w:pPr>
        <w:pStyle w:val="011參考文獻"/>
        <w:ind w:left="420" w:hanging="420"/>
      </w:pPr>
      <w:r>
        <w:rPr>
          <w:rFonts w:ascii="Times New Roman" w:hAnsi="Times New Roman" w:eastAsia="Microsoft JhengHei"/>
          <w:sz w:val="21"/>
        </w:rPr>
        <w:t>Alon-Barkat, S., Busuioc, M., Schwoerer, K., &amp; Weißmüller, K. S. (2025). Algorithmic discrimination in public service provision: Understanding citizens’ attribution of responsibility for human versus algorithmic discriminatory outcomes. Journal of Public Administration Research and Theory, 35(4), 469–488. https://doi.org/10.1093/jopart/muaf024</w:t>
      </w:r>
    </w:p>
    <w:p>
      <w:pPr>
        <w:pStyle w:val="011參考文獻"/>
        <w:ind w:left="420" w:hanging="420"/>
      </w:pPr>
      <w:r>
        <w:rPr>
          <w:rFonts w:ascii="Times New Roman" w:hAnsi="Times New Roman" w:eastAsia="Microsoft JhengHei"/>
          <w:sz w:val="21"/>
        </w:rPr>
        <w:t>Ananny, M., &amp; Crawford, K. (2018). Seeing without knowing: Limitations of the transparency ideal and its application to algorithmic accountability. New Media &amp; Society, 20(3), 973–989. https://doi.org/10.1177/1461444816676645</w:t>
      </w:r>
    </w:p>
    <w:p>
      <w:pPr>
        <w:pStyle w:val="011參考文獻"/>
        <w:ind w:left="420" w:hanging="420"/>
      </w:pPr>
      <w:r>
        <w:rPr>
          <w:rFonts w:ascii="Times New Roman" w:hAnsi="Times New Roman" w:eastAsia="Microsoft JhengHei"/>
          <w:sz w:val="21"/>
        </w:rPr>
        <w:t>Beer, D. (2017). The social power of algorithms. Information, Communication &amp; Society, 20(1), 1–13. https://doi.org/10.1080/1369118X.2016.1216147</w:t>
      </w:r>
    </w:p>
    <w:p>
      <w:pPr>
        <w:pStyle w:val="011參考文獻"/>
        <w:ind w:left="420" w:hanging="420"/>
      </w:pPr>
      <w:r>
        <w:rPr>
          <w:rFonts w:ascii="Times New Roman" w:hAnsi="Times New Roman" w:eastAsia="Microsoft JhengHei"/>
          <w:sz w:val="21"/>
        </w:rPr>
        <w:t>Cabinet Office, Government of Japan. (2021). The sixth science, technology, and innovation basic plan. https://www8.cao.go.jp/cstp/english/basic/6thbasicplan.pdf</w:t>
      </w:r>
    </w:p>
    <w:p>
      <w:pPr>
        <w:pStyle w:val="011參考文獻"/>
        <w:ind w:left="420" w:hanging="420"/>
      </w:pPr>
      <w:r>
        <w:rPr>
          <w:rFonts w:ascii="Times New Roman" w:hAnsi="Times New Roman" w:eastAsia="Microsoft JhengHei"/>
          <w:sz w:val="21"/>
        </w:rPr>
        <w:t>Cairney, P., &amp; Jones, M. D. (2016). Kingdon’s multiple streams approach: What is the empirical impact of this universal theory? Policy Studies Journal, 44(1), 37–58. https://doi.org/10.1111/psj.12111</w:t>
      </w:r>
    </w:p>
    <w:p>
      <w:pPr>
        <w:pStyle w:val="011參考文獻"/>
        <w:ind w:left="420" w:hanging="420"/>
      </w:pPr>
      <w:r>
        <w:rPr>
          <w:rFonts w:ascii="Times New Roman" w:hAnsi="Times New Roman" w:eastAsia="Microsoft JhengHei"/>
          <w:sz w:val="21"/>
        </w:rPr>
        <w:t>Centre for Strategic Futures. (2024). Foresight: A handbook for policy makers. Singapore Prime Minister’s Office.</w:t>
      </w:r>
    </w:p>
    <w:p>
      <w:pPr>
        <w:pStyle w:val="011參考文獻"/>
        <w:ind w:left="420" w:hanging="420"/>
      </w:pPr>
      <w:r>
        <w:rPr>
          <w:rFonts w:ascii="Times New Roman" w:hAnsi="Times New Roman" w:eastAsia="Microsoft JhengHei"/>
          <w:sz w:val="21"/>
        </w:rPr>
        <w:t>Cerna-Aragon, D., &amp; García, L. (2025). Making the eyes of the state: Algorithmic alienation and mundane creativity in Peruvian street-level bureaucrats. Policy Sciences, 58, 69–86. https://doi.org/10.1007/s11077-025-09570-z</w:t>
      </w:r>
    </w:p>
    <w:p>
      <w:pPr>
        <w:pStyle w:val="011參考文獻"/>
        <w:ind w:left="420" w:hanging="420"/>
      </w:pPr>
      <w:r>
        <w:rPr>
          <w:rFonts w:ascii="Times New Roman" w:hAnsi="Times New Roman" w:eastAsia="Microsoft JhengHei"/>
          <w:sz w:val="21"/>
        </w:rPr>
        <w:t>Cordella, A., &amp; Gualdi, F. (2025). Algorithmic formalization: Impacts on administrative processes. Public Administration, 103(2), 441–466. https://doi.org/10.1111/padm.13030</w:t>
      </w:r>
    </w:p>
    <w:p>
      <w:pPr>
        <w:pStyle w:val="011參考文獻"/>
        <w:ind w:left="420" w:hanging="420"/>
      </w:pPr>
      <w:r>
        <w:rPr>
          <w:rFonts w:ascii="Times New Roman" w:hAnsi="Times New Roman" w:eastAsia="Microsoft JhengHei"/>
          <w:sz w:val="21"/>
        </w:rPr>
        <w:t>DeLeo, R. A., Zohlnhöfer, R., &amp; Zahariadis, N. (2024). Multiple streams and policy ambiguity. Cambridge University Press. https://doi.org/10.1017/9781009192163</w:t>
      </w:r>
    </w:p>
    <w:p>
      <w:pPr>
        <w:pStyle w:val="011參考文獻"/>
        <w:ind w:left="420" w:hanging="420"/>
      </w:pPr>
      <w:r>
        <w:rPr>
          <w:rFonts w:ascii="Times New Roman" w:hAnsi="Times New Roman" w:eastAsia="Microsoft JhengHei"/>
          <w:sz w:val="21"/>
        </w:rPr>
        <w:t>Fishkin, J. S. (2018). Democracy when the people are thinking: Revitalizing our politics through public deliberation. Oxford University Press.</w:t>
      </w:r>
    </w:p>
    <w:p>
      <w:pPr>
        <w:pStyle w:val="011參考文獻"/>
        <w:ind w:left="420" w:hanging="420"/>
      </w:pPr>
      <w:r>
        <w:rPr>
          <w:rFonts w:ascii="Times New Roman" w:hAnsi="Times New Roman" w:eastAsia="Microsoft JhengHei"/>
          <w:sz w:val="21"/>
        </w:rPr>
        <w:t>Fuerth, L. S. (2009). Foresight and anticipatory governance. Foresight, 11(4), 14–32. https://doi.org/10.1108/14636680910982412</w:t>
      </w:r>
    </w:p>
    <w:p>
      <w:pPr>
        <w:pStyle w:val="011參考文獻"/>
        <w:ind w:left="420" w:hanging="420"/>
      </w:pPr>
      <w:r>
        <w:rPr>
          <w:rFonts w:ascii="Times New Roman" w:hAnsi="Times New Roman" w:eastAsia="Microsoft JhengHei"/>
          <w:sz w:val="21"/>
        </w:rPr>
        <w:t>Funtowicz, S. O., &amp; Ravetz, J. R. (1993). Science for the post-normal age. Futures, 25(7), 739–755. https://doi.org/10.1016/0016-3287(93)90022-L</w:t>
      </w:r>
    </w:p>
    <w:p>
      <w:pPr>
        <w:pStyle w:val="011參考文獻"/>
        <w:ind w:left="420" w:hanging="420"/>
      </w:pPr>
      <w:r>
        <w:rPr>
          <w:rFonts w:ascii="Times New Roman" w:hAnsi="Times New Roman" w:eastAsia="Microsoft JhengHei"/>
          <w:sz w:val="21"/>
        </w:rPr>
        <w:t>Grimmelikhuijsen, S. (2023). Explaining why the computer says no: Algorithmic transparency affects the perceived trustworthiness of automated decision-making. Public Administration Review, 83(2), 241–262.</w:t>
      </w:r>
    </w:p>
    <w:p>
      <w:pPr>
        <w:pStyle w:val="011參考文獻"/>
        <w:ind w:left="420" w:hanging="420"/>
      </w:pPr>
      <w:r>
        <w:rPr>
          <w:rFonts w:ascii="Times New Roman" w:hAnsi="Times New Roman" w:eastAsia="Microsoft JhengHei"/>
          <w:sz w:val="21"/>
        </w:rPr>
        <w:t>Hartmann, K., &amp; Wenzelburger, G. (2021). Uncertainty, risk and the use of algorithms in policy decisions: A case study on criminal justice in the USA. Policy Sciences, 54(2), 269–287. https://doi.org/10.1007/s11077-020-09414-y</w:t>
      </w:r>
    </w:p>
    <w:p>
      <w:pPr>
        <w:pStyle w:val="011參考文獻"/>
        <w:ind w:left="420" w:hanging="420"/>
      </w:pPr>
      <w:r>
        <w:rPr>
          <w:rFonts w:ascii="Times New Roman" w:hAnsi="Times New Roman" w:eastAsia="Microsoft JhengHei"/>
          <w:sz w:val="21"/>
        </w:rPr>
        <w:t>Herweg, N., Huß, C., &amp; Zohlnhöfer, R. (2015). Straightening the three streams: Theorizing extensions of the multiple streams framework. European Journal of Political Research, 54(3), 435–449. https://doi.org/10.1111/1475-6765.12089</w:t>
      </w:r>
    </w:p>
    <w:p>
      <w:pPr>
        <w:pStyle w:val="011參考文獻"/>
        <w:ind w:left="420" w:hanging="420"/>
      </w:pPr>
      <w:r>
        <w:rPr>
          <w:rFonts w:ascii="Times New Roman" w:hAnsi="Times New Roman" w:eastAsia="Microsoft JhengHei"/>
          <w:sz w:val="21"/>
        </w:rPr>
        <w:t>Jasanoff, S. (Ed.). (2004). States of knowledge: The co-production of science and the social order. Routledge.</w:t>
      </w:r>
    </w:p>
    <w:p>
      <w:pPr>
        <w:pStyle w:val="011參考文獻"/>
        <w:ind w:left="420" w:hanging="420"/>
      </w:pPr>
      <w:r>
        <w:rPr>
          <w:rFonts w:ascii="Times New Roman" w:hAnsi="Times New Roman" w:eastAsia="Microsoft JhengHei"/>
          <w:sz w:val="21"/>
        </w:rPr>
        <w:t>Just, N., &amp; Latzer, M. (2017). Governance by algorithms: Reality construction by algorithmic selection on the Internet. Media, Culture &amp; Society, 39(2), 238–258. https://doi.org/10.1177/0163443716643157</w:t>
      </w:r>
    </w:p>
    <w:p>
      <w:pPr>
        <w:pStyle w:val="011參考文獻"/>
        <w:ind w:left="420" w:hanging="420"/>
      </w:pPr>
      <w:r>
        <w:rPr>
          <w:rFonts w:ascii="Times New Roman" w:hAnsi="Times New Roman" w:eastAsia="Microsoft JhengHei"/>
          <w:sz w:val="21"/>
        </w:rPr>
        <w:t>Kingdon, J. W. (2011). Agendas, alternatives, and public policies (2nd ed.). Longman. (Original work published 1984)</w:t>
      </w:r>
    </w:p>
    <w:p>
      <w:pPr>
        <w:pStyle w:val="011參考文獻"/>
        <w:ind w:left="420" w:hanging="420"/>
      </w:pPr>
      <w:r>
        <w:rPr>
          <w:rFonts w:ascii="Times New Roman" w:hAnsi="Times New Roman" w:eastAsia="Microsoft JhengHei"/>
          <w:sz w:val="21"/>
        </w:rPr>
        <w:t>Kitchin, R. (2017). Thinking critically about and researching algorithms. Information, Communication &amp; Society, 20(1), 14–29. https://doi.org/10.1080/1369118X.2016.1154087</w:t>
      </w:r>
    </w:p>
    <w:p>
      <w:pPr>
        <w:pStyle w:val="011參考文獻"/>
        <w:ind w:left="420" w:hanging="420"/>
      </w:pPr>
      <w:r>
        <w:rPr>
          <w:rFonts w:ascii="Times New Roman" w:hAnsi="Times New Roman" w:eastAsia="Microsoft JhengHei"/>
          <w:sz w:val="21"/>
        </w:rPr>
        <w:t>Lemke, N., Trein, P., &amp; Varone, F. (2023). Agenda-setting in nascent policy subsystems: Issue and instrument priorities across venues. Policy Sciences, 56(4), 633–655. https://doi.org/10.1007/s11077-023-09514-5</w:t>
      </w:r>
    </w:p>
    <w:p>
      <w:pPr>
        <w:pStyle w:val="011參考文獻"/>
        <w:ind w:left="420" w:hanging="420"/>
      </w:pPr>
      <w:r>
        <w:rPr>
          <w:rFonts w:ascii="Times New Roman" w:hAnsi="Times New Roman" w:eastAsia="Microsoft JhengHei"/>
          <w:sz w:val="21"/>
        </w:rPr>
        <w:t>National Institute of Standards and Technology. (2023). Artificial intelligence risk management framework (AI RMF 1.0). U.S. Department of Commerce. https://doi.org/10.6028/NIST.AI.100-1</w:t>
      </w:r>
    </w:p>
    <w:p>
      <w:pPr>
        <w:pStyle w:val="011參考文獻"/>
        <w:ind w:left="420" w:hanging="420"/>
      </w:pPr>
      <w:r>
        <w:rPr>
          <w:rFonts w:ascii="Times New Roman" w:hAnsi="Times New Roman" w:eastAsia="Microsoft JhengHei"/>
          <w:sz w:val="21"/>
        </w:rPr>
        <w:t>National Intelligence Council. (2021). Global trends 2040: A more contested world. Office of the Director of National Intelligence. https://www.dni.gov/files/ODNI/documents/assessments/GlobalTrends_2040.pdf</w:t>
      </w:r>
    </w:p>
    <w:p>
      <w:pPr>
        <w:pStyle w:val="011參考文獻"/>
        <w:ind w:left="420" w:hanging="420"/>
      </w:pPr>
      <w:r>
        <w:rPr>
          <w:rFonts w:ascii="Times New Roman" w:hAnsi="Times New Roman" w:eastAsia="Microsoft JhengHei"/>
          <w:sz w:val="21"/>
        </w:rPr>
        <w:t>OECD. (2019). Strategic foresight for better policies: Building effective governance in the face of uncertain futures. OECD Publishing.</w:t>
      </w:r>
    </w:p>
    <w:p>
      <w:pPr>
        <w:pStyle w:val="011參考文獻"/>
        <w:ind w:left="420" w:hanging="420"/>
      </w:pPr>
      <w:r>
        <w:rPr>
          <w:rFonts w:ascii="Times New Roman" w:hAnsi="Times New Roman" w:eastAsia="Microsoft JhengHei"/>
          <w:sz w:val="21"/>
        </w:rPr>
        <w:t>OECD. (2020). Innovative citizen participation and new democratic institutions: Catching the deliberative wave. OECD Publishing. https://doi.org/10.1787/339306da-en</w:t>
      </w:r>
    </w:p>
    <w:p>
      <w:pPr>
        <w:pStyle w:val="011參考文獻"/>
        <w:ind w:left="420" w:hanging="420"/>
      </w:pPr>
      <w:r>
        <w:rPr>
          <w:rFonts w:ascii="Times New Roman" w:hAnsi="Times New Roman" w:eastAsia="Microsoft JhengHei"/>
          <w:sz w:val="21"/>
        </w:rPr>
        <w:t>Peeters, R. (2020). The agency of algorithms: Understanding human–algorithm interaction in administrative decision-making. Information Polity, 25(2), 205–220. https://doi.org/10.3233/IP-190151</w:t>
      </w:r>
    </w:p>
    <w:p>
      <w:pPr>
        <w:pStyle w:val="011參考文獻"/>
        <w:ind w:left="420" w:hanging="420"/>
      </w:pPr>
      <w:r>
        <w:rPr>
          <w:rFonts w:ascii="Times New Roman" w:hAnsi="Times New Roman" w:eastAsia="Microsoft JhengHei"/>
          <w:sz w:val="21"/>
        </w:rPr>
        <w:t>Wenzelburger, G., König, P. D., Felfeli, J., &amp; Achtziger, A. (2024). Algorithms in the public sector: Why context matters. Public Administration, 102(1), 40–60. https://doi.org/10.1111/padm.12901</w:t>
      </w:r>
    </w:p>
    <w:p>
      <w:pPr>
        <w:pStyle w:val="011參考文獻"/>
        <w:ind w:left="420" w:hanging="420"/>
      </w:pPr>
      <w:r>
        <w:rPr>
          <w:rFonts w:ascii="Times New Roman" w:hAnsi="Times New Roman" w:eastAsia="Microsoft JhengHei"/>
          <w:sz w:val="21"/>
        </w:rPr>
        <w:t>Yeung, K. (2018). Algorithmic regulation: A critical interrogation. Regulation &amp; Governance, 12(4), 505–523. https://doi.org/10.1111/rego.12158</w:t>
      </w:r>
    </w:p>
    <w:sectPr>
      <w:pgSz w:w="11906" w:h="16838"/>
      <w:pgMar w:top="1440" w:right="1440" w:bottom="1440" w:left="1440" w:header="720" w:footer="720" w:gutter="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icrosoft JhengHei" w:cs="Microsoft JhengHei" w:eastAsia="Microsoft JhengHei" w:hAnsi="Microsoft JhengHe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customStyle="1" w:styleId="011正文">
    <w:name w:val="011正文"/>
    <w:pPr>
      <w:spacing w:line="372" w:lineRule="auto" w:after="140"/>
      <w:ind w:firstLine="420"/>
      <w:jc w:val="both"/>
    </w:pPr>
    <w:rPr>
      <w:rFonts w:ascii="Times New Roman" w:hAnsi="Times New Roman" w:eastAsia="Microsoft JhengHei"/>
      <w:sz w:val="24"/>
    </w:rPr>
  </w:style>
  <w:style w:type="paragraph" w:customStyle="1" w:styleId="011章標題">
    <w:name w:val="011章標題"/>
    <w:pPr>
      <w:keepNext/>
      <w:spacing w:before="360" w:after="200"/>
    </w:pPr>
    <w:rPr>
      <w:rFonts w:ascii="Times New Roman" w:hAnsi="Times New Roman" w:eastAsia="Microsoft JhengHei"/>
      <w:b/>
      <w:sz w:val="32"/>
    </w:rPr>
  </w:style>
  <w:style w:type="paragraph" w:customStyle="1" w:styleId="011節標題">
    <w:name w:val="011節標題"/>
    <w:pPr>
      <w:keepNext/>
      <w:spacing w:before="280" w:after="140"/>
    </w:pPr>
    <w:rPr>
      <w:rFonts w:ascii="Times New Roman" w:hAnsi="Times New Roman" w:eastAsia="Microsoft JhengHei"/>
      <w:b/>
      <w:sz w:val="28"/>
    </w:rPr>
  </w:style>
  <w:style w:type="paragraph" w:customStyle="1" w:styleId="011小節標題">
    <w:name w:val="011小節標題"/>
    <w:pPr>
      <w:keepNext/>
      <w:spacing w:before="200" w:after="100"/>
    </w:pPr>
    <w:rPr>
      <w:rFonts w:ascii="Times New Roman" w:hAnsi="Times New Roman" w:eastAsia="Microsoft JhengHei"/>
      <w:b/>
      <w:sz w:val="24"/>
    </w:rPr>
  </w:style>
  <w:style w:type="paragraph" w:customStyle="1" w:styleId="011圖說">
    <w:name w:val="011圖說"/>
    <w:pPr>
      <w:keepNext/>
      <w:spacing w:before="80" w:after="200"/>
      <w:jc w:val="center"/>
    </w:pPr>
    <w:rPr>
      <w:rFonts w:ascii="Times New Roman" w:hAnsi="Times New Roman" w:eastAsia="Microsoft JhengHei"/>
      <w:sz w:val="21"/>
    </w:rPr>
  </w:style>
  <w:style w:type="paragraph" w:customStyle="1" w:styleId="011參考文獻">
    <w:name w:val="011參考文獻"/>
    <w:pPr>
      <w:spacing w:line="300" w:lineRule="auto" w:after="80"/>
      <w:ind w:left="420" w:hanging="420"/>
    </w:pPr>
    <w:rPr>
      <w:rFonts w:ascii="Times New Roman" w:hAnsi="Times New Roman" w:eastAsia="Microsoft JhengHei"/>
      <w:sz w:val="21"/>
    </w:rPr>
  </w:style>
  <w:style w:type="paragraph" w:customStyle="1" w:styleId="011參考文獻標題">
    <w:name w:val="011參考文獻標題"/>
    <w:pPr>
      <w:keepNext/>
      <w:spacing w:before="280" w:after="140"/>
    </w:pPr>
    <w:rPr>
      <w:rFonts w:ascii="Times New Roman" w:hAnsi="Times New Roman" w:eastAsia="Microsoft JhengHei"/>
      <w:b/>
      <w:sz w:val="28"/>
    </w:rPr>
  </w:style>
  <w:style w:type="paragraph" w:customStyle="1" w:styleId="011中文文獻標題">
    <w:name w:val="011中文文獻標題"/>
    <w:pPr>
      <w:keepNext/>
      <w:spacing w:before="280" w:after="140"/>
    </w:pPr>
    <w:rPr>
      <w:rFonts w:ascii="Times New Roman" w:hAnsi="Times New Roman" w:eastAsia="Microsoft JhengHei"/>
      <w:b/>
      <w:sz w:val="24"/>
    </w:rPr>
  </w:style>
  <w:style w:type="paragraph" w:customStyle="1" w:styleId="011英文文獻標題">
    <w:name w:val="011英文文獻標題"/>
    <w:pPr>
      <w:keepNext/>
      <w:spacing w:before="280" w:after="140"/>
    </w:pPr>
    <w:rPr>
      <w:rFonts w:ascii="Times New Roman" w:hAnsi="Times New Roman" w:eastAsia="Microsoft JhengHei"/>
      <w:b/>
      <w:sz w:val="24"/>
    </w:rPr>
  </w:style>
  <w:style w:type="paragraph" w:customStyle="1" w:styleId="011主標題">
    <w:name w:val="011主標題"/>
    <w:pPr>
      <w:spacing w:after="200"/>
      <w:jc w:val="center"/>
    </w:pPr>
    <w:rPr>
      <w:rFonts w:ascii="Times New Roman" w:hAnsi="Times New Roman" w:eastAsia="Microsoft JhengHei"/>
      <w:b/>
      <w:sz w:val="38"/>
    </w:rPr>
  </w:style>
  <w:style w:type="paragraph" w:customStyle="1" w:styleId="011英文標題">
    <w:name w:val="011英文標題"/>
    <w:pPr>
      <w:spacing w:after="160"/>
      <w:jc w:val="center"/>
    </w:pPr>
    <w:rPr>
      <w:rFonts w:ascii="Times New Roman" w:hAnsi="Times New Roman" w:eastAsia="Microsoft JhengHei"/>
      <w:i/>
      <w:sz w:val="24"/>
    </w:rPr>
  </w:style>
  <w:style w:type="paragraph" w:customStyle="1" w:styleId="011系列標示">
    <w:name w:val="011系列標示"/>
    <w:pPr>
      <w:spacing w:after="320"/>
      <w:jc w:val="center"/>
    </w:pPr>
    <w:rPr>
      <w:rFonts w:ascii="Times New Roman" w:hAnsi="Times New Roman" w:eastAsia="Microsoft JhengHei"/>
      <w:sz w:val="22"/>
    </w:rPr>
  </w:style>
  <w:style w:type="paragraph" w:customStyle="1" w:styleId="011摘要標題">
    <w:name w:val="011摘要標題"/>
    <w:pPr>
      <w:spacing w:after="160"/>
      <w:jc w:val="center"/>
    </w:pPr>
    <w:rPr>
      <w:rFonts w:ascii="Times New Roman" w:hAnsi="Times New Roman" w:eastAsia="Microsoft JhengHei"/>
      <w:b/>
      <w:sz w:val="2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 Id="rId8" Type="http://schemas.openxmlformats.org/officeDocument/2006/relationships/image" Target="media/image1.png"/><Relationship Id="rId9" Type="http://schemas.openxmlformats.org/officeDocument/2006/relationships/image" Target="media/image2.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2026-08-08T08:35:21.428Z</dcterms:created>
  <dcterms:modified xsi:type="dcterms:W3CDTF">2026-08-08T08:35:21.443Z</dcterms:modified>
</cp:coreProperties>
</file>

<file path=docProps/custom.xml><?xml version="1.0" encoding="utf-8"?>
<Properties xmlns="http://schemas.openxmlformats.org/officeDocument/2006/custom-properties" xmlns:vt="http://schemas.openxmlformats.org/officeDocument/2006/docPropsVTypes"/>
</file>