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66BB" w:rsidRPr="00CF12C3" w:rsidRDefault="00FB0C44">
      <w:pPr>
        <w:pStyle w:val="FirstParagraph"/>
        <w:rPr>
          <w:rFonts w:asciiTheme="minorEastAsia" w:hAnsiTheme="minorEastAsia"/>
          <w:color w:val="000000" w:themeColor="text1"/>
          <w:lang w:eastAsia="zh-TW"/>
        </w:rPr>
      </w:pPr>
      <w:r w:rsidRPr="00CF12C3">
        <w:rPr>
          <w:rFonts w:asciiTheme="minorEastAsia" w:hAnsiTheme="minorEastAsia"/>
          <w:b/>
          <w:bCs/>
          <w:color w:val="000000" w:themeColor="text1"/>
          <w:lang w:eastAsia="zh-TW"/>
        </w:rPr>
        <w:t>AI</w:t>
      </w:r>
      <w:r w:rsidRPr="00CF12C3">
        <w:rPr>
          <w:rFonts w:asciiTheme="minorEastAsia" w:hAnsiTheme="minorEastAsia"/>
          <w:b/>
          <w:bCs/>
          <w:color w:val="000000" w:themeColor="text1"/>
          <w:lang w:eastAsia="zh-TW"/>
        </w:rPr>
        <w:t>治理下公共行政教育的知識落差與能力重構：以五項議題範圍與</w:t>
      </w:r>
      <w:r w:rsidRPr="00CF12C3">
        <w:rPr>
          <w:rFonts w:asciiTheme="minorEastAsia" w:hAnsiTheme="minorEastAsia"/>
          <w:b/>
          <w:bCs/>
          <w:color w:val="000000" w:themeColor="text1"/>
          <w:lang w:eastAsia="zh-TW"/>
        </w:rPr>
        <w:t>5×5</w:t>
      </w:r>
      <w:r w:rsidRPr="00CF12C3">
        <w:rPr>
          <w:rFonts w:asciiTheme="minorEastAsia" w:hAnsiTheme="minorEastAsia"/>
          <w:b/>
          <w:bCs/>
          <w:color w:val="000000" w:themeColor="text1"/>
          <w:lang w:eastAsia="zh-TW"/>
        </w:rPr>
        <w:t>知識座標為分析架構</w:t>
      </w:r>
    </w:p>
    <w:p w:rsidR="00A266BB" w:rsidRPr="00CF12C3" w:rsidRDefault="00FB0C44">
      <w:pPr>
        <w:pStyle w:val="a0"/>
        <w:spacing w:line="360" w:lineRule="auto"/>
        <w:ind w:firstLine="431"/>
        <w:rPr>
          <w:rFonts w:asciiTheme="minorEastAsia" w:hAnsiTheme="minorEastAsia"/>
          <w:color w:val="000000" w:themeColor="text1"/>
        </w:rPr>
      </w:pPr>
      <w:r w:rsidRPr="00CF12C3">
        <w:rPr>
          <w:rFonts w:asciiTheme="minorEastAsia" w:hAnsiTheme="minorEastAsia"/>
          <w:color w:val="000000" w:themeColor="text1"/>
        </w:rPr>
        <w:t>Knowledge Gaps and Capability Reconstruction in Public Administration Education under AI Governance: Five Issue Domains and a 5×5 Knowledge-Coordinate Framework</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文稿類型：研究論文（</w:t>
      </w:r>
      <w:r w:rsidRPr="00CF12C3">
        <w:rPr>
          <w:rFonts w:asciiTheme="minorEastAsia" w:hAnsiTheme="minorEastAsia"/>
          <w:color w:val="000000" w:themeColor="text1"/>
          <w:lang w:eastAsia="zh-TW"/>
        </w:rPr>
        <w:t>Research Article</w:t>
      </w:r>
      <w:r w:rsidRPr="00CF12C3">
        <w:rPr>
          <w:rFonts w:asciiTheme="minorEastAsia" w:hAnsiTheme="minorEastAsia"/>
          <w:color w:val="000000" w:themeColor="text1"/>
          <w:lang w:eastAsia="zh-TW"/>
        </w:rPr>
        <w:t>）</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作者姓名：〔請填寫〕</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服務機關與職稱：〔請填寫〕</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通訊地址：〔請填寫〕</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聯絡電話：〔請填寫〕</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電子郵件：〔請填寫〕</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治理下公共行政教育的知識落差與能力重構：以五項議題範圍與</w:t>
      </w:r>
      <w:r w:rsidRPr="00CF12C3">
        <w:rPr>
          <w:rFonts w:asciiTheme="minorEastAsia" w:hAnsiTheme="minorEastAsia"/>
          <w:color w:val="000000" w:themeColor="text1"/>
          <w:lang w:eastAsia="zh-TW"/>
        </w:rPr>
        <w:t>5×5</w:t>
      </w:r>
      <w:r w:rsidRPr="00CF12C3">
        <w:rPr>
          <w:rFonts w:asciiTheme="minorEastAsia" w:hAnsiTheme="minorEastAsia"/>
          <w:color w:val="000000" w:themeColor="text1"/>
          <w:lang w:eastAsia="zh-TW"/>
        </w:rPr>
        <w:t>知識座標為分析架構</w:t>
      </w:r>
    </w:p>
    <w:p w:rsidR="00A266BB" w:rsidRPr="00CF12C3" w:rsidRDefault="00FB0C44">
      <w:pPr>
        <w:pStyle w:val="1"/>
        <w:rPr>
          <w:rFonts w:asciiTheme="minorEastAsia" w:eastAsiaTheme="minorEastAsia" w:hAnsiTheme="minorEastAsia"/>
          <w:color w:val="000000" w:themeColor="text1"/>
          <w:lang w:eastAsia="zh-TW"/>
        </w:rPr>
      </w:pPr>
      <w:bookmarkStart w:id="0" w:name="摘要"/>
      <w:r w:rsidRPr="00CF12C3">
        <w:rPr>
          <w:rFonts w:asciiTheme="minorEastAsia" w:eastAsiaTheme="minorEastAsia" w:hAnsiTheme="minorEastAsia"/>
          <w:color w:val="000000" w:themeColor="text1"/>
          <w:lang w:eastAsia="zh-TW"/>
        </w:rPr>
        <w:t>摘要</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t>如果政府服務逐漸移至虛擬空間，行政決定不再全由第一線公務人員作成，福利資格、司法風險、預算配置與公共給付又由演算法形成建議甚至結果，公共行政教育面對的問題便不再是是否增設AI工具課，而是既有知識能否辨識並處理新型政府活動。本文將AI治理視為既定條件，以「二十五治理座標—三種行政權力功能性移轉—三項結構效應—四條治理鏈—七項治理審計」共同母架構，分析虛擬政府、無人政府／無人行政、AI行政裁量、AI司法與準司法判斷，以及AI財政、信用點數與可程式化給付五項議題範圍，辨識公共行政教育之變與不變。分析依辨識、討論、辯證、印證與建議五階段展開：先以25座標定位議題，再以情境建構與事實認定、行政裁量與價值判斷、公權力決定之實質影響力三種功能性移轉，解釋跨座標移動、邊界消解與權威重構如何發生；四條治理鏈與七項治理審計則作為課程應能理解的治理內容，而不另行建立治理量表。研究顯示，五項議題均由單一技術或管理格位向政策、制度及其他分析單位移動；就本文所檢視之課程與訓練文件而言，AI內容已進入正式結構，但現有證據較能證明明示涵蓋與工具應用，跨層次整合及真實問題應用轉移仍顯不足。公共行政教育改革因此不是以技術取代行政學，而是保留知識骨架，重組課程內容、跨域連結與應用教學。</w:t>
      </w:r>
    </w:p>
    <w:p w:rsidR="00A266BB" w:rsidRPr="00CF12C3" w:rsidRDefault="00FB0C44">
      <w:pPr>
        <w:pStyle w:val="a0"/>
        <w:rPr>
          <w:rFonts w:asciiTheme="minorEastAsia" w:hAnsiTheme="minorEastAsia"/>
          <w:color w:val="000000" w:themeColor="text1"/>
          <w:lang w:eastAsia="zh-TW"/>
        </w:rPr>
      </w:pPr>
      <w:r w:rsidRPr="00CF12C3">
        <w:rPr>
          <w:rFonts w:asciiTheme="minorEastAsia" w:hAnsiTheme="minorEastAsia"/>
          <w:color w:val="000000" w:themeColor="text1"/>
          <w:lang w:eastAsia="zh-TW"/>
        </w:rPr>
        <w:t>關鍵詞：</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治理、公共行政教育、知識座標、跨域教育、能力重構</w:t>
      </w:r>
    </w:p>
    <w:p w:rsidR="00A266BB" w:rsidRPr="00CF12C3" w:rsidRDefault="00FB0C44">
      <w:pPr>
        <w:pStyle w:val="1"/>
        <w:rPr>
          <w:rFonts w:asciiTheme="minorEastAsia" w:eastAsiaTheme="minorEastAsia" w:hAnsiTheme="minorEastAsia"/>
          <w:color w:val="000000" w:themeColor="text1"/>
          <w:lang w:eastAsia="zh-TW"/>
        </w:rPr>
      </w:pPr>
      <w:bookmarkStart w:id="1" w:name="壹問題辨識ai治理條件下公共行政教育的知識問題"/>
      <w:bookmarkEnd w:id="0"/>
      <w:r w:rsidRPr="00CF12C3">
        <w:rPr>
          <w:rFonts w:asciiTheme="minorEastAsia" w:eastAsiaTheme="minorEastAsia" w:hAnsiTheme="minorEastAsia"/>
          <w:color w:val="000000" w:themeColor="text1"/>
          <w:lang w:eastAsia="zh-TW"/>
        </w:rPr>
        <w:t>壹、問題辨識：</w:t>
      </w:r>
      <w:r w:rsidRPr="00CF12C3">
        <w:rPr>
          <w:rFonts w:asciiTheme="minorEastAsia" w:eastAsiaTheme="minorEastAsia" w:hAnsiTheme="minorEastAsia"/>
          <w:color w:val="000000" w:themeColor="text1"/>
          <w:lang w:eastAsia="zh-TW"/>
        </w:rPr>
        <w:t>AI</w:t>
      </w:r>
      <w:r w:rsidRPr="00CF12C3">
        <w:rPr>
          <w:rFonts w:asciiTheme="minorEastAsia" w:eastAsiaTheme="minorEastAsia" w:hAnsiTheme="minorEastAsia"/>
          <w:color w:val="000000" w:themeColor="text1"/>
          <w:lang w:eastAsia="zh-TW"/>
        </w:rPr>
        <w:t>治理條件下公共行政教育的知識問題</w:t>
      </w:r>
    </w:p>
    <w:p w:rsidR="00A266BB" w:rsidRPr="00CF12C3" w:rsidRDefault="00FB0C44">
      <w:pPr>
        <w:pStyle w:val="2"/>
        <w:rPr>
          <w:rFonts w:asciiTheme="minorEastAsia" w:eastAsiaTheme="minorEastAsia" w:hAnsiTheme="minorEastAsia"/>
          <w:color w:val="000000" w:themeColor="text1"/>
          <w:lang w:eastAsia="zh-TW"/>
        </w:rPr>
      </w:pPr>
      <w:bookmarkStart w:id="2" w:name="一問題不是是否使用ai而是誰能形成具有公共拘束力的判斷"/>
      <w:r w:rsidRPr="00CF12C3">
        <w:rPr>
          <w:rFonts w:asciiTheme="minorEastAsia" w:eastAsiaTheme="minorEastAsia" w:hAnsiTheme="minorEastAsia"/>
          <w:color w:val="000000" w:themeColor="text1"/>
          <w:lang w:eastAsia="zh-TW"/>
        </w:rPr>
        <w:t>一、問題不是是否使用</w:t>
      </w:r>
      <w:r w:rsidRPr="00CF12C3">
        <w:rPr>
          <w:rFonts w:asciiTheme="minorEastAsia" w:eastAsiaTheme="minorEastAsia" w:hAnsiTheme="minorEastAsia"/>
          <w:color w:val="000000" w:themeColor="text1"/>
          <w:lang w:eastAsia="zh-TW"/>
        </w:rPr>
        <w:t>AI</w:t>
      </w:r>
      <w:r w:rsidRPr="00CF12C3">
        <w:rPr>
          <w:rFonts w:asciiTheme="minorEastAsia" w:eastAsiaTheme="minorEastAsia" w:hAnsiTheme="minorEastAsia"/>
          <w:color w:val="000000" w:themeColor="text1"/>
          <w:lang w:eastAsia="zh-TW"/>
        </w:rPr>
        <w:t>，而是誰能形成具有公共拘束力的判斷</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公共行政長期處理政府應做什麼、由誰決定、依何種程序執行，以及如何向公民說明與負責；資訊科技則擅長把問</w:t>
      </w:r>
      <w:r w:rsidRPr="00CF12C3">
        <w:rPr>
          <w:rFonts w:asciiTheme="minorEastAsia" w:hAnsiTheme="minorEastAsia"/>
          <w:color w:val="000000" w:themeColor="text1"/>
          <w:lang w:eastAsia="zh-TW"/>
        </w:rPr>
        <w:t>題形式化、處理大量資料、建立模型並穩定執行。兩者在數位政府階段可以維持相對清楚的分工：行政體系決定目的與規則，資訊系統協助完成流程。然而，當</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開始生成政策選項、預測個人風險、排列資源優先順序、草擬行政理由，甚至在無人流程中直接觸發結果時，技術設計便不再只是執行已決定的規則，而可能參與問題界定、裁量與理由形成。</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這種變動使傳統分工出現兩項相反風險。一方面，公共行政可能因不理解資料、模型與自動化系統，而把實際治理權限交給技術人員、供應商或平台；另一方面，資訊科技可能因能夠計算與預測，而被誤認為也能決定公共目的</w:t>
      </w:r>
      <w:r w:rsidRPr="00CF12C3">
        <w:rPr>
          <w:rFonts w:asciiTheme="minorEastAsia" w:hAnsiTheme="minorEastAsia"/>
          <w:color w:val="000000" w:themeColor="text1"/>
          <w:lang w:eastAsia="zh-TW"/>
        </w:rPr>
        <w:t>、價值取捨及個案應受何種對待。問題因此不是哪一領域取代另一領域，而是兩種知識在何處相容、何處不可互換，以及政府必須建立何種共同能力與授權邊界。</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本文所稱的知識落差，不是公共行政學界與資訊科技界完全沒有接觸，而是兩者雖已共同關注數位政府、演算法治理與公共部門</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尚未形成對等、持續且可轉化為公共行政教育的知識對話。公共行政較熟悉制度、政策、組織、裁量與課責；資訊科技則掌握資料、模型、程式、系統架構與版本演進。問題因而表現在學術知識、技術轉譯、教學更新及資訊交付與可查核性四個層次。</w:t>
      </w:r>
    </w:p>
    <w:p w:rsidR="00A266BB" w:rsidRPr="00CF12C3" w:rsidRDefault="00FB0C44">
      <w:pPr>
        <w:pStyle w:val="a0"/>
        <w:rPr>
          <w:rFonts w:asciiTheme="minorEastAsia" w:hAnsiTheme="minorEastAsia"/>
          <w:color w:val="000000" w:themeColor="text1"/>
          <w:lang w:eastAsia="zh-TW"/>
        </w:rPr>
      </w:pPr>
      <w:r w:rsidRPr="00CF12C3">
        <w:rPr>
          <w:rFonts w:asciiTheme="minorEastAsia" w:hAnsiTheme="minorEastAsia"/>
          <w:color w:val="000000" w:themeColor="text1"/>
          <w:lang w:eastAsia="zh-TW"/>
        </w:rPr>
        <w:lastRenderedPageBreak/>
        <w:t>表</w:t>
      </w:r>
      <w:r w:rsidRPr="00CF12C3">
        <w:rPr>
          <w:rFonts w:asciiTheme="minorEastAsia" w:hAnsiTheme="minorEastAsia"/>
          <w:color w:val="000000" w:themeColor="text1"/>
          <w:lang w:eastAsia="zh-TW"/>
        </w:rPr>
        <w:t>1</w:t>
      </w:r>
      <w:r w:rsidRPr="00CF12C3">
        <w:rPr>
          <w:rFonts w:asciiTheme="minorEastAsia" w:hAnsiTheme="minorEastAsia"/>
          <w:color w:val="000000" w:themeColor="text1"/>
          <w:lang w:eastAsia="zh-TW"/>
        </w:rPr>
        <w:t>將四層問題與其文獻或制度</w:t>
      </w:r>
      <w:r w:rsidRPr="00CF12C3">
        <w:rPr>
          <w:rFonts w:asciiTheme="minorEastAsia" w:hAnsiTheme="minorEastAsia"/>
          <w:color w:val="000000" w:themeColor="text1"/>
          <w:lang w:eastAsia="zh-TW"/>
        </w:rPr>
        <w:t>來源連結。這些來源不是用來證明公共行政學者普遍不懂</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，而是印證</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治理需要跨專業能力、持續更新及技術文件，而現有公共行政教育尚須檢查這些要求是否已轉化為課程與訓練。最後一欄以當前技術或政府工作情境舉例，說明抽象問題如何進入教學。</w:t>
      </w:r>
    </w:p>
    <w:p w:rsidR="00A266BB" w:rsidRPr="00CF12C3" w:rsidRDefault="00FB0C44">
      <w:pPr>
        <w:pStyle w:val="a0"/>
        <w:rPr>
          <w:rFonts w:asciiTheme="minorEastAsia" w:hAnsiTheme="minorEastAsia"/>
          <w:color w:val="000000" w:themeColor="text1"/>
          <w:lang w:eastAsia="zh-TW"/>
        </w:rPr>
      </w:pPr>
      <w:r w:rsidRPr="00CF12C3">
        <w:rPr>
          <w:rFonts w:asciiTheme="minorEastAsia" w:hAnsiTheme="minorEastAsia"/>
          <w:color w:val="000000" w:themeColor="text1"/>
          <w:lang w:eastAsia="zh-TW"/>
        </w:rPr>
        <w:t>表</w:t>
      </w:r>
      <w:r w:rsidRPr="00CF12C3">
        <w:rPr>
          <w:rFonts w:asciiTheme="minorEastAsia" w:hAnsiTheme="minorEastAsia"/>
          <w:color w:val="000000" w:themeColor="text1"/>
          <w:lang w:eastAsia="zh-TW"/>
        </w:rPr>
        <w:t>1</w:t>
      </w:r>
      <w:r w:rsidRPr="00CF12C3">
        <w:rPr>
          <w:rFonts w:asciiTheme="minorEastAsia" w:hAnsiTheme="minorEastAsia"/>
          <w:color w:val="000000" w:themeColor="text1"/>
          <w:lang w:eastAsia="zh-TW"/>
        </w:rPr>
        <w:t xml:space="preserve">　公共行政教育面對</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治理的四層問題、來源與舉例</w:t>
      </w:r>
    </w:p>
    <w:tbl>
      <w:tblPr>
        <w:tblStyle w:val="Table"/>
        <w:tblW w:w="8800" w:type="dxa"/>
        <w:jc w:val="center"/>
        <w:tblBorders>
          <w:top w:val="single" w:sz="5" w:space="0" w:color="7F7F7F"/>
          <w:left w:val="single" w:sz="5" w:space="0" w:color="7F7F7F"/>
          <w:bottom w:val="single" w:sz="5" w:space="0" w:color="7F7F7F"/>
          <w:right w:val="single" w:sz="5" w:space="0" w:color="7F7F7F"/>
          <w:insideH w:val="single" w:sz="5" w:space="0" w:color="7F7F7F"/>
          <w:insideV w:val="single" w:sz="5" w:space="0" w:color="7F7F7F"/>
        </w:tblBorders>
        <w:tblLayout w:type="fixed"/>
        <w:tblLook w:val="0020" w:firstRow="1" w:lastRow="0" w:firstColumn="0" w:lastColumn="0" w:noHBand="0" w:noVBand="0"/>
      </w:tblPr>
      <w:tblGrid>
        <w:gridCol w:w="700"/>
        <w:gridCol w:w="2100"/>
        <w:gridCol w:w="2700"/>
        <w:gridCol w:w="3300"/>
      </w:tblGrid>
      <w:tr w:rsidR="00CF12C3" w:rsidRPr="00CF12C3" w:rsidTr="00A266BB">
        <w:trPr>
          <w:cnfStyle w:val="100000000000" w:firstRow="1" w:lastRow="0" w:firstColumn="0" w:lastColumn="0" w:oddVBand="0" w:evenVBand="0" w:oddHBand="0" w:evenHBand="0" w:firstRowFirstColumn="0" w:firstRowLastColumn="0" w:lastRowFirstColumn="0" w:lastRowLastColumn="0"/>
          <w:tblHeader/>
          <w:jc w:val="center"/>
        </w:trPr>
        <w:tc>
          <w:tcPr>
            <w:tcW w:w="700" w:type="dxa"/>
            <w:shd w:val="clear" w:color="auto" w:fill="D9E2F3"/>
            <w:tcMar>
              <w:top w:w="80" w:type="dxa"/>
              <w:left w:w="90" w:type="dxa"/>
              <w:bottom w:w="80" w:type="dxa"/>
              <w:right w:w="90" w:type="dxa"/>
            </w:tcMar>
            <w:vAlign w:val="center"/>
          </w:tcPr>
          <w:p w:rsidR="00A266BB" w:rsidRPr="00CF12C3" w:rsidRDefault="00FB0C44">
            <w:pPr>
              <w:pStyle w:val="Compact"/>
              <w:spacing w:after="40" w:line="276" w:lineRule="auto"/>
              <w:jc w:val="center"/>
              <w:rPr>
                <w:rFonts w:asciiTheme="minorEastAsia" w:hAnsiTheme="minorEastAsia"/>
                <w:color w:val="000000" w:themeColor="text1"/>
              </w:rPr>
            </w:pPr>
            <w:r w:rsidRPr="00CF12C3">
              <w:rPr>
                <w:rFonts w:asciiTheme="minorEastAsia" w:hAnsiTheme="minorEastAsia"/>
                <w:b/>
                <w:color w:val="000000" w:themeColor="text1"/>
                <w:sz w:val="17"/>
              </w:rPr>
              <w:t>問題層次</w:t>
            </w:r>
          </w:p>
        </w:tc>
        <w:tc>
          <w:tcPr>
            <w:tcW w:w="2100" w:type="dxa"/>
            <w:shd w:val="clear" w:color="auto" w:fill="D9E2F3"/>
            <w:tcMar>
              <w:top w:w="80" w:type="dxa"/>
              <w:left w:w="90" w:type="dxa"/>
              <w:bottom w:w="80" w:type="dxa"/>
              <w:right w:w="90" w:type="dxa"/>
            </w:tcMar>
            <w:vAlign w:val="center"/>
          </w:tcPr>
          <w:p w:rsidR="00A266BB" w:rsidRPr="00CF12C3" w:rsidRDefault="00FB0C44">
            <w:pPr>
              <w:pStyle w:val="Compact"/>
              <w:spacing w:after="40" w:line="276" w:lineRule="auto"/>
              <w:jc w:val="center"/>
              <w:rPr>
                <w:rFonts w:asciiTheme="minorEastAsia" w:hAnsiTheme="minorEastAsia"/>
                <w:color w:val="000000" w:themeColor="text1"/>
              </w:rPr>
            </w:pPr>
            <w:r w:rsidRPr="00CF12C3">
              <w:rPr>
                <w:rFonts w:asciiTheme="minorEastAsia" w:hAnsiTheme="minorEastAsia"/>
                <w:b/>
                <w:color w:val="000000" w:themeColor="text1"/>
                <w:sz w:val="17"/>
              </w:rPr>
              <w:t>問題辨識</w:t>
            </w:r>
          </w:p>
        </w:tc>
        <w:tc>
          <w:tcPr>
            <w:tcW w:w="2700" w:type="dxa"/>
            <w:shd w:val="clear" w:color="auto" w:fill="D9E2F3"/>
            <w:tcMar>
              <w:top w:w="80" w:type="dxa"/>
              <w:left w:w="90" w:type="dxa"/>
              <w:bottom w:w="80" w:type="dxa"/>
              <w:right w:w="90" w:type="dxa"/>
            </w:tcMar>
            <w:vAlign w:val="center"/>
          </w:tcPr>
          <w:p w:rsidR="00A266BB" w:rsidRPr="00CF12C3" w:rsidRDefault="00FB0C44">
            <w:pPr>
              <w:pStyle w:val="Compact"/>
              <w:spacing w:after="40" w:line="276" w:lineRule="auto"/>
              <w:jc w:val="center"/>
              <w:rPr>
                <w:rFonts w:asciiTheme="minorEastAsia" w:hAnsiTheme="minorEastAsia"/>
                <w:color w:val="000000" w:themeColor="text1"/>
              </w:rPr>
            </w:pPr>
            <w:r w:rsidRPr="00CF12C3">
              <w:rPr>
                <w:rFonts w:asciiTheme="minorEastAsia" w:hAnsiTheme="minorEastAsia"/>
                <w:b/>
                <w:color w:val="000000" w:themeColor="text1"/>
                <w:sz w:val="17"/>
              </w:rPr>
              <w:t>問題來源與印證依據</w:t>
            </w:r>
          </w:p>
        </w:tc>
        <w:tc>
          <w:tcPr>
            <w:tcW w:w="3300" w:type="dxa"/>
            <w:shd w:val="clear" w:color="auto" w:fill="D9E2F3"/>
            <w:tcMar>
              <w:top w:w="80" w:type="dxa"/>
              <w:left w:w="90" w:type="dxa"/>
              <w:bottom w:w="80" w:type="dxa"/>
              <w:right w:w="90" w:type="dxa"/>
            </w:tcMar>
            <w:vAlign w:val="center"/>
          </w:tcPr>
          <w:p w:rsidR="00A266BB" w:rsidRPr="00CF12C3" w:rsidRDefault="00FB0C44">
            <w:pPr>
              <w:pStyle w:val="Compact"/>
              <w:spacing w:after="40" w:line="276" w:lineRule="auto"/>
              <w:jc w:val="center"/>
              <w:rPr>
                <w:rFonts w:asciiTheme="minorEastAsia" w:hAnsiTheme="minorEastAsia"/>
                <w:color w:val="000000" w:themeColor="text1"/>
              </w:rPr>
            </w:pPr>
            <w:r w:rsidRPr="00CF12C3">
              <w:rPr>
                <w:rFonts w:asciiTheme="minorEastAsia" w:hAnsiTheme="minorEastAsia"/>
                <w:b/>
                <w:color w:val="000000" w:themeColor="text1"/>
                <w:sz w:val="17"/>
              </w:rPr>
              <w:t>舉例</w:t>
            </w:r>
          </w:p>
        </w:tc>
      </w:tr>
      <w:tr w:rsidR="00CF12C3" w:rsidRPr="00CF12C3" w:rsidTr="00A266BB">
        <w:trPr>
          <w:jc w:val="center"/>
        </w:trPr>
        <w:tc>
          <w:tcPr>
            <w:tcW w:w="7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proofErr w:type="spellStart"/>
            <w:r w:rsidRPr="00CF12C3">
              <w:rPr>
                <w:rFonts w:asciiTheme="minorEastAsia" w:hAnsiTheme="minorEastAsia"/>
                <w:color w:val="000000" w:themeColor="text1"/>
                <w:sz w:val="17"/>
              </w:rPr>
              <w:t>學術知識落差</w:t>
            </w:r>
            <w:proofErr w:type="spellEnd"/>
          </w:p>
        </w:tc>
        <w:tc>
          <w:tcPr>
            <w:tcW w:w="21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公共行政與資訊科技已研究同一現象，但問題語言、證據形式與專業訓練仍不對稱；規範研究與技術研究尚未穩定整合。</w:t>
            </w:r>
          </w:p>
        </w:tc>
        <w:tc>
          <w:tcPr>
            <w:tcW w:w="27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r w:rsidRPr="00CF12C3">
              <w:rPr>
                <w:rFonts w:asciiTheme="minorEastAsia" w:hAnsiTheme="minorEastAsia"/>
                <w:color w:val="000000" w:themeColor="text1"/>
                <w:sz w:val="17"/>
              </w:rPr>
              <w:t>Zuiderwijk</w:t>
            </w:r>
            <w:r w:rsidRPr="00CF12C3">
              <w:rPr>
                <w:rFonts w:asciiTheme="minorEastAsia" w:hAnsiTheme="minorEastAsia"/>
                <w:color w:val="000000" w:themeColor="text1"/>
                <w:sz w:val="17"/>
              </w:rPr>
              <w:t>等人（</w:t>
            </w:r>
            <w:r w:rsidRPr="00CF12C3">
              <w:rPr>
                <w:rFonts w:asciiTheme="minorEastAsia" w:hAnsiTheme="minorEastAsia"/>
                <w:color w:val="000000" w:themeColor="text1"/>
                <w:sz w:val="17"/>
              </w:rPr>
              <w:t>2021</w:t>
            </w:r>
            <w:r w:rsidRPr="00CF12C3">
              <w:rPr>
                <w:rFonts w:asciiTheme="minorEastAsia" w:hAnsiTheme="minorEastAsia"/>
                <w:color w:val="000000" w:themeColor="text1"/>
                <w:sz w:val="17"/>
              </w:rPr>
              <w:t>）指出政府</w:t>
            </w:r>
            <w:r w:rsidRPr="00CF12C3">
              <w:rPr>
                <w:rFonts w:asciiTheme="minorEastAsia" w:hAnsiTheme="minorEastAsia"/>
                <w:color w:val="000000" w:themeColor="text1"/>
                <w:sz w:val="17"/>
              </w:rPr>
              <w:t>AI</w:t>
            </w:r>
            <w:r w:rsidRPr="00CF12C3">
              <w:rPr>
                <w:rFonts w:asciiTheme="minorEastAsia" w:hAnsiTheme="minorEastAsia"/>
                <w:color w:val="000000" w:themeColor="text1"/>
                <w:sz w:val="17"/>
              </w:rPr>
              <w:t>對公共治理影響仍缺乏整合性理解；</w:t>
            </w:r>
            <w:r w:rsidRPr="00CF12C3">
              <w:rPr>
                <w:rFonts w:asciiTheme="minorEastAsia" w:hAnsiTheme="minorEastAsia"/>
                <w:color w:val="000000" w:themeColor="text1"/>
                <w:sz w:val="17"/>
              </w:rPr>
              <w:t>Zhu</w:t>
            </w:r>
            <w:r w:rsidRPr="00CF12C3">
              <w:rPr>
                <w:rFonts w:asciiTheme="minorEastAsia" w:hAnsiTheme="minorEastAsia"/>
                <w:color w:val="000000" w:themeColor="text1"/>
                <w:sz w:val="17"/>
              </w:rPr>
              <w:t>（</w:t>
            </w:r>
            <w:r w:rsidRPr="00CF12C3">
              <w:rPr>
                <w:rFonts w:asciiTheme="minorEastAsia" w:hAnsiTheme="minorEastAsia"/>
                <w:color w:val="000000" w:themeColor="text1"/>
                <w:sz w:val="17"/>
              </w:rPr>
              <w:t>2026</w:t>
            </w:r>
            <w:r w:rsidRPr="00CF12C3">
              <w:rPr>
                <w:rFonts w:asciiTheme="minorEastAsia" w:hAnsiTheme="minorEastAsia"/>
                <w:color w:val="000000" w:themeColor="text1"/>
                <w:sz w:val="17"/>
              </w:rPr>
              <w:t>）以</w:t>
            </w:r>
            <w:r w:rsidRPr="00CF12C3">
              <w:rPr>
                <w:rFonts w:asciiTheme="minorEastAsia" w:hAnsiTheme="minorEastAsia"/>
                <w:color w:val="000000" w:themeColor="text1"/>
                <w:sz w:val="17"/>
              </w:rPr>
              <w:t>with</w:t>
            </w:r>
            <w:r w:rsidRPr="00CF12C3">
              <w:rPr>
                <w:rFonts w:asciiTheme="minorEastAsia" w:hAnsiTheme="minorEastAsia"/>
                <w:color w:val="000000" w:themeColor="text1"/>
                <w:sz w:val="17"/>
              </w:rPr>
              <w:t>、</w:t>
            </w:r>
            <w:r w:rsidRPr="00CF12C3">
              <w:rPr>
                <w:rFonts w:asciiTheme="minorEastAsia" w:hAnsiTheme="minorEastAsia"/>
                <w:color w:val="000000" w:themeColor="text1"/>
                <w:sz w:val="17"/>
              </w:rPr>
              <w:t>of</w:t>
            </w:r>
            <w:r w:rsidRPr="00CF12C3">
              <w:rPr>
                <w:rFonts w:asciiTheme="minorEastAsia" w:hAnsiTheme="minorEastAsia"/>
                <w:color w:val="000000" w:themeColor="text1"/>
                <w:sz w:val="17"/>
              </w:rPr>
              <w:t>、</w:t>
            </w:r>
            <w:r w:rsidRPr="00CF12C3">
              <w:rPr>
                <w:rFonts w:asciiTheme="minorEastAsia" w:hAnsiTheme="minorEastAsia"/>
                <w:color w:val="000000" w:themeColor="text1"/>
                <w:sz w:val="17"/>
              </w:rPr>
              <w:t>through AI</w:t>
            </w:r>
            <w:r w:rsidRPr="00CF12C3">
              <w:rPr>
                <w:rFonts w:asciiTheme="minorEastAsia" w:hAnsiTheme="minorEastAsia"/>
                <w:color w:val="000000" w:themeColor="text1"/>
                <w:sz w:val="17"/>
              </w:rPr>
              <w:t>區分公共行政受</w:t>
            </w:r>
            <w:r w:rsidRPr="00CF12C3">
              <w:rPr>
                <w:rFonts w:asciiTheme="minorEastAsia" w:hAnsiTheme="minorEastAsia"/>
                <w:color w:val="000000" w:themeColor="text1"/>
                <w:sz w:val="17"/>
              </w:rPr>
              <w:t>AI</w:t>
            </w:r>
            <w:r w:rsidRPr="00CF12C3">
              <w:rPr>
                <w:rFonts w:asciiTheme="minorEastAsia" w:hAnsiTheme="minorEastAsia"/>
                <w:color w:val="000000" w:themeColor="text1"/>
                <w:sz w:val="17"/>
              </w:rPr>
              <w:t>影響的不同層次，亦顯示單一工具觀不足。</w:t>
            </w:r>
          </w:p>
        </w:tc>
        <w:tc>
          <w:tcPr>
            <w:tcW w:w="33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公共行政研究討論裁量、公平與責任；資訊研究比較模型效能與錯誤率，但兩者未必共同設計研究問題或教學成果。</w:t>
            </w:r>
          </w:p>
        </w:tc>
      </w:tr>
      <w:tr w:rsidR="00CF12C3" w:rsidRPr="00CF12C3" w:rsidTr="00A266BB">
        <w:trPr>
          <w:jc w:val="center"/>
        </w:trPr>
        <w:tc>
          <w:tcPr>
            <w:tcW w:w="7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proofErr w:type="spellStart"/>
            <w:r w:rsidRPr="00CF12C3">
              <w:rPr>
                <w:rFonts w:asciiTheme="minorEastAsia" w:hAnsiTheme="minorEastAsia"/>
                <w:color w:val="000000" w:themeColor="text1"/>
                <w:sz w:val="17"/>
              </w:rPr>
              <w:t>技術轉譯落差</w:t>
            </w:r>
            <w:proofErr w:type="spellEnd"/>
          </w:p>
        </w:tc>
        <w:tc>
          <w:tcPr>
            <w:tcW w:w="21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治理概念不易轉成資料、模型與系統要求；技術限制也不易轉回政策、制度、組織及裁量問題。</w:t>
            </w:r>
          </w:p>
        </w:tc>
        <w:tc>
          <w:tcPr>
            <w:tcW w:w="27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UNESCO</w:t>
            </w:r>
            <w:r w:rsidRPr="00CF12C3">
              <w:rPr>
                <w:rFonts w:asciiTheme="minorEastAsia" w:hAnsiTheme="minorEastAsia"/>
                <w:color w:val="000000" w:themeColor="text1"/>
                <w:sz w:val="17"/>
                <w:lang w:eastAsia="zh-TW"/>
              </w:rPr>
              <w:t>（</w:t>
            </w:r>
            <w:r w:rsidRPr="00CF12C3">
              <w:rPr>
                <w:rFonts w:asciiTheme="minorEastAsia" w:hAnsiTheme="minorEastAsia"/>
                <w:color w:val="000000" w:themeColor="text1"/>
                <w:sz w:val="17"/>
                <w:lang w:eastAsia="zh-TW"/>
              </w:rPr>
              <w:t>2022</w:t>
            </w:r>
            <w:r w:rsidRPr="00CF12C3">
              <w:rPr>
                <w:rFonts w:asciiTheme="minorEastAsia" w:hAnsiTheme="minorEastAsia"/>
                <w:color w:val="000000" w:themeColor="text1"/>
                <w:sz w:val="17"/>
                <w:lang w:eastAsia="zh-TW"/>
              </w:rPr>
              <w:t>）將文官</w:t>
            </w:r>
            <w:r w:rsidRPr="00CF12C3">
              <w:rPr>
                <w:rFonts w:asciiTheme="minorEastAsia" w:hAnsiTheme="minorEastAsia"/>
                <w:color w:val="000000" w:themeColor="text1"/>
                <w:sz w:val="17"/>
                <w:lang w:eastAsia="zh-TW"/>
              </w:rPr>
              <w:t>AI</w:t>
            </w:r>
            <w:r w:rsidRPr="00CF12C3">
              <w:rPr>
                <w:rFonts w:asciiTheme="minorEastAsia" w:hAnsiTheme="minorEastAsia"/>
                <w:color w:val="000000" w:themeColor="text1"/>
                <w:sz w:val="17"/>
                <w:lang w:eastAsia="zh-TW"/>
              </w:rPr>
              <w:t>能力區分為數位規劃、資料使用與治理、</w:t>
            </w:r>
            <w:r w:rsidRPr="00CF12C3">
              <w:rPr>
                <w:rFonts w:asciiTheme="minorEastAsia" w:hAnsiTheme="minorEastAsia"/>
                <w:color w:val="000000" w:themeColor="text1"/>
                <w:sz w:val="17"/>
                <w:lang w:eastAsia="zh-TW"/>
              </w:rPr>
              <w:t>AI</w:t>
            </w:r>
            <w:r w:rsidRPr="00CF12C3">
              <w:rPr>
                <w:rFonts w:asciiTheme="minorEastAsia" w:hAnsiTheme="minorEastAsia"/>
                <w:color w:val="000000" w:themeColor="text1"/>
                <w:sz w:val="17"/>
                <w:lang w:eastAsia="zh-TW"/>
              </w:rPr>
              <w:t>採用等領域；</w:t>
            </w:r>
            <w:r w:rsidRPr="00CF12C3">
              <w:rPr>
                <w:rFonts w:asciiTheme="minorEastAsia" w:hAnsiTheme="minorEastAsia"/>
                <w:color w:val="000000" w:themeColor="text1"/>
                <w:sz w:val="17"/>
                <w:lang w:eastAsia="zh-TW"/>
              </w:rPr>
              <w:t>OECD</w:t>
            </w:r>
            <w:r w:rsidRPr="00CF12C3">
              <w:rPr>
                <w:rFonts w:asciiTheme="minorEastAsia" w:hAnsiTheme="minorEastAsia"/>
                <w:color w:val="000000" w:themeColor="text1"/>
                <w:sz w:val="17"/>
                <w:lang w:eastAsia="zh-TW"/>
              </w:rPr>
              <w:t>（</w:t>
            </w:r>
            <w:r w:rsidRPr="00CF12C3">
              <w:rPr>
                <w:rFonts w:asciiTheme="minorEastAsia" w:hAnsiTheme="minorEastAsia"/>
                <w:color w:val="000000" w:themeColor="text1"/>
                <w:sz w:val="17"/>
                <w:lang w:eastAsia="zh-TW"/>
              </w:rPr>
              <w:t>2021, 2026</w:t>
            </w:r>
            <w:r w:rsidRPr="00CF12C3">
              <w:rPr>
                <w:rFonts w:asciiTheme="minorEastAsia" w:hAnsiTheme="minorEastAsia"/>
                <w:color w:val="000000" w:themeColor="text1"/>
                <w:sz w:val="17"/>
                <w:lang w:eastAsia="zh-TW"/>
              </w:rPr>
              <w:t>）強調多專業團隊、內部能力及不同職務的分層技能。</w:t>
            </w:r>
          </w:p>
        </w:tc>
        <w:tc>
          <w:tcPr>
            <w:tcW w:w="33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公共行政人員能討論透明與課責，卻未必能辨識資料來源、模型限制、系統權限與錯誤紀錄；技術人員能建置系統，卻未必理解行政理由義務與制度程序。</w:t>
            </w:r>
          </w:p>
        </w:tc>
      </w:tr>
      <w:tr w:rsidR="00CF12C3" w:rsidRPr="00CF12C3" w:rsidTr="00A266BB">
        <w:trPr>
          <w:jc w:val="center"/>
        </w:trPr>
        <w:tc>
          <w:tcPr>
            <w:tcW w:w="7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proofErr w:type="spellStart"/>
            <w:r w:rsidRPr="00CF12C3">
              <w:rPr>
                <w:rFonts w:asciiTheme="minorEastAsia" w:hAnsiTheme="minorEastAsia"/>
                <w:color w:val="000000" w:themeColor="text1"/>
                <w:sz w:val="17"/>
              </w:rPr>
              <w:t>教學更新落差</w:t>
            </w:r>
            <w:proofErr w:type="spellEnd"/>
          </w:p>
        </w:tc>
        <w:tc>
          <w:tcPr>
            <w:tcW w:w="21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AI</w:t>
            </w:r>
            <w:r w:rsidRPr="00CF12C3">
              <w:rPr>
                <w:rFonts w:asciiTheme="minorEastAsia" w:hAnsiTheme="minorEastAsia"/>
                <w:color w:val="000000" w:themeColor="text1"/>
                <w:sz w:val="17"/>
                <w:lang w:eastAsia="zh-TW"/>
              </w:rPr>
              <w:t>技術與版本演進速度高於課程、教科書及在職訓練的修訂週期，容易把</w:t>
            </w:r>
            <w:r w:rsidRPr="00CF12C3">
              <w:rPr>
                <w:rFonts w:asciiTheme="minorEastAsia" w:hAnsiTheme="minorEastAsia"/>
                <w:color w:val="000000" w:themeColor="text1"/>
                <w:sz w:val="17"/>
                <w:lang w:eastAsia="zh-TW"/>
              </w:rPr>
              <w:t>AI</w:t>
            </w:r>
            <w:r w:rsidRPr="00CF12C3">
              <w:rPr>
                <w:rFonts w:asciiTheme="minorEastAsia" w:hAnsiTheme="minorEastAsia"/>
                <w:color w:val="000000" w:themeColor="text1"/>
                <w:sz w:val="17"/>
                <w:lang w:eastAsia="zh-TW"/>
              </w:rPr>
              <w:t>教育限縮為概論或工具操作。</w:t>
            </w:r>
          </w:p>
        </w:tc>
        <w:tc>
          <w:tcPr>
            <w:tcW w:w="27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OECD</w:t>
            </w:r>
            <w:r w:rsidRPr="00CF12C3">
              <w:rPr>
                <w:rFonts w:asciiTheme="minorEastAsia" w:hAnsiTheme="minorEastAsia"/>
                <w:color w:val="000000" w:themeColor="text1"/>
                <w:sz w:val="17"/>
                <w:lang w:eastAsia="zh-TW"/>
              </w:rPr>
              <w:t>（</w:t>
            </w:r>
            <w:r w:rsidRPr="00CF12C3">
              <w:rPr>
                <w:rFonts w:asciiTheme="minorEastAsia" w:hAnsiTheme="minorEastAsia"/>
                <w:color w:val="000000" w:themeColor="text1"/>
                <w:sz w:val="17"/>
                <w:lang w:eastAsia="zh-TW"/>
              </w:rPr>
              <w:t>2024</w:t>
            </w:r>
            <w:r w:rsidRPr="00CF12C3">
              <w:rPr>
                <w:rFonts w:asciiTheme="minorEastAsia" w:hAnsiTheme="minorEastAsia"/>
                <w:color w:val="000000" w:themeColor="text1"/>
                <w:sz w:val="17"/>
                <w:lang w:eastAsia="zh-TW"/>
              </w:rPr>
              <w:t>）主張以能力架構持續辨識數位政府所需知識、技能與態度；</w:t>
            </w:r>
            <w:r w:rsidRPr="00CF12C3">
              <w:rPr>
                <w:rFonts w:asciiTheme="minorEastAsia" w:hAnsiTheme="minorEastAsia"/>
                <w:color w:val="000000" w:themeColor="text1"/>
                <w:sz w:val="17"/>
                <w:lang w:eastAsia="zh-TW"/>
              </w:rPr>
              <w:t>OECD</w:t>
            </w:r>
            <w:r w:rsidRPr="00CF12C3">
              <w:rPr>
                <w:rFonts w:asciiTheme="minorEastAsia" w:hAnsiTheme="minorEastAsia"/>
                <w:color w:val="000000" w:themeColor="text1"/>
                <w:sz w:val="17"/>
                <w:lang w:eastAsia="zh-TW"/>
              </w:rPr>
              <w:t>（</w:t>
            </w:r>
            <w:r w:rsidRPr="00CF12C3">
              <w:rPr>
                <w:rFonts w:asciiTheme="minorEastAsia" w:hAnsiTheme="minorEastAsia"/>
                <w:color w:val="000000" w:themeColor="text1"/>
                <w:sz w:val="17"/>
                <w:lang w:eastAsia="zh-TW"/>
              </w:rPr>
              <w:t>2026</w:t>
            </w:r>
            <w:r w:rsidRPr="00CF12C3">
              <w:rPr>
                <w:rFonts w:asciiTheme="minorEastAsia" w:hAnsiTheme="minorEastAsia"/>
                <w:color w:val="000000" w:themeColor="text1"/>
                <w:sz w:val="17"/>
                <w:lang w:eastAsia="zh-TW"/>
              </w:rPr>
              <w:t>）進</w:t>
            </w:r>
            <w:r w:rsidRPr="00CF12C3">
              <w:rPr>
                <w:rFonts w:asciiTheme="minorEastAsia" w:hAnsiTheme="minorEastAsia"/>
                <w:color w:val="000000" w:themeColor="text1"/>
                <w:sz w:val="17"/>
                <w:lang w:eastAsia="zh-TW"/>
              </w:rPr>
              <w:t>一步要求所有人員、領導者及數位專業人員接受不同深度的</w:t>
            </w:r>
            <w:r w:rsidRPr="00CF12C3">
              <w:rPr>
                <w:rFonts w:asciiTheme="minorEastAsia" w:hAnsiTheme="minorEastAsia"/>
                <w:color w:val="000000" w:themeColor="text1"/>
                <w:sz w:val="17"/>
                <w:lang w:eastAsia="zh-TW"/>
              </w:rPr>
              <w:t>AI</w:t>
            </w:r>
            <w:r w:rsidRPr="00CF12C3">
              <w:rPr>
                <w:rFonts w:asciiTheme="minorEastAsia" w:hAnsiTheme="minorEastAsia"/>
                <w:color w:val="000000" w:themeColor="text1"/>
                <w:sz w:val="17"/>
                <w:lang w:eastAsia="zh-TW"/>
              </w:rPr>
              <w:t>培訓。</w:t>
            </w:r>
          </w:p>
        </w:tc>
        <w:tc>
          <w:tcPr>
            <w:tcW w:w="33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課程只介紹</w:t>
            </w:r>
            <w:r w:rsidRPr="00CF12C3">
              <w:rPr>
                <w:rFonts w:asciiTheme="minorEastAsia" w:hAnsiTheme="minorEastAsia"/>
                <w:color w:val="000000" w:themeColor="text1"/>
                <w:sz w:val="17"/>
                <w:lang w:eastAsia="zh-TW"/>
              </w:rPr>
              <w:t>AI</w:t>
            </w:r>
            <w:r w:rsidRPr="00CF12C3">
              <w:rPr>
                <w:rFonts w:asciiTheme="minorEastAsia" w:hAnsiTheme="minorEastAsia"/>
                <w:color w:val="000000" w:themeColor="text1"/>
                <w:sz w:val="17"/>
                <w:lang w:eastAsia="zh-TW"/>
              </w:rPr>
              <w:t>概念或工具操作，尚未處理資料與模型限制、系統變更、人工覆核、失敗模式，以及技術輸出如何進入公共決策。</w:t>
            </w:r>
          </w:p>
        </w:tc>
      </w:tr>
      <w:tr w:rsidR="00CF12C3" w:rsidRPr="00CF12C3" w:rsidTr="00A266BB">
        <w:trPr>
          <w:jc w:val="center"/>
        </w:trPr>
        <w:tc>
          <w:tcPr>
            <w:tcW w:w="7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資訊交付與可查核性落差</w:t>
            </w:r>
          </w:p>
        </w:tc>
        <w:tc>
          <w:tcPr>
            <w:tcW w:w="21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教育常只檢查輸出內容，較少追蹤資料如何進入系統、模型及版本如何形成輸出、輸出如何交付承辦人，以及結果能否重現。</w:t>
            </w:r>
          </w:p>
        </w:tc>
        <w:tc>
          <w:tcPr>
            <w:tcW w:w="27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NIST</w:t>
            </w:r>
            <w:r w:rsidRPr="00CF12C3">
              <w:rPr>
                <w:rFonts w:asciiTheme="minorEastAsia" w:hAnsiTheme="minorEastAsia"/>
                <w:color w:val="000000" w:themeColor="text1"/>
                <w:sz w:val="17"/>
                <w:lang w:eastAsia="zh-TW"/>
              </w:rPr>
              <w:t>（</w:t>
            </w:r>
            <w:r w:rsidRPr="00CF12C3">
              <w:rPr>
                <w:rFonts w:asciiTheme="minorEastAsia" w:hAnsiTheme="minorEastAsia"/>
                <w:color w:val="000000" w:themeColor="text1"/>
                <w:sz w:val="17"/>
                <w:lang w:eastAsia="zh-TW"/>
              </w:rPr>
              <w:t>2023</w:t>
            </w:r>
            <w:r w:rsidRPr="00CF12C3">
              <w:rPr>
                <w:rFonts w:asciiTheme="minorEastAsia" w:hAnsiTheme="minorEastAsia"/>
                <w:color w:val="000000" w:themeColor="text1"/>
                <w:sz w:val="17"/>
                <w:lang w:eastAsia="zh-TW"/>
              </w:rPr>
              <w:t>）的</w:t>
            </w:r>
            <w:r w:rsidRPr="00CF12C3">
              <w:rPr>
                <w:rFonts w:asciiTheme="minorEastAsia" w:hAnsiTheme="minorEastAsia"/>
                <w:color w:val="000000" w:themeColor="text1"/>
                <w:sz w:val="17"/>
                <w:lang w:eastAsia="zh-TW"/>
              </w:rPr>
              <w:t>AI RMF</w:t>
            </w:r>
            <w:r w:rsidRPr="00CF12C3">
              <w:rPr>
                <w:rFonts w:asciiTheme="minorEastAsia" w:hAnsiTheme="minorEastAsia"/>
                <w:color w:val="000000" w:themeColor="text1"/>
                <w:sz w:val="17"/>
                <w:lang w:eastAsia="zh-TW"/>
              </w:rPr>
              <w:t>要求文件化、監測與風險追蹤；</w:t>
            </w:r>
            <w:r w:rsidRPr="00CF12C3">
              <w:rPr>
                <w:rFonts w:asciiTheme="minorEastAsia" w:hAnsiTheme="minorEastAsia"/>
                <w:color w:val="000000" w:themeColor="text1"/>
                <w:sz w:val="17"/>
                <w:lang w:eastAsia="zh-TW"/>
              </w:rPr>
              <w:t>NIST</w:t>
            </w:r>
            <w:r w:rsidRPr="00CF12C3">
              <w:rPr>
                <w:rFonts w:asciiTheme="minorEastAsia" w:hAnsiTheme="minorEastAsia"/>
                <w:color w:val="000000" w:themeColor="text1"/>
                <w:sz w:val="17"/>
                <w:lang w:eastAsia="zh-TW"/>
              </w:rPr>
              <w:t>（</w:t>
            </w:r>
            <w:r w:rsidRPr="00CF12C3">
              <w:rPr>
                <w:rFonts w:asciiTheme="minorEastAsia" w:hAnsiTheme="minorEastAsia"/>
                <w:color w:val="000000" w:themeColor="text1"/>
                <w:sz w:val="17"/>
                <w:lang w:eastAsia="zh-TW"/>
              </w:rPr>
              <w:t>2024</w:t>
            </w:r>
            <w:r w:rsidRPr="00CF12C3">
              <w:rPr>
                <w:rFonts w:asciiTheme="minorEastAsia" w:hAnsiTheme="minorEastAsia"/>
                <w:color w:val="000000" w:themeColor="text1"/>
                <w:sz w:val="17"/>
                <w:lang w:eastAsia="zh-TW"/>
              </w:rPr>
              <w:t>）的生成式</w:t>
            </w:r>
            <w:r w:rsidRPr="00CF12C3">
              <w:rPr>
                <w:rFonts w:asciiTheme="minorEastAsia" w:hAnsiTheme="minorEastAsia"/>
                <w:color w:val="000000" w:themeColor="text1"/>
                <w:sz w:val="17"/>
                <w:lang w:eastAsia="zh-TW"/>
              </w:rPr>
              <w:t>AI</w:t>
            </w:r>
            <w:r w:rsidRPr="00CF12C3">
              <w:rPr>
                <w:rFonts w:asciiTheme="minorEastAsia" w:hAnsiTheme="minorEastAsia"/>
                <w:color w:val="000000" w:themeColor="text1"/>
                <w:sz w:val="17"/>
                <w:lang w:eastAsia="zh-TW"/>
              </w:rPr>
              <w:t>風險框架進一步強調人類覆核、追蹤、文件及管理監督。</w:t>
            </w:r>
          </w:p>
        </w:tc>
        <w:tc>
          <w:tcPr>
            <w:tcW w:w="33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同一案件可能因資料、模型版本或系統設定改變而得到</w:t>
            </w:r>
            <w:r w:rsidRPr="00CF12C3">
              <w:rPr>
                <w:rFonts w:asciiTheme="minorEastAsia" w:hAnsiTheme="minorEastAsia"/>
                <w:color w:val="000000" w:themeColor="text1"/>
                <w:sz w:val="17"/>
                <w:lang w:eastAsia="zh-TW"/>
              </w:rPr>
              <w:t>不同結果，但機關未保存版本、輸入、人工覆核與結果交付紀錄。</w:t>
            </w:r>
          </w:p>
        </w:tc>
      </w:tr>
    </w:tbl>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因此，本文不以預測某一種未來政府必然出現為目的。五項議題是</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治理下尚未被公共行政教育充分處理、且可能同時發生的問題範圍；其分析功能是先把新興政府活動定位於</w:t>
      </w:r>
      <w:r w:rsidRPr="00CF12C3">
        <w:rPr>
          <w:rFonts w:asciiTheme="minorEastAsia" w:hAnsiTheme="minorEastAsia"/>
          <w:color w:val="000000" w:themeColor="text1"/>
          <w:lang w:eastAsia="zh-TW"/>
        </w:rPr>
        <w:t>25</w:t>
      </w:r>
      <w:r w:rsidRPr="00CF12C3">
        <w:rPr>
          <w:rFonts w:asciiTheme="minorEastAsia" w:hAnsiTheme="minorEastAsia"/>
          <w:color w:val="000000" w:themeColor="text1"/>
          <w:lang w:eastAsia="zh-TW"/>
        </w:rPr>
        <w:t>座標，再辨識</w:t>
      </w:r>
      <w:r w:rsidRPr="00CF12C3">
        <w:rPr>
          <w:rFonts w:asciiTheme="minorEastAsia" w:hAnsiTheme="minorEastAsia"/>
          <w:color w:val="000000" w:themeColor="text1"/>
          <w:lang w:eastAsia="zh-TW"/>
        </w:rPr>
        <w:t>P1</w:t>
      </w:r>
      <w:r w:rsidRPr="00CF12C3">
        <w:rPr>
          <w:rFonts w:asciiTheme="minorEastAsia" w:hAnsiTheme="minorEastAsia"/>
          <w:color w:val="000000" w:themeColor="text1"/>
          <w:lang w:eastAsia="zh-TW"/>
        </w:rPr>
        <w:t>情境建構與事實認定、</w:t>
      </w:r>
      <w:r w:rsidRPr="00CF12C3">
        <w:rPr>
          <w:rFonts w:asciiTheme="minorEastAsia" w:hAnsiTheme="minorEastAsia"/>
          <w:color w:val="000000" w:themeColor="text1"/>
          <w:lang w:eastAsia="zh-TW"/>
        </w:rPr>
        <w:t>P2</w:t>
      </w:r>
      <w:r w:rsidRPr="00CF12C3">
        <w:rPr>
          <w:rFonts w:asciiTheme="minorEastAsia" w:hAnsiTheme="minorEastAsia"/>
          <w:color w:val="000000" w:themeColor="text1"/>
          <w:lang w:eastAsia="zh-TW"/>
        </w:rPr>
        <w:t>行政裁量與價值判斷、</w:t>
      </w:r>
      <w:r w:rsidRPr="00CF12C3">
        <w:rPr>
          <w:rFonts w:asciiTheme="minorEastAsia" w:hAnsiTheme="minorEastAsia"/>
          <w:color w:val="000000" w:themeColor="text1"/>
          <w:lang w:eastAsia="zh-TW"/>
        </w:rPr>
        <w:t>P3</w:t>
      </w:r>
      <w:r w:rsidRPr="00CF12C3">
        <w:rPr>
          <w:rFonts w:asciiTheme="minorEastAsia" w:hAnsiTheme="minorEastAsia"/>
          <w:color w:val="000000" w:themeColor="text1"/>
          <w:lang w:eastAsia="zh-TW"/>
        </w:rPr>
        <w:t>公權力決定之實質影響力三種功能性移轉，觀察其是否形成跨座標移動、邊界消解與權威重構，最後以實際教育文件檢查現有課程與訓練是否足以回應。</w:t>
      </w:r>
    </w:p>
    <w:p w:rsidR="00A266BB" w:rsidRPr="00CF12C3" w:rsidRDefault="00FB0C44">
      <w:pPr>
        <w:pStyle w:val="2"/>
        <w:rPr>
          <w:rFonts w:asciiTheme="minorEastAsia" w:eastAsiaTheme="minorEastAsia" w:hAnsiTheme="minorEastAsia"/>
          <w:color w:val="000000" w:themeColor="text1"/>
          <w:lang w:eastAsia="zh-TW"/>
        </w:rPr>
      </w:pPr>
      <w:bookmarkStart w:id="3" w:name="二本文要回答的問題"/>
      <w:bookmarkEnd w:id="2"/>
      <w:r w:rsidRPr="00CF12C3">
        <w:rPr>
          <w:rFonts w:asciiTheme="minorEastAsia" w:eastAsiaTheme="minorEastAsia" w:hAnsiTheme="minorEastAsia"/>
          <w:color w:val="000000" w:themeColor="text1"/>
          <w:lang w:eastAsia="zh-TW"/>
        </w:rPr>
        <w:lastRenderedPageBreak/>
        <w:t>二、本文要回答的問題</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本文依序回答三項相互連結的問題。第一，五項</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治理議題定位於</w:t>
      </w:r>
      <w:r w:rsidRPr="00CF12C3">
        <w:rPr>
          <w:rFonts w:asciiTheme="minorEastAsia" w:hAnsiTheme="minorEastAsia"/>
          <w:color w:val="000000" w:themeColor="text1"/>
          <w:lang w:eastAsia="zh-TW"/>
        </w:rPr>
        <w:t>25</w:t>
      </w:r>
      <w:r w:rsidRPr="00CF12C3">
        <w:rPr>
          <w:rFonts w:asciiTheme="minorEastAsia" w:hAnsiTheme="minorEastAsia"/>
          <w:color w:val="000000" w:themeColor="text1"/>
          <w:lang w:eastAsia="zh-TW"/>
        </w:rPr>
        <w:t>座標後，三種行政權力如何發生功能性移轉，並形成哪些跨座標移動、邊界消解與權威重構？第二，公共行政與資訊科技知識在這些議題上哪些相容、哪些不能互相取代？第三，現行大學公共行政課程與公務人員訓練對這些議題的涵蓋程度如何，教育應保留什麼、改變什麼？</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上述問題依「辨識</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討論</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辯證</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印證</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建議」形成五階段概念形成過程。辨識即定位：先將五項議題放入</w:t>
      </w:r>
      <w:r w:rsidRPr="00CF12C3">
        <w:rPr>
          <w:rFonts w:asciiTheme="minorEastAsia" w:hAnsiTheme="minorEastAsia"/>
          <w:color w:val="000000" w:themeColor="text1"/>
          <w:lang w:eastAsia="zh-TW"/>
        </w:rPr>
        <w:t>25</w:t>
      </w:r>
      <w:r w:rsidRPr="00CF12C3">
        <w:rPr>
          <w:rFonts w:asciiTheme="minorEastAsia" w:hAnsiTheme="minorEastAsia"/>
          <w:color w:val="000000" w:themeColor="text1"/>
          <w:lang w:eastAsia="zh-TW"/>
        </w:rPr>
        <w:t>座標；討論三種權力功能性移轉如何形成跨座標移動、邊界消解與權威重構；辯證公共行政與資訊科技知識的相容、不相容及</w:t>
      </w:r>
      <w:r w:rsidRPr="00CF12C3">
        <w:rPr>
          <w:rFonts w:asciiTheme="minorEastAsia" w:hAnsiTheme="minorEastAsia"/>
          <w:color w:val="000000" w:themeColor="text1"/>
          <w:lang w:eastAsia="zh-TW"/>
        </w:rPr>
        <w:t>變與不變；印證則分析大學課程、國際專業能力標準與公務人員訓練文件，並以</w:t>
      </w:r>
      <w:r w:rsidRPr="00CF12C3">
        <w:rPr>
          <w:rFonts w:asciiTheme="minorEastAsia" w:hAnsiTheme="minorEastAsia"/>
          <w:color w:val="000000" w:themeColor="text1"/>
          <w:lang w:eastAsia="zh-TW"/>
        </w:rPr>
        <w:t>AFST</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COMPAS</w:t>
      </w:r>
      <w:r w:rsidRPr="00CF12C3">
        <w:rPr>
          <w:rFonts w:asciiTheme="minorEastAsia" w:hAnsiTheme="minorEastAsia"/>
          <w:color w:val="000000" w:themeColor="text1"/>
          <w:lang w:eastAsia="zh-TW"/>
        </w:rPr>
        <w:t>及</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公共預算作為簡要教育壓力情境；最後形成公共行政教育改革建議。</w:t>
      </w:r>
    </w:p>
    <w:p w:rsidR="00A266BB" w:rsidRPr="00CF12C3" w:rsidRDefault="00FB0C44">
      <w:pPr>
        <w:pStyle w:val="2"/>
        <w:rPr>
          <w:rFonts w:asciiTheme="minorEastAsia" w:eastAsiaTheme="minorEastAsia" w:hAnsiTheme="minorEastAsia"/>
          <w:color w:val="000000" w:themeColor="text1"/>
          <w:lang w:eastAsia="zh-TW"/>
        </w:rPr>
      </w:pPr>
      <w:bookmarkStart w:id="4" w:name="三概念形成方法與分析範圍"/>
      <w:bookmarkEnd w:id="3"/>
      <w:r w:rsidRPr="00CF12C3">
        <w:rPr>
          <w:rFonts w:asciiTheme="minorEastAsia" w:eastAsiaTheme="minorEastAsia" w:hAnsiTheme="minorEastAsia"/>
          <w:color w:val="000000" w:themeColor="text1"/>
          <w:lang w:eastAsia="zh-TW"/>
        </w:rPr>
        <w:t>三、概念形成方法與分析範圍</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t>本文採條件式概念分析、議題範圍定位與教育文件分析。AI治理被設定為既定條件；五項議題先定位於25座標，三種行政權力功能性移轉用來解釋AI透過何種機制改變行政，三項結構效應則描述其制度結果。第四階段的印證材料包括公共行政系所正式課程規劃、NASPAA專業教育能力標準、UNESCO與OECD公務人員數位及AI能力架構，以及我國公務人員AI訓練規定。AFST、COMPAS與AI公共預算只用來檢查課程能否處理行政裁量、司法預測與資源配置問題，不再各自建立治理審計表。</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五項議題範圍採目的性選取，不以產業別、技術類型或全部</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應用的窮盡式篩選為基礎。教育文件亦採理論取樣：國際文件提供公共行政教育與文官數位能力的比較基準；臺灣材料用以呈現正式課程及在職訓練已明示納入</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的程度。學者研究用來辨識臺灣公共行政</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研究已處理及尚未處理的知識位置，不以個別學者是否具有資訊科技學位判斷其研究價值。此一取樣策略適合概念形成與初步診斷，但無法推論全國系</w:t>
      </w:r>
      <w:r w:rsidRPr="00CF12C3">
        <w:rPr>
          <w:rFonts w:asciiTheme="minorEastAsia" w:hAnsiTheme="minorEastAsia"/>
          <w:color w:val="000000" w:themeColor="text1"/>
          <w:lang w:eastAsia="zh-TW"/>
        </w:rPr>
        <w:t>所或訓練機關的整體分布；後續章節的教育判斷均應在此限制下解讀。</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lastRenderedPageBreak/>
        <w:t>大學</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演講與博碩士論文可以補充觀察知識如何擴散，但其公開資料分散於系所網站、課程活動、社群媒體及論文資料庫，尚未形成可確認的完整母體。本文因此不以零星搜尋結果推論全國大學的講者結構或論文數量，也不把演講題目直接等同實際教學內容；相關資料只作為後續系統研究的範圍，不列入本文教育落差的正式印證結果。</w:t>
      </w:r>
    </w:p>
    <w:p w:rsidR="00A266BB" w:rsidRPr="00CF12C3" w:rsidRDefault="00FB0C44">
      <w:pPr>
        <w:pStyle w:val="1"/>
        <w:rPr>
          <w:rFonts w:asciiTheme="minorEastAsia" w:eastAsiaTheme="minorEastAsia" w:hAnsiTheme="minorEastAsia"/>
          <w:color w:val="000000" w:themeColor="text1"/>
          <w:lang w:eastAsia="zh-TW"/>
        </w:rPr>
      </w:pPr>
      <w:bookmarkStart w:id="5" w:name="貳討論一1996年55治理座標與ai結構性衝擊"/>
      <w:bookmarkEnd w:id="1"/>
      <w:bookmarkEnd w:id="4"/>
      <w:r w:rsidRPr="00CF12C3">
        <w:rPr>
          <w:rFonts w:asciiTheme="minorEastAsia" w:eastAsiaTheme="minorEastAsia" w:hAnsiTheme="minorEastAsia"/>
          <w:color w:val="000000" w:themeColor="text1"/>
          <w:lang w:eastAsia="zh-TW"/>
        </w:rPr>
        <w:t>貳、母架構校準：</w:t>
      </w:r>
      <w:r w:rsidRPr="00CF12C3">
        <w:rPr>
          <w:rFonts w:asciiTheme="minorEastAsia" w:eastAsiaTheme="minorEastAsia" w:hAnsiTheme="minorEastAsia"/>
          <w:color w:val="000000" w:themeColor="text1"/>
          <w:lang w:eastAsia="zh-TW"/>
        </w:rPr>
        <w:t>25</w:t>
      </w:r>
      <w:r w:rsidRPr="00CF12C3">
        <w:rPr>
          <w:rFonts w:asciiTheme="minorEastAsia" w:eastAsiaTheme="minorEastAsia" w:hAnsiTheme="minorEastAsia"/>
          <w:color w:val="000000" w:themeColor="text1"/>
          <w:lang w:eastAsia="zh-TW"/>
        </w:rPr>
        <w:t>座標、三種權力移轉與三項結構效應</w:t>
      </w:r>
    </w:p>
    <w:p w:rsidR="00A266BB" w:rsidRPr="00CF12C3" w:rsidRDefault="00FB0C44">
      <w:pPr>
        <w:pStyle w:val="2"/>
        <w:rPr>
          <w:rFonts w:asciiTheme="minorEastAsia" w:eastAsiaTheme="minorEastAsia" w:hAnsiTheme="minorEastAsia"/>
          <w:color w:val="000000" w:themeColor="text1"/>
          <w:lang w:eastAsia="zh-TW"/>
        </w:rPr>
      </w:pPr>
      <w:bookmarkStart w:id="6" w:name="一55治理座標概要"/>
      <w:r w:rsidRPr="00CF12C3">
        <w:rPr>
          <w:rFonts w:asciiTheme="minorEastAsia" w:eastAsiaTheme="minorEastAsia" w:hAnsiTheme="minorEastAsia"/>
          <w:color w:val="000000" w:themeColor="text1"/>
          <w:lang w:eastAsia="zh-TW"/>
        </w:rPr>
        <w:t>一、</w:t>
      </w:r>
      <w:r w:rsidRPr="00CF12C3">
        <w:rPr>
          <w:rFonts w:asciiTheme="minorEastAsia" w:eastAsiaTheme="minorEastAsia" w:hAnsiTheme="minorEastAsia"/>
          <w:color w:val="000000" w:themeColor="text1"/>
          <w:lang w:eastAsia="zh-TW"/>
        </w:rPr>
        <w:t>5×5</w:t>
      </w:r>
      <w:r w:rsidRPr="00CF12C3">
        <w:rPr>
          <w:rFonts w:asciiTheme="minorEastAsia" w:eastAsiaTheme="minorEastAsia" w:hAnsiTheme="minorEastAsia"/>
          <w:color w:val="000000" w:themeColor="text1"/>
          <w:lang w:eastAsia="zh-TW"/>
        </w:rPr>
        <w:t>治理座標概要</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t>作者於1996年先後由公共行政文獻回顧方法與資訊社會變遷兩條路徑，提出跨層次、跨分析單位理解公共行政的架構（盧建旭，1996a，1996b）。其後對WWW公共行政資訊及整合公共治理倫理的研究，進一步處理網路、資訊與多元價值對公共行政的影響（盧建旭，1997，2009）。公共行政理論的五個分析層次（哲學與價值、制度分工、政策體系、組織設計、管理運作）與五個分析單位（個人、團體、組織、社會、國際）交叉，形成二十五個治理座標，可用以定位任一AI治理案例（盧建旭，2026）。此一座標系統的價值，在於使任一AI應用案例，皆可同時在「觸及公共行政理論的哪一層次」與「影響哪一分析單位」兩個面向上被明確定位，而非僅以應用場域分類。</w:t>
      </w:r>
    </w:p>
    <w:p w:rsidR="00A266BB" w:rsidRPr="00CF12C3" w:rsidRDefault="00FB0C44">
      <w:pPr>
        <w:pStyle w:val="a0"/>
        <w:rPr>
          <w:rFonts w:asciiTheme="minorEastAsia" w:hAnsiTheme="minorEastAsia"/>
          <w:color w:val="000000" w:themeColor="text1"/>
        </w:rPr>
      </w:pPr>
      <w:r w:rsidRPr="00CF12C3">
        <w:rPr>
          <w:rFonts w:asciiTheme="minorEastAsia" w:hAnsiTheme="minorEastAsia"/>
          <w:noProof/>
          <w:color w:val="000000" w:themeColor="text1"/>
        </w:rPr>
        <w:lastRenderedPageBreak/>
        <w:drawing>
          <wp:inline distT="0" distB="0" distL="0" distR="0">
            <wp:extent cx="5334000" cy="4000795"/>
            <wp:effectExtent l="0" t="0" r="0" b="0"/>
            <wp:docPr id="29" name="Picture" descr="AI治理下的5×5公共行政知識座標：五個理論層次與五個分析單位交叉形成二十五格。"/>
            <wp:cNvGraphicFramePr/>
            <a:graphic xmlns:a="http://schemas.openxmlformats.org/drawingml/2006/main">
              <a:graphicData uri="http://schemas.openxmlformats.org/drawingml/2006/picture">
                <pic:pic xmlns:pic="http://schemas.openxmlformats.org/drawingml/2006/picture">
                  <pic:nvPicPr>
                    <pic:cNvPr id="30" name="Picture" descr="media/image2.jpeg"/>
                    <pic:cNvPicPr>
                      <a:picLocks noChangeAspect="1" noChangeArrowheads="1"/>
                    </pic:cNvPicPr>
                  </pic:nvPicPr>
                  <pic:blipFill>
                    <a:blip r:embed="rId8"/>
                    <a:stretch>
                      <a:fillRect/>
                    </a:stretch>
                  </pic:blipFill>
                  <pic:spPr bwMode="auto">
                    <a:xfrm>
                      <a:off x="0" y="0"/>
                      <a:ext cx="5334000" cy="4000795"/>
                    </a:xfrm>
                    <a:prstGeom prst="rect">
                      <a:avLst/>
                    </a:prstGeom>
                    <a:noFill/>
                    <a:ln w="9525">
                      <a:noFill/>
                      <a:headEnd/>
                      <a:tailEnd/>
                    </a:ln>
                  </pic:spPr>
                </pic:pic>
              </a:graphicData>
            </a:graphic>
          </wp:inline>
        </w:drawing>
      </w:r>
    </w:p>
    <w:p w:rsidR="00A266BB" w:rsidRPr="00CF12C3" w:rsidRDefault="00FB0C44">
      <w:pPr>
        <w:pStyle w:val="a0"/>
        <w:rPr>
          <w:rFonts w:asciiTheme="minorEastAsia" w:hAnsiTheme="minorEastAsia"/>
          <w:color w:val="000000" w:themeColor="text1"/>
          <w:lang w:eastAsia="zh-TW"/>
        </w:rPr>
      </w:pPr>
      <w:r w:rsidRPr="00CF12C3">
        <w:rPr>
          <w:rFonts w:asciiTheme="minorEastAsia" w:hAnsiTheme="minorEastAsia"/>
          <w:color w:val="000000" w:themeColor="text1"/>
          <w:lang w:eastAsia="zh-TW"/>
        </w:rPr>
        <w:t>圖</w:t>
      </w:r>
      <w:r w:rsidRPr="00CF12C3">
        <w:rPr>
          <w:rFonts w:asciiTheme="minorEastAsia" w:hAnsiTheme="minorEastAsia"/>
          <w:color w:val="000000" w:themeColor="text1"/>
          <w:lang w:eastAsia="zh-TW"/>
        </w:rPr>
        <w:t>1</w:t>
      </w:r>
      <w:r w:rsidRPr="00CF12C3">
        <w:rPr>
          <w:rFonts w:asciiTheme="minorEastAsia" w:hAnsiTheme="minorEastAsia"/>
          <w:color w:val="000000" w:themeColor="text1"/>
          <w:lang w:eastAsia="zh-TW"/>
        </w:rPr>
        <w:t xml:space="preserve">　</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治理下的</w:t>
      </w:r>
      <w:r w:rsidRPr="00CF12C3">
        <w:rPr>
          <w:rFonts w:asciiTheme="minorEastAsia" w:hAnsiTheme="minorEastAsia"/>
          <w:color w:val="000000" w:themeColor="text1"/>
          <w:lang w:eastAsia="zh-TW"/>
        </w:rPr>
        <w:t>5×5</w:t>
      </w:r>
      <w:r w:rsidRPr="00CF12C3">
        <w:rPr>
          <w:rFonts w:asciiTheme="minorEastAsia" w:hAnsiTheme="minorEastAsia"/>
          <w:color w:val="000000" w:themeColor="text1"/>
          <w:lang w:eastAsia="zh-TW"/>
        </w:rPr>
        <w:t>公共行政知識座標</w:t>
      </w:r>
    </w:p>
    <w:p w:rsidR="00A266BB" w:rsidRPr="00CF12C3" w:rsidRDefault="00FB0C44">
      <w:pPr>
        <w:pStyle w:val="a0"/>
        <w:spacing w:line="360" w:lineRule="auto"/>
        <w:ind w:firstLine="431"/>
        <w:rPr>
          <w:rFonts w:asciiTheme="minorEastAsia" w:hAnsiTheme="minorEastAsia"/>
          <w:color w:val="000000" w:themeColor="text1"/>
          <w:lang w:eastAsia="zh-TW"/>
        </w:rPr>
      </w:pPr>
      <w:r>
        <w:t>五層次與五分析單位的選取並非任意組合，而是延續公共行政理論長期使用的兩種基本區分：一是「治理活動發生於哪一種抽象程度」，由價值與哲學層次到日常管理運作層次，形成由抽象到具體的縱向階層；二是「治理活動影響哪一範圍的行為者」，由個人到國際社會，形成由微觀到巨觀的橫向範圍。兩種區分在公共行政與政策研究中已分別存在，本文的貢獻在於將兩者交叉為單一座標系統，使同一議題的層次移動與範圍擴散可以同時被定位，而非各自獨立描述。例如，圖1中「管理運作×個人」格明列「數位服務、個案處理、人機互動」，可對應線上申辦與AI輔助個案處理；當同一系統的分類規則被大量案件共同採用時，其影響即由該格上移至「政策體系×社會」格所列的「政策回饋、程式化給付」等問題。</w:t>
      </w:r>
    </w:p>
    <w:p w:rsidR="00A266BB" w:rsidRPr="00CF12C3" w:rsidRDefault="00FB0C44">
      <w:pPr>
        <w:pStyle w:val="2"/>
        <w:rPr>
          <w:rFonts w:asciiTheme="minorEastAsia" w:eastAsiaTheme="minorEastAsia" w:hAnsiTheme="minorEastAsia"/>
          <w:color w:val="000000" w:themeColor="text1"/>
          <w:lang w:eastAsia="zh-TW"/>
        </w:rPr>
      </w:pPr>
      <w:r w:rsidRPr="00CF12C3">
        <w:rPr>
          <w:rFonts w:asciiTheme="minorEastAsia" w:eastAsiaTheme="minorEastAsia" w:hAnsiTheme="minorEastAsia"/>
          <w:color w:val="000000" w:themeColor="text1"/>
          <w:lang w:eastAsia="zh-TW"/>
        </w:rPr>
        <w:lastRenderedPageBreak/>
        <w:t>二、三種行政權力的功能性移轉</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「功能性移轉」不是把法定職權授予</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，而是指原本由具身分、職權與責任的行政人員執行之功能，逐步由資料、模型、系統設計者或供應商取得實質影響力。這一層回答</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「透過什麼機制」改變行政，與後述三項結構效應所回答的「造成什麼制度變化」不可混為一談。</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第一，</w:t>
      </w:r>
      <w:r w:rsidRPr="00CF12C3">
        <w:rPr>
          <w:rFonts w:asciiTheme="minorEastAsia" w:hAnsiTheme="minorEastAsia"/>
          <w:color w:val="000000" w:themeColor="text1"/>
          <w:lang w:eastAsia="zh-TW"/>
        </w:rPr>
        <w:t>P1</w:t>
      </w:r>
      <w:r w:rsidRPr="00CF12C3">
        <w:rPr>
          <w:rFonts w:asciiTheme="minorEastAsia" w:hAnsiTheme="minorEastAsia"/>
          <w:color w:val="000000" w:themeColor="text1"/>
          <w:lang w:eastAsia="zh-TW"/>
        </w:rPr>
        <w:t>情境建構與事實認定權移轉：哪些資料被視為事實、哪些群體成為目標、哪些分類與閾值構成後續判斷起點。第二，</w:t>
      </w:r>
      <w:r w:rsidRPr="00CF12C3">
        <w:rPr>
          <w:rFonts w:asciiTheme="minorEastAsia" w:hAnsiTheme="minorEastAsia"/>
          <w:color w:val="000000" w:themeColor="text1"/>
          <w:lang w:eastAsia="zh-TW"/>
        </w:rPr>
        <w:t>P2</w:t>
      </w:r>
      <w:r w:rsidRPr="00CF12C3">
        <w:rPr>
          <w:rFonts w:asciiTheme="minorEastAsia" w:hAnsiTheme="minorEastAsia"/>
          <w:color w:val="000000" w:themeColor="text1"/>
          <w:lang w:eastAsia="zh-TW"/>
        </w:rPr>
        <w:t>行政裁量與價值判斷權移轉：哪些選項被推薦、排序或排除，以及效率、公平、風險與個案正義如何衡量。第三，</w:t>
      </w:r>
      <w:r w:rsidRPr="00CF12C3">
        <w:rPr>
          <w:rFonts w:asciiTheme="minorEastAsia" w:hAnsiTheme="minorEastAsia"/>
          <w:color w:val="000000" w:themeColor="text1"/>
          <w:lang w:eastAsia="zh-TW"/>
        </w:rPr>
        <w:t>P3</w:t>
      </w:r>
      <w:r w:rsidRPr="00CF12C3">
        <w:rPr>
          <w:rFonts w:asciiTheme="minorEastAsia" w:hAnsiTheme="minorEastAsia"/>
          <w:color w:val="000000" w:themeColor="text1"/>
          <w:lang w:eastAsia="zh-TW"/>
        </w:rPr>
        <w:t>公權力</w:t>
      </w:r>
      <w:r w:rsidRPr="00CF12C3">
        <w:rPr>
          <w:rFonts w:asciiTheme="minorEastAsia" w:hAnsiTheme="minorEastAsia"/>
          <w:color w:val="000000" w:themeColor="text1"/>
          <w:lang w:eastAsia="zh-TW"/>
        </w:rPr>
        <w:t>決定之實質影響力移轉：技術輸出是否直接或近似直接觸發給付、調查、裁罰、債務或其他法律與資源效果。</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三種移轉不必然依序發生，也不是單一自動化階梯；其教育意義在於讓學生能區分「</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參與形成行政事實」「</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影響裁量與價值排序」及「</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輸出取得公權力效果」三種不同知識與責任問題。</w:t>
      </w:r>
    </w:p>
    <w:p w:rsidR="00A266BB" w:rsidRPr="00CF12C3" w:rsidRDefault="00FB0C44">
      <w:pPr>
        <w:pStyle w:val="2"/>
        <w:rPr>
          <w:rFonts w:asciiTheme="minorEastAsia" w:eastAsiaTheme="minorEastAsia" w:hAnsiTheme="minorEastAsia"/>
          <w:color w:val="000000" w:themeColor="text1"/>
          <w:lang w:eastAsia="zh-TW"/>
        </w:rPr>
      </w:pPr>
      <w:bookmarkStart w:id="7" w:name="二三項結構性現象"/>
      <w:bookmarkEnd w:id="6"/>
      <w:r w:rsidRPr="00CF12C3">
        <w:rPr>
          <w:rFonts w:asciiTheme="minorEastAsia" w:eastAsiaTheme="minorEastAsia" w:hAnsiTheme="minorEastAsia"/>
          <w:color w:val="000000" w:themeColor="text1"/>
          <w:lang w:eastAsia="zh-TW"/>
        </w:rPr>
        <w:t>三、三項結構效應</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t>AI進入治理座標後，可能產生三項結構效應（盧建旭，2026）：</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第一，跨座標移動</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的影響由原始格位擴及其他理論層次或分析單位。例如，圖</w:t>
      </w:r>
      <w:r w:rsidRPr="00CF12C3">
        <w:rPr>
          <w:rFonts w:asciiTheme="minorEastAsia" w:hAnsiTheme="minorEastAsia"/>
          <w:color w:val="000000" w:themeColor="text1"/>
          <w:lang w:eastAsia="zh-TW"/>
        </w:rPr>
        <w:t>1</w:t>
      </w:r>
      <w:r w:rsidRPr="00CF12C3">
        <w:rPr>
          <w:rFonts w:asciiTheme="minorEastAsia" w:hAnsiTheme="minorEastAsia"/>
          <w:color w:val="000000" w:themeColor="text1"/>
          <w:lang w:eastAsia="zh-TW"/>
        </w:rPr>
        <w:t>「管理運作</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個人」格中的「數位服務／個案處理」，若其資料分</w:t>
      </w:r>
      <w:r w:rsidRPr="00CF12C3">
        <w:rPr>
          <w:rFonts w:asciiTheme="minorEastAsia" w:hAnsiTheme="minorEastAsia"/>
          <w:color w:val="000000" w:themeColor="text1"/>
          <w:lang w:eastAsia="zh-TW"/>
        </w:rPr>
        <w:t>類邏輯與預設篩選被大量案件共同採用，便會上移至「政策體系</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社會」，實質影響政策問題界定、政策回饋乃至程式化給付。此例顯示，圖中的格位不是靜態分類，而是用來追蹤</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治理影響的移動路徑。</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第二，邊界消解</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人的判斷、技術規則、組織程序與政策形成難以清楚區分。當</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系統同時執行資料處理、政策分析與行政決定，傳統的「技術工具</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行政裁量</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政策判斷」三層區分即可能模糊。</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lastRenderedPageBreak/>
        <w:t>第三，權威重構</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正式法定權威與實際影響決定結果的行動者之間出現落差。模型供應商、資料工程師與系統整合商取得事實影響力，使法定權威與實際決定力量分離（</w:t>
      </w:r>
      <w:r w:rsidRPr="00CF12C3">
        <w:rPr>
          <w:rFonts w:asciiTheme="minorEastAsia" w:hAnsiTheme="minorEastAsia"/>
          <w:color w:val="000000" w:themeColor="text1"/>
          <w:lang w:eastAsia="zh-TW"/>
        </w:rPr>
        <w:t>Cobbe et al., 2023</w:t>
      </w:r>
      <w:r w:rsidRPr="00CF12C3">
        <w:rPr>
          <w:rFonts w:asciiTheme="minorEastAsia" w:hAnsiTheme="minorEastAsia"/>
          <w:color w:val="000000" w:themeColor="text1"/>
          <w:lang w:eastAsia="zh-TW"/>
        </w:rPr>
        <w:t>）。</w:t>
      </w:r>
    </w:p>
    <w:p w:rsidR="00A266BB" w:rsidRPr="00CF12C3" w:rsidRDefault="00FB0C44">
      <w:pPr>
        <w:pStyle w:val="2"/>
        <w:rPr>
          <w:rFonts w:asciiTheme="minorEastAsia" w:eastAsiaTheme="minorEastAsia" w:hAnsiTheme="minorEastAsia"/>
          <w:color w:val="000000" w:themeColor="text1"/>
          <w:lang w:eastAsia="zh-TW"/>
        </w:rPr>
      </w:pPr>
      <w:bookmarkStart w:id="8" w:name="三由治理分析轉向公共行政教育診斷"/>
      <w:bookmarkEnd w:id="7"/>
      <w:r w:rsidRPr="00CF12C3">
        <w:rPr>
          <w:rFonts w:asciiTheme="minorEastAsia" w:eastAsiaTheme="minorEastAsia" w:hAnsiTheme="minorEastAsia"/>
          <w:color w:val="000000" w:themeColor="text1"/>
          <w:lang w:eastAsia="zh-TW"/>
        </w:rPr>
        <w:t>四、完整母架構與公共行政教育診斷的分工</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t>「25—3—3—4—7」為共同母架構：25座標定位AI介入何處，三種權力移轉解釋AI如何改變行政，三項結構效應描述制度結果，情境建構、權威、理由與責任四鏈追蹤正當性是否連續，七項治理審計則指定應查核的制度與證據。本文只把25座標、三種權力移轉與三項結構效應直接用於議題定位；四鏈與七審計作為課程及案例教學應能理解的治理內容，不另行操作化或評分。研究對象因此由AI治理制度本身轉為公共行政教育能否辨識、解釋並處理這些制度變動。</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25</w:t>
      </w:r>
      <w:r w:rsidRPr="00CF12C3">
        <w:rPr>
          <w:rFonts w:asciiTheme="minorEastAsia" w:hAnsiTheme="minorEastAsia"/>
          <w:color w:val="000000" w:themeColor="text1"/>
          <w:lang w:eastAsia="zh-TW"/>
        </w:rPr>
        <w:t>座標的功能是定位議題，而不是測量教育成效。教育落差另以「明示涵蓋、知識深度、跨域整合、應用轉移」四項文件編碼判準衡量，避免把治理風險與教育不足混為同一概念。</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因此，辨識階段回答議題位於何處及如何跨格；印證階段回答現行教育是否已經教到、教得多深、能否跨域整合，以及能否轉移到真實公共問題。兩種分析各有功能，但共同指向公共行政教育的變與不變。</w:t>
      </w:r>
    </w:p>
    <w:p w:rsidR="00A266BB" w:rsidRPr="00CF12C3" w:rsidRDefault="00FB0C44">
      <w:pPr>
        <w:pStyle w:val="2"/>
        <w:rPr>
          <w:rFonts w:asciiTheme="minorEastAsia" w:eastAsiaTheme="minorEastAsia" w:hAnsiTheme="minorEastAsia"/>
          <w:color w:val="000000" w:themeColor="text1"/>
          <w:lang w:eastAsia="zh-TW"/>
        </w:rPr>
      </w:pPr>
      <w:bookmarkStart w:id="9" w:name="四本文的分析延伸"/>
      <w:bookmarkEnd w:id="8"/>
      <w:r w:rsidRPr="00CF12C3">
        <w:rPr>
          <w:rFonts w:asciiTheme="minorEastAsia" w:eastAsiaTheme="minorEastAsia" w:hAnsiTheme="minorEastAsia"/>
          <w:color w:val="000000" w:themeColor="text1"/>
          <w:lang w:eastAsia="zh-TW"/>
        </w:rPr>
        <w:t>五、本文的分析延伸</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t>本文把AI治理視為既定條件，追問公共行政教育哪些知識骨架仍然有效，哪些內容、連結與教學分工必須改變。</w:t>
      </w:r>
    </w:p>
    <w:p w:rsidR="00A266BB" w:rsidRPr="00CF12C3" w:rsidRDefault="00FB0C44">
      <w:pPr>
        <w:pStyle w:val="2"/>
        <w:rPr>
          <w:rFonts w:asciiTheme="minorEastAsia" w:eastAsiaTheme="minorEastAsia" w:hAnsiTheme="minorEastAsia"/>
          <w:color w:val="000000" w:themeColor="text1"/>
          <w:lang w:eastAsia="zh-TW"/>
        </w:rPr>
      </w:pPr>
      <w:bookmarkStart w:id="10" w:name="五與台灣及國際相關學說的對話"/>
      <w:bookmarkEnd w:id="9"/>
      <w:r w:rsidRPr="00CF12C3">
        <w:rPr>
          <w:rFonts w:asciiTheme="minorEastAsia" w:eastAsiaTheme="minorEastAsia" w:hAnsiTheme="minorEastAsia"/>
          <w:color w:val="000000" w:themeColor="text1"/>
          <w:lang w:eastAsia="zh-TW"/>
        </w:rPr>
        <w:t>六、與臺灣及國際相關學說的對話</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國際學界已有與本文相鄰但目的不同的架構。</w:t>
      </w:r>
      <w:r w:rsidRPr="00CF12C3">
        <w:rPr>
          <w:rFonts w:asciiTheme="minorEastAsia" w:hAnsiTheme="minorEastAsia"/>
          <w:color w:val="000000" w:themeColor="text1"/>
          <w:lang w:eastAsia="zh-TW"/>
        </w:rPr>
        <w:t>Zhu</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2026</w:t>
      </w:r>
      <w:r w:rsidRPr="00CF12C3">
        <w:rPr>
          <w:rFonts w:asciiTheme="minorEastAsia" w:hAnsiTheme="minorEastAsia"/>
          <w:color w:val="000000" w:themeColor="text1"/>
          <w:lang w:eastAsia="zh-TW"/>
        </w:rPr>
        <w:t>）以</w:t>
      </w:r>
      <w:r w:rsidRPr="00CF12C3">
        <w:rPr>
          <w:rFonts w:asciiTheme="minorEastAsia" w:hAnsiTheme="minorEastAsia"/>
          <w:color w:val="000000" w:themeColor="text1"/>
          <w:lang w:eastAsia="zh-TW"/>
        </w:rPr>
        <w:t>with</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of</w:t>
      </w:r>
      <w:r w:rsidRPr="00CF12C3">
        <w:rPr>
          <w:rFonts w:asciiTheme="minorEastAsia" w:hAnsiTheme="minorEastAsia"/>
          <w:color w:val="000000" w:themeColor="text1"/>
          <w:lang w:eastAsia="zh-TW"/>
        </w:rPr>
        <w:t>與</w:t>
      </w:r>
      <w:r w:rsidRPr="00CF12C3">
        <w:rPr>
          <w:rFonts w:asciiTheme="minorEastAsia" w:hAnsiTheme="minorEastAsia"/>
          <w:color w:val="000000" w:themeColor="text1"/>
          <w:lang w:eastAsia="zh-TW"/>
        </w:rPr>
        <w:t>through AI</w:t>
      </w:r>
      <w:r w:rsidRPr="00CF12C3">
        <w:rPr>
          <w:rFonts w:asciiTheme="minorEastAsia" w:hAnsiTheme="minorEastAsia"/>
          <w:color w:val="000000" w:themeColor="text1"/>
          <w:lang w:eastAsia="zh-TW"/>
        </w:rPr>
        <w:t>說明公共行政與</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的三種關係；本文則進一步追問，大學與公務訓練如</w:t>
      </w:r>
      <w:r w:rsidRPr="00CF12C3">
        <w:rPr>
          <w:rFonts w:asciiTheme="minorEastAsia" w:hAnsiTheme="minorEastAsia"/>
          <w:color w:val="000000" w:themeColor="text1"/>
          <w:lang w:eastAsia="zh-TW"/>
        </w:rPr>
        <w:lastRenderedPageBreak/>
        <w:t>何使學習者理解這三種關係在五層次與五分析單位中的位置。</w:t>
      </w:r>
      <w:r w:rsidRPr="00CF12C3">
        <w:rPr>
          <w:rFonts w:asciiTheme="minorEastAsia" w:hAnsiTheme="minorEastAsia"/>
          <w:color w:val="000000" w:themeColor="text1"/>
          <w:lang w:eastAsia="zh-TW"/>
        </w:rPr>
        <w:t>Zhu</w:t>
      </w:r>
      <w:r w:rsidRPr="00CF12C3">
        <w:rPr>
          <w:rFonts w:asciiTheme="minorEastAsia" w:hAnsiTheme="minorEastAsia"/>
          <w:color w:val="000000" w:themeColor="text1"/>
          <w:lang w:eastAsia="zh-TW"/>
        </w:rPr>
        <w:t>的三分法可說明關係類型，</w:t>
      </w:r>
      <w:r w:rsidRPr="00CF12C3">
        <w:rPr>
          <w:rFonts w:asciiTheme="minorEastAsia" w:hAnsiTheme="minorEastAsia"/>
          <w:color w:val="000000" w:themeColor="text1"/>
          <w:lang w:eastAsia="zh-TW"/>
        </w:rPr>
        <w:t>5×5</w:t>
      </w:r>
      <w:r w:rsidRPr="00CF12C3">
        <w:rPr>
          <w:rFonts w:asciiTheme="minorEastAsia" w:hAnsiTheme="minorEastAsia"/>
          <w:color w:val="000000" w:themeColor="text1"/>
          <w:lang w:eastAsia="zh-TW"/>
        </w:rPr>
        <w:t>則用</w:t>
      </w:r>
      <w:r w:rsidRPr="00CF12C3">
        <w:rPr>
          <w:rFonts w:asciiTheme="minorEastAsia" w:hAnsiTheme="minorEastAsia"/>
          <w:color w:val="000000" w:themeColor="text1"/>
          <w:lang w:eastAsia="zh-TW"/>
        </w:rPr>
        <w:t>來診斷知識覆蓋、跨格連結與教育缺口，兩者相容但不能互相取代。</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台灣研究已由公共價值、行政裁量、組織層次及文官能力討論</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進入政府（黃心怡等人，</w:t>
      </w:r>
      <w:r w:rsidRPr="00CF12C3">
        <w:rPr>
          <w:rFonts w:asciiTheme="minorEastAsia" w:hAnsiTheme="minorEastAsia"/>
          <w:color w:val="000000" w:themeColor="text1"/>
          <w:lang w:eastAsia="zh-TW"/>
        </w:rPr>
        <w:t>2021</w:t>
      </w:r>
      <w:r w:rsidRPr="00CF12C3">
        <w:rPr>
          <w:rFonts w:asciiTheme="minorEastAsia" w:hAnsiTheme="minorEastAsia"/>
          <w:color w:val="000000" w:themeColor="text1"/>
          <w:lang w:eastAsia="zh-TW"/>
        </w:rPr>
        <w:t>；黃心怡與陳敦源，</w:t>
      </w:r>
      <w:r w:rsidRPr="00CF12C3">
        <w:rPr>
          <w:rFonts w:asciiTheme="minorEastAsia" w:hAnsiTheme="minorEastAsia"/>
          <w:color w:val="000000" w:themeColor="text1"/>
          <w:lang w:eastAsia="zh-TW"/>
        </w:rPr>
        <w:t>2023</w:t>
      </w:r>
      <w:r w:rsidRPr="00CF12C3">
        <w:rPr>
          <w:rFonts w:asciiTheme="minorEastAsia" w:hAnsiTheme="minorEastAsia"/>
          <w:color w:val="000000" w:themeColor="text1"/>
          <w:lang w:eastAsia="zh-TW"/>
        </w:rPr>
        <w:t>；廖興中，</w:t>
      </w:r>
      <w:r w:rsidRPr="00CF12C3">
        <w:rPr>
          <w:rFonts w:asciiTheme="minorEastAsia" w:hAnsiTheme="minorEastAsia"/>
          <w:color w:val="000000" w:themeColor="text1"/>
          <w:lang w:eastAsia="zh-TW"/>
        </w:rPr>
        <w:t>2024</w:t>
      </w:r>
      <w:r w:rsidRPr="00CF12C3">
        <w:rPr>
          <w:rFonts w:asciiTheme="minorEastAsia" w:hAnsiTheme="minorEastAsia"/>
          <w:color w:val="000000" w:themeColor="text1"/>
          <w:lang w:eastAsia="zh-TW"/>
        </w:rPr>
        <w:t>）。這些研究顯示</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教育不能只教工具，但尚未把公共行政知識的五層次、五分析單位、議題跨格及大學</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文官訓練的變與不變整合為同一分析程序。此處構成本篇的增量問題。</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據此，本篇的焦點不是再提出</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治理分類或授權架構，而是把既有</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與公共行政研究轉化為教育診斷：哪些知識仍須保留，哪些內容須更新，哪些課程須重新連結，以及大學教</w:t>
      </w:r>
      <w:r w:rsidRPr="00CF12C3">
        <w:rPr>
          <w:rFonts w:asciiTheme="minorEastAsia" w:hAnsiTheme="minorEastAsia"/>
          <w:color w:val="000000" w:themeColor="text1"/>
          <w:lang w:eastAsia="zh-TW"/>
        </w:rPr>
        <w:t>育與公務人員訓練應如何分工。</w:t>
      </w:r>
    </w:p>
    <w:p w:rsidR="00A266BB" w:rsidRPr="00CF12C3" w:rsidRDefault="00FB0C44">
      <w:pPr>
        <w:pStyle w:val="1"/>
        <w:rPr>
          <w:rFonts w:asciiTheme="minorEastAsia" w:eastAsiaTheme="minorEastAsia" w:hAnsiTheme="minorEastAsia"/>
          <w:color w:val="000000" w:themeColor="text1"/>
          <w:lang w:eastAsia="zh-TW"/>
        </w:rPr>
      </w:pPr>
      <w:bookmarkStart w:id="11" w:name="參辨識與討論五項ai治理議題範圍的25座標定位"/>
      <w:bookmarkEnd w:id="5"/>
      <w:bookmarkEnd w:id="10"/>
      <w:r w:rsidRPr="00CF12C3">
        <w:rPr>
          <w:rFonts w:asciiTheme="minorEastAsia" w:eastAsiaTheme="minorEastAsia" w:hAnsiTheme="minorEastAsia"/>
          <w:color w:val="000000" w:themeColor="text1"/>
          <w:lang w:eastAsia="zh-TW"/>
        </w:rPr>
        <w:t>參、辨識與討論：五項</w:t>
      </w:r>
      <w:r w:rsidRPr="00CF12C3">
        <w:rPr>
          <w:rFonts w:asciiTheme="minorEastAsia" w:eastAsiaTheme="minorEastAsia" w:hAnsiTheme="minorEastAsia"/>
          <w:color w:val="000000" w:themeColor="text1"/>
          <w:lang w:eastAsia="zh-TW"/>
        </w:rPr>
        <w:t>AI</w:t>
      </w:r>
      <w:r w:rsidRPr="00CF12C3">
        <w:rPr>
          <w:rFonts w:asciiTheme="minorEastAsia" w:eastAsiaTheme="minorEastAsia" w:hAnsiTheme="minorEastAsia"/>
          <w:color w:val="000000" w:themeColor="text1"/>
          <w:lang w:eastAsia="zh-TW"/>
        </w:rPr>
        <w:t>治理議題範圍的</w:t>
      </w:r>
      <w:r w:rsidRPr="00CF12C3">
        <w:rPr>
          <w:rFonts w:asciiTheme="minorEastAsia" w:eastAsiaTheme="minorEastAsia" w:hAnsiTheme="minorEastAsia"/>
          <w:color w:val="000000" w:themeColor="text1"/>
          <w:lang w:eastAsia="zh-TW"/>
        </w:rPr>
        <w:t>25</w:t>
      </w:r>
      <w:r w:rsidRPr="00CF12C3">
        <w:rPr>
          <w:rFonts w:asciiTheme="minorEastAsia" w:eastAsiaTheme="minorEastAsia" w:hAnsiTheme="minorEastAsia"/>
          <w:color w:val="000000" w:themeColor="text1"/>
          <w:lang w:eastAsia="zh-TW"/>
        </w:rPr>
        <w:t>座標定位</w:t>
      </w:r>
    </w:p>
    <w:p w:rsidR="00A266BB" w:rsidRPr="00CF12C3" w:rsidRDefault="00FB0C44">
      <w:pPr>
        <w:pStyle w:val="2"/>
        <w:rPr>
          <w:rFonts w:asciiTheme="minorEastAsia" w:eastAsiaTheme="minorEastAsia" w:hAnsiTheme="minorEastAsia"/>
          <w:color w:val="000000" w:themeColor="text1"/>
          <w:lang w:eastAsia="zh-TW"/>
        </w:rPr>
      </w:pPr>
      <w:bookmarkStart w:id="12" w:name="一分析方式"/>
      <w:r w:rsidRPr="00CF12C3">
        <w:rPr>
          <w:rFonts w:asciiTheme="minorEastAsia" w:eastAsiaTheme="minorEastAsia" w:hAnsiTheme="minorEastAsia"/>
          <w:color w:val="000000" w:themeColor="text1"/>
          <w:lang w:eastAsia="zh-TW"/>
        </w:rPr>
        <w:t>一、分析方式</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本節選取五項非窮盡的</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治理議題範圍，原因是它們已經或可能改變公共行政的基本知識對象，卻尚未在既有教育中獲得完整處理。每項議題先標定</w:t>
      </w:r>
      <w:r w:rsidRPr="00CF12C3">
        <w:rPr>
          <w:rFonts w:asciiTheme="minorEastAsia" w:hAnsiTheme="minorEastAsia"/>
          <w:color w:val="000000" w:themeColor="text1"/>
          <w:lang w:eastAsia="zh-TW"/>
        </w:rPr>
        <w:t>25</w:t>
      </w:r>
      <w:r w:rsidRPr="00CF12C3">
        <w:rPr>
          <w:rFonts w:asciiTheme="minorEastAsia" w:hAnsiTheme="minorEastAsia"/>
          <w:color w:val="000000" w:themeColor="text1"/>
          <w:lang w:eastAsia="zh-TW"/>
        </w:rPr>
        <w:t>座標的起始與延伸位置，再辨識</w:t>
      </w:r>
      <w:r w:rsidRPr="00CF12C3">
        <w:rPr>
          <w:rFonts w:asciiTheme="minorEastAsia" w:hAnsiTheme="minorEastAsia"/>
          <w:color w:val="000000" w:themeColor="text1"/>
          <w:lang w:eastAsia="zh-TW"/>
        </w:rPr>
        <w:t>P1</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P2</w:t>
      </w:r>
      <w:r w:rsidRPr="00CF12C3">
        <w:rPr>
          <w:rFonts w:asciiTheme="minorEastAsia" w:hAnsiTheme="minorEastAsia"/>
          <w:color w:val="000000" w:themeColor="text1"/>
          <w:lang w:eastAsia="zh-TW"/>
        </w:rPr>
        <w:t>或</w:t>
      </w:r>
      <w:r w:rsidRPr="00CF12C3">
        <w:rPr>
          <w:rFonts w:asciiTheme="minorEastAsia" w:hAnsiTheme="minorEastAsia"/>
          <w:color w:val="000000" w:themeColor="text1"/>
          <w:lang w:eastAsia="zh-TW"/>
        </w:rPr>
        <w:t>P3</w:t>
      </w:r>
      <w:r w:rsidRPr="00CF12C3">
        <w:rPr>
          <w:rFonts w:asciiTheme="minorEastAsia" w:hAnsiTheme="minorEastAsia"/>
          <w:color w:val="000000" w:themeColor="text1"/>
          <w:lang w:eastAsia="zh-TW"/>
        </w:rPr>
        <w:t>何種權力功能性移轉較為突出，最後觀察跨座標移動、邊界消解與權威重構；國際不是另立的第六項議題，而是各議題可能延伸的分析單位。表</w:t>
      </w:r>
      <w:r w:rsidRPr="00CF12C3">
        <w:rPr>
          <w:rFonts w:asciiTheme="minorEastAsia" w:hAnsiTheme="minorEastAsia"/>
          <w:color w:val="000000" w:themeColor="text1"/>
          <w:lang w:eastAsia="zh-TW"/>
        </w:rPr>
        <w:t>2</w:t>
      </w:r>
      <w:r w:rsidRPr="00CF12C3">
        <w:rPr>
          <w:rFonts w:asciiTheme="minorEastAsia" w:hAnsiTheme="minorEastAsia"/>
          <w:color w:val="000000" w:themeColor="text1"/>
          <w:lang w:eastAsia="zh-TW"/>
        </w:rPr>
        <w:t>說明選取理由與未竟問題，表</w:t>
      </w:r>
      <w:r w:rsidRPr="00CF12C3">
        <w:rPr>
          <w:rFonts w:asciiTheme="minorEastAsia" w:hAnsiTheme="minorEastAsia"/>
          <w:color w:val="000000" w:themeColor="text1"/>
          <w:lang w:eastAsia="zh-TW"/>
        </w:rPr>
        <w:t>3</w:t>
      </w:r>
      <w:r w:rsidRPr="00CF12C3">
        <w:rPr>
          <w:rFonts w:asciiTheme="minorEastAsia" w:hAnsiTheme="minorEastAsia"/>
          <w:color w:val="000000" w:themeColor="text1"/>
          <w:lang w:eastAsia="zh-TW"/>
        </w:rPr>
        <w:t>進一步完成座標定位、權力移轉及教育問題診斷。</w:t>
      </w:r>
    </w:p>
    <w:tbl>
      <w:tblPr>
        <w:tblStyle w:val="Table"/>
        <w:tblW w:w="8800" w:type="dxa"/>
        <w:jc w:val="center"/>
        <w:tblBorders>
          <w:top w:val="single" w:sz="5" w:space="0" w:color="7F7F7F"/>
          <w:left w:val="single" w:sz="5" w:space="0" w:color="7F7F7F"/>
          <w:bottom w:val="single" w:sz="5" w:space="0" w:color="7F7F7F"/>
          <w:right w:val="single" w:sz="5" w:space="0" w:color="7F7F7F"/>
          <w:insideH w:val="single" w:sz="5" w:space="0" w:color="7F7F7F"/>
          <w:insideV w:val="single" w:sz="5" w:space="0" w:color="7F7F7F"/>
        </w:tblBorders>
        <w:tblLayout w:type="fixed"/>
        <w:tblLook w:val="0020" w:firstRow="1" w:lastRow="0" w:firstColumn="0" w:lastColumn="0" w:noHBand="0" w:noVBand="0"/>
      </w:tblPr>
      <w:tblGrid>
        <w:gridCol w:w="1700"/>
        <w:gridCol w:w="2500"/>
        <w:gridCol w:w="4600"/>
      </w:tblGrid>
      <w:tr w:rsidR="00CF12C3" w:rsidRPr="00CF12C3" w:rsidTr="00A266BB">
        <w:trPr>
          <w:cnfStyle w:val="100000000000" w:firstRow="1" w:lastRow="0" w:firstColumn="0" w:lastColumn="0" w:oddVBand="0" w:evenVBand="0" w:oddHBand="0" w:evenHBand="0" w:firstRowFirstColumn="0" w:firstRowLastColumn="0" w:lastRowFirstColumn="0" w:lastRowLastColumn="0"/>
          <w:tblHeader/>
          <w:jc w:val="center"/>
        </w:trPr>
        <w:tc>
          <w:tcPr>
            <w:tcW w:w="1700" w:type="dxa"/>
            <w:shd w:val="clear" w:color="auto" w:fill="D9E2F3"/>
            <w:tcMar>
              <w:top w:w="80" w:type="dxa"/>
              <w:left w:w="90" w:type="dxa"/>
              <w:bottom w:w="80" w:type="dxa"/>
              <w:right w:w="90" w:type="dxa"/>
            </w:tcMar>
            <w:vAlign w:val="center"/>
          </w:tcPr>
          <w:p w:rsidR="00A266BB" w:rsidRPr="00CF12C3" w:rsidRDefault="00FB0C44">
            <w:pPr>
              <w:pStyle w:val="Compact"/>
              <w:spacing w:after="40" w:line="276" w:lineRule="auto"/>
              <w:jc w:val="center"/>
              <w:rPr>
                <w:rFonts w:asciiTheme="minorEastAsia" w:hAnsiTheme="minorEastAsia"/>
                <w:color w:val="000000" w:themeColor="text1"/>
              </w:rPr>
            </w:pPr>
            <w:r w:rsidRPr="00CF12C3">
              <w:rPr>
                <w:rFonts w:asciiTheme="minorEastAsia" w:hAnsiTheme="minorEastAsia"/>
                <w:b/>
                <w:color w:val="000000" w:themeColor="text1"/>
                <w:sz w:val="17"/>
              </w:rPr>
              <w:t>議題範圍</w:t>
            </w:r>
          </w:p>
        </w:tc>
        <w:tc>
          <w:tcPr>
            <w:tcW w:w="2500" w:type="dxa"/>
            <w:shd w:val="clear" w:color="auto" w:fill="D9E2F3"/>
            <w:tcMar>
              <w:top w:w="80" w:type="dxa"/>
              <w:left w:w="90" w:type="dxa"/>
              <w:bottom w:w="80" w:type="dxa"/>
              <w:right w:w="90" w:type="dxa"/>
            </w:tcMar>
            <w:vAlign w:val="center"/>
          </w:tcPr>
          <w:p w:rsidR="00A266BB" w:rsidRPr="00CF12C3" w:rsidRDefault="00FB0C44">
            <w:pPr>
              <w:pStyle w:val="Compact"/>
              <w:spacing w:after="40" w:line="276" w:lineRule="auto"/>
              <w:jc w:val="center"/>
              <w:rPr>
                <w:rFonts w:asciiTheme="minorEastAsia" w:hAnsiTheme="minorEastAsia"/>
                <w:color w:val="000000" w:themeColor="text1"/>
              </w:rPr>
            </w:pPr>
            <w:r w:rsidRPr="00CF12C3">
              <w:rPr>
                <w:rFonts w:asciiTheme="minorEastAsia" w:hAnsiTheme="minorEastAsia"/>
                <w:b/>
                <w:color w:val="000000" w:themeColor="text1"/>
                <w:sz w:val="17"/>
              </w:rPr>
              <w:t>主要改變對象</w:t>
            </w:r>
          </w:p>
        </w:tc>
        <w:tc>
          <w:tcPr>
            <w:tcW w:w="4600" w:type="dxa"/>
            <w:shd w:val="clear" w:color="auto" w:fill="D9E2F3"/>
            <w:tcMar>
              <w:top w:w="80" w:type="dxa"/>
              <w:left w:w="90" w:type="dxa"/>
              <w:bottom w:w="80" w:type="dxa"/>
              <w:right w:w="90" w:type="dxa"/>
            </w:tcMar>
            <w:vAlign w:val="center"/>
          </w:tcPr>
          <w:p w:rsidR="00A266BB" w:rsidRPr="00CF12C3" w:rsidRDefault="00FB0C44">
            <w:pPr>
              <w:pStyle w:val="Compact"/>
              <w:spacing w:after="40" w:line="276" w:lineRule="auto"/>
              <w:jc w:val="center"/>
              <w:rPr>
                <w:rFonts w:asciiTheme="minorEastAsia" w:hAnsiTheme="minorEastAsia"/>
                <w:color w:val="000000" w:themeColor="text1"/>
                <w:lang w:eastAsia="zh-TW"/>
              </w:rPr>
            </w:pPr>
            <w:r w:rsidRPr="00CF12C3">
              <w:rPr>
                <w:rFonts w:asciiTheme="minorEastAsia" w:hAnsiTheme="minorEastAsia"/>
                <w:b/>
                <w:color w:val="000000" w:themeColor="text1"/>
                <w:sz w:val="17"/>
                <w:lang w:eastAsia="zh-TW"/>
              </w:rPr>
              <w:t>公共行政教育</w:t>
            </w:r>
            <w:r w:rsidRPr="00CF12C3">
              <w:rPr>
                <w:rFonts w:asciiTheme="minorEastAsia" w:hAnsiTheme="minorEastAsia"/>
                <w:b/>
                <w:color w:val="000000" w:themeColor="text1"/>
                <w:sz w:val="17"/>
                <w:lang w:eastAsia="zh-TW"/>
              </w:rPr>
              <w:t>尚未充分處理的問題</w:t>
            </w:r>
          </w:p>
        </w:tc>
      </w:tr>
      <w:tr w:rsidR="00CF12C3" w:rsidRPr="00CF12C3" w:rsidTr="00A266BB">
        <w:trPr>
          <w:jc w:val="center"/>
        </w:trPr>
        <w:tc>
          <w:tcPr>
            <w:tcW w:w="17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proofErr w:type="spellStart"/>
            <w:r w:rsidRPr="00CF12C3">
              <w:rPr>
                <w:rFonts w:asciiTheme="minorEastAsia" w:hAnsiTheme="minorEastAsia"/>
                <w:color w:val="000000" w:themeColor="text1"/>
                <w:sz w:val="17"/>
              </w:rPr>
              <w:t>虛擬政府</w:t>
            </w:r>
            <w:proofErr w:type="spellEnd"/>
          </w:p>
        </w:tc>
        <w:tc>
          <w:tcPr>
            <w:tcW w:w="25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政府空間、數位身分、服務入口與公民互動</w:t>
            </w:r>
          </w:p>
        </w:tc>
        <w:tc>
          <w:tcPr>
            <w:tcW w:w="46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數位政府課程是否仍把平台當作服務工具，而未處理政府存在形式與數位排除</w:t>
            </w:r>
          </w:p>
        </w:tc>
      </w:tr>
      <w:tr w:rsidR="00CF12C3" w:rsidRPr="00CF12C3" w:rsidTr="00A266BB">
        <w:trPr>
          <w:jc w:val="center"/>
        </w:trPr>
        <w:tc>
          <w:tcPr>
            <w:tcW w:w="17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proofErr w:type="spellStart"/>
            <w:r w:rsidRPr="00CF12C3">
              <w:rPr>
                <w:rFonts w:asciiTheme="minorEastAsia" w:hAnsiTheme="minorEastAsia"/>
                <w:color w:val="000000" w:themeColor="text1"/>
                <w:sz w:val="17"/>
              </w:rPr>
              <w:t>無人政府／無人行政</w:t>
            </w:r>
            <w:proofErr w:type="spellEnd"/>
          </w:p>
        </w:tc>
        <w:tc>
          <w:tcPr>
            <w:tcW w:w="25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公務人員、行政流程、組織記憶與責任位置</w:t>
            </w:r>
          </w:p>
        </w:tc>
        <w:tc>
          <w:tcPr>
            <w:tcW w:w="46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組織與管理教育是否仍預設政府必然由人員直接執行及判斷</w:t>
            </w:r>
          </w:p>
        </w:tc>
      </w:tr>
      <w:tr w:rsidR="00CF12C3" w:rsidRPr="00CF12C3" w:rsidTr="00A266BB">
        <w:trPr>
          <w:jc w:val="center"/>
        </w:trPr>
        <w:tc>
          <w:tcPr>
            <w:tcW w:w="17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proofErr w:type="spellStart"/>
            <w:r w:rsidRPr="00CF12C3">
              <w:rPr>
                <w:rFonts w:asciiTheme="minorEastAsia" w:hAnsiTheme="minorEastAsia"/>
                <w:color w:val="000000" w:themeColor="text1"/>
                <w:sz w:val="17"/>
              </w:rPr>
              <w:t>AI</w:t>
            </w:r>
            <w:r w:rsidRPr="00CF12C3">
              <w:rPr>
                <w:rFonts w:asciiTheme="minorEastAsia" w:hAnsiTheme="minorEastAsia"/>
                <w:color w:val="000000" w:themeColor="text1"/>
                <w:sz w:val="17"/>
              </w:rPr>
              <w:t>行政裁量</w:t>
            </w:r>
            <w:proofErr w:type="spellEnd"/>
          </w:p>
        </w:tc>
        <w:tc>
          <w:tcPr>
            <w:tcW w:w="25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許可、福利、稅務、警政、移民與裁罰判斷</w:t>
            </w:r>
          </w:p>
        </w:tc>
        <w:tc>
          <w:tcPr>
            <w:tcW w:w="46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行政學、行政法、政策與資料科學能否共同說明模型介入裁量</w:t>
            </w:r>
          </w:p>
        </w:tc>
      </w:tr>
      <w:tr w:rsidR="00CF12C3" w:rsidRPr="00CF12C3" w:rsidTr="00A266BB">
        <w:trPr>
          <w:jc w:val="center"/>
        </w:trPr>
        <w:tc>
          <w:tcPr>
            <w:tcW w:w="17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proofErr w:type="spellStart"/>
            <w:r w:rsidRPr="00CF12C3">
              <w:rPr>
                <w:rFonts w:asciiTheme="minorEastAsia" w:hAnsiTheme="minorEastAsia"/>
                <w:color w:val="000000" w:themeColor="text1"/>
                <w:sz w:val="17"/>
              </w:rPr>
              <w:t>AI</w:t>
            </w:r>
            <w:r w:rsidRPr="00CF12C3">
              <w:rPr>
                <w:rFonts w:asciiTheme="minorEastAsia" w:hAnsiTheme="minorEastAsia"/>
                <w:color w:val="000000" w:themeColor="text1"/>
                <w:sz w:val="17"/>
              </w:rPr>
              <w:t>司法與準司法</w:t>
            </w:r>
            <w:proofErr w:type="spellEnd"/>
          </w:p>
        </w:tc>
        <w:tc>
          <w:tcPr>
            <w:tcW w:w="25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證據整理、風險預測、裁判建</w:t>
            </w:r>
            <w:r w:rsidRPr="00CF12C3">
              <w:rPr>
                <w:rFonts w:asciiTheme="minorEastAsia" w:hAnsiTheme="minorEastAsia"/>
                <w:color w:val="000000" w:themeColor="text1"/>
                <w:sz w:val="17"/>
                <w:lang w:eastAsia="zh-TW"/>
              </w:rPr>
              <w:lastRenderedPageBreak/>
              <w:t>議及理由形成</w:t>
            </w:r>
          </w:p>
        </w:tc>
        <w:tc>
          <w:tcPr>
            <w:tcW w:w="46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lastRenderedPageBreak/>
              <w:t>公共行政教育是否能區分預測、證據、理由與制度權威</w:t>
            </w:r>
          </w:p>
        </w:tc>
      </w:tr>
      <w:tr w:rsidR="00CF12C3" w:rsidRPr="00CF12C3" w:rsidTr="00A266BB">
        <w:trPr>
          <w:jc w:val="center"/>
        </w:trPr>
        <w:tc>
          <w:tcPr>
            <w:tcW w:w="17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AI</w:t>
            </w:r>
            <w:r w:rsidRPr="00CF12C3">
              <w:rPr>
                <w:rFonts w:asciiTheme="minorEastAsia" w:hAnsiTheme="minorEastAsia"/>
                <w:color w:val="000000" w:themeColor="text1"/>
                <w:sz w:val="17"/>
                <w:lang w:eastAsia="zh-TW"/>
              </w:rPr>
              <w:t>財政、信用點數與可程式化給付</w:t>
            </w:r>
          </w:p>
        </w:tc>
        <w:tc>
          <w:tcPr>
            <w:tcW w:w="25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預算、稅務、支付、信用分類、給付限制與資源配置</w:t>
            </w:r>
          </w:p>
        </w:tc>
        <w:tc>
          <w:tcPr>
            <w:tcW w:w="46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財政與政策教育是否仍以傳統貨幣、預算及給付制度為唯一前提</w:t>
            </w:r>
          </w:p>
        </w:tc>
      </w:tr>
    </w:tbl>
    <w:p w:rsidR="00A266BB" w:rsidRPr="00CF12C3" w:rsidRDefault="00FB0C44">
      <w:pPr>
        <w:pStyle w:val="a0"/>
        <w:rPr>
          <w:rFonts w:asciiTheme="minorEastAsia" w:hAnsiTheme="minorEastAsia"/>
          <w:color w:val="000000" w:themeColor="text1"/>
          <w:lang w:eastAsia="zh-TW"/>
        </w:rPr>
      </w:pPr>
      <w:r w:rsidRPr="00CF12C3">
        <w:rPr>
          <w:rFonts w:asciiTheme="minorEastAsia" w:hAnsiTheme="minorEastAsia"/>
          <w:color w:val="000000" w:themeColor="text1"/>
          <w:lang w:eastAsia="zh-TW"/>
        </w:rPr>
        <w:t>表</w:t>
      </w:r>
      <w:r w:rsidRPr="00CF12C3">
        <w:rPr>
          <w:rFonts w:asciiTheme="minorEastAsia" w:hAnsiTheme="minorEastAsia"/>
          <w:color w:val="000000" w:themeColor="text1"/>
          <w:lang w:eastAsia="zh-TW"/>
        </w:rPr>
        <w:t>2</w:t>
      </w:r>
      <w:r w:rsidRPr="00CF12C3">
        <w:rPr>
          <w:rFonts w:asciiTheme="minorEastAsia" w:hAnsiTheme="minorEastAsia"/>
          <w:color w:val="000000" w:themeColor="text1"/>
          <w:lang w:eastAsia="zh-TW"/>
        </w:rPr>
        <w:t xml:space="preserve">　五項</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治理議題範圍、主要改變對象與未竟教育問題</w:t>
      </w:r>
    </w:p>
    <w:tbl>
      <w:tblPr>
        <w:tblStyle w:val="Table"/>
        <w:tblW w:w="8800" w:type="dxa"/>
        <w:jc w:val="center"/>
        <w:tblBorders>
          <w:top w:val="single" w:sz="5" w:space="0" w:color="7F7F7F"/>
          <w:left w:val="single" w:sz="5" w:space="0" w:color="7F7F7F"/>
          <w:bottom w:val="single" w:sz="5" w:space="0" w:color="7F7F7F"/>
          <w:right w:val="single" w:sz="5" w:space="0" w:color="7F7F7F"/>
          <w:insideH w:val="single" w:sz="5" w:space="0" w:color="7F7F7F"/>
          <w:insideV w:val="single" w:sz="5" w:space="0" w:color="7F7F7F"/>
        </w:tblBorders>
        <w:tblLayout w:type="fixed"/>
        <w:tblLook w:val="0020" w:firstRow="1" w:lastRow="0" w:firstColumn="0" w:lastColumn="0" w:noHBand="0" w:noVBand="0"/>
      </w:tblPr>
      <w:tblGrid>
        <w:gridCol w:w="1300"/>
        <w:gridCol w:w="1900"/>
        <w:gridCol w:w="3100"/>
        <w:gridCol w:w="2500"/>
      </w:tblGrid>
      <w:tr w:rsidR="00CF12C3" w:rsidRPr="00CF12C3" w:rsidTr="00A266BB">
        <w:trPr>
          <w:cnfStyle w:val="100000000000" w:firstRow="1" w:lastRow="0" w:firstColumn="0" w:lastColumn="0" w:oddVBand="0" w:evenVBand="0" w:oddHBand="0" w:evenHBand="0" w:firstRowFirstColumn="0" w:firstRowLastColumn="0" w:lastRowFirstColumn="0" w:lastRowLastColumn="0"/>
          <w:tblHeader/>
          <w:jc w:val="center"/>
        </w:trPr>
        <w:tc>
          <w:tcPr>
            <w:tcW w:w="1300" w:type="dxa"/>
            <w:shd w:val="clear" w:color="auto" w:fill="D9E2F3"/>
            <w:tcMar>
              <w:top w:w="80" w:type="dxa"/>
              <w:left w:w="90" w:type="dxa"/>
              <w:bottom w:w="80" w:type="dxa"/>
              <w:right w:w="90" w:type="dxa"/>
            </w:tcMar>
            <w:vAlign w:val="center"/>
          </w:tcPr>
          <w:p w:rsidR="00A266BB" w:rsidRPr="00CF12C3" w:rsidRDefault="00FB0C44">
            <w:pPr>
              <w:pStyle w:val="Compact"/>
              <w:spacing w:after="40" w:line="276" w:lineRule="auto"/>
              <w:jc w:val="center"/>
              <w:rPr>
                <w:rFonts w:asciiTheme="minorEastAsia" w:hAnsiTheme="minorEastAsia"/>
                <w:color w:val="000000" w:themeColor="text1"/>
              </w:rPr>
            </w:pPr>
            <w:r w:rsidRPr="00CF12C3">
              <w:rPr>
                <w:rFonts w:asciiTheme="minorEastAsia" w:hAnsiTheme="minorEastAsia"/>
                <w:b/>
                <w:color w:val="000000" w:themeColor="text1"/>
                <w:sz w:val="17"/>
              </w:rPr>
              <w:t>議題範圍</w:t>
            </w:r>
          </w:p>
        </w:tc>
        <w:tc>
          <w:tcPr>
            <w:tcW w:w="1900" w:type="dxa"/>
            <w:shd w:val="clear" w:color="auto" w:fill="D9E2F3"/>
            <w:tcMar>
              <w:top w:w="80" w:type="dxa"/>
              <w:left w:w="90" w:type="dxa"/>
              <w:bottom w:w="80" w:type="dxa"/>
              <w:right w:w="90" w:type="dxa"/>
            </w:tcMar>
            <w:vAlign w:val="center"/>
          </w:tcPr>
          <w:p w:rsidR="00A266BB" w:rsidRPr="00CF12C3" w:rsidRDefault="00FB0C44">
            <w:pPr>
              <w:pStyle w:val="Compact"/>
              <w:spacing w:after="40" w:line="276" w:lineRule="auto"/>
              <w:jc w:val="center"/>
              <w:rPr>
                <w:rFonts w:asciiTheme="minorEastAsia" w:hAnsiTheme="minorEastAsia"/>
                <w:color w:val="000000" w:themeColor="text1"/>
              </w:rPr>
            </w:pPr>
            <w:r w:rsidRPr="00CF12C3">
              <w:rPr>
                <w:rFonts w:asciiTheme="minorEastAsia" w:hAnsiTheme="minorEastAsia"/>
                <w:b/>
                <w:color w:val="000000" w:themeColor="text1"/>
                <w:sz w:val="17"/>
              </w:rPr>
              <w:t>25</w:t>
            </w:r>
            <w:r w:rsidRPr="00CF12C3">
              <w:rPr>
                <w:rFonts w:asciiTheme="minorEastAsia" w:hAnsiTheme="minorEastAsia"/>
                <w:b/>
                <w:color w:val="000000" w:themeColor="text1"/>
                <w:sz w:val="17"/>
              </w:rPr>
              <w:t>座標定位與移動路徑</w:t>
            </w:r>
          </w:p>
        </w:tc>
        <w:tc>
          <w:tcPr>
            <w:tcW w:w="3100" w:type="dxa"/>
            <w:shd w:val="clear" w:color="auto" w:fill="D9E2F3"/>
            <w:tcMar>
              <w:top w:w="80" w:type="dxa"/>
              <w:left w:w="90" w:type="dxa"/>
              <w:bottom w:w="80" w:type="dxa"/>
              <w:right w:w="90" w:type="dxa"/>
            </w:tcMar>
            <w:vAlign w:val="center"/>
          </w:tcPr>
          <w:p w:rsidR="00A266BB" w:rsidRPr="00CF12C3" w:rsidRDefault="00FB0C44">
            <w:pPr>
              <w:spacing w:after="40" w:line="276" w:lineRule="auto"/>
              <w:jc w:val="center"/>
              <w:rPr>
                <w:rFonts w:asciiTheme="minorEastAsia" w:hAnsiTheme="minorEastAsia"/>
                <w:color w:val="000000" w:themeColor="text1"/>
                <w:lang w:eastAsia="zh-TW"/>
              </w:rPr>
            </w:pPr>
            <w:r w:rsidRPr="00CF12C3">
              <w:rPr>
                <w:rFonts w:asciiTheme="minorEastAsia" w:hAnsiTheme="minorEastAsia"/>
                <w:b/>
                <w:color w:val="000000" w:themeColor="text1"/>
                <w:sz w:val="17"/>
                <w:lang w:eastAsia="zh-TW"/>
              </w:rPr>
              <w:t>主要權力移轉與三項結構效應</w:t>
            </w:r>
          </w:p>
        </w:tc>
        <w:tc>
          <w:tcPr>
            <w:tcW w:w="2500" w:type="dxa"/>
            <w:shd w:val="clear" w:color="auto" w:fill="D9E2F3"/>
            <w:tcMar>
              <w:top w:w="80" w:type="dxa"/>
              <w:left w:w="90" w:type="dxa"/>
              <w:bottom w:w="80" w:type="dxa"/>
              <w:right w:w="90" w:type="dxa"/>
            </w:tcMar>
            <w:vAlign w:val="center"/>
          </w:tcPr>
          <w:p w:rsidR="00A266BB" w:rsidRPr="00CF12C3" w:rsidRDefault="00FB0C44">
            <w:pPr>
              <w:pStyle w:val="Compact"/>
              <w:spacing w:after="40" w:line="276" w:lineRule="auto"/>
              <w:jc w:val="center"/>
              <w:rPr>
                <w:rFonts w:asciiTheme="minorEastAsia" w:hAnsiTheme="minorEastAsia"/>
                <w:color w:val="000000" w:themeColor="text1"/>
                <w:lang w:eastAsia="zh-TW"/>
              </w:rPr>
            </w:pPr>
            <w:r w:rsidRPr="00CF12C3">
              <w:rPr>
                <w:rFonts w:asciiTheme="minorEastAsia" w:hAnsiTheme="minorEastAsia"/>
                <w:b/>
                <w:color w:val="000000" w:themeColor="text1"/>
                <w:sz w:val="17"/>
                <w:lang w:eastAsia="zh-TW"/>
              </w:rPr>
              <w:t>公共行政教育的定位問題</w:t>
            </w:r>
          </w:p>
        </w:tc>
      </w:tr>
      <w:tr w:rsidR="00CF12C3" w:rsidRPr="00CF12C3" w:rsidTr="00A266BB">
        <w:trPr>
          <w:jc w:val="center"/>
        </w:trPr>
        <w:tc>
          <w:tcPr>
            <w:tcW w:w="13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proofErr w:type="spellStart"/>
            <w:r w:rsidRPr="00CF12C3">
              <w:rPr>
                <w:rFonts w:asciiTheme="minorEastAsia" w:hAnsiTheme="minorEastAsia"/>
                <w:color w:val="000000" w:themeColor="text1"/>
                <w:sz w:val="17"/>
              </w:rPr>
              <w:t>虛擬政府</w:t>
            </w:r>
            <w:proofErr w:type="spellEnd"/>
          </w:p>
        </w:tc>
        <w:tc>
          <w:tcPr>
            <w:tcW w:w="19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管理運作</w:t>
            </w:r>
            <w:r w:rsidRPr="00CF12C3">
              <w:rPr>
                <w:rFonts w:asciiTheme="minorEastAsia" w:hAnsiTheme="minorEastAsia"/>
                <w:color w:val="000000" w:themeColor="text1"/>
                <w:sz w:val="17"/>
                <w:lang w:eastAsia="zh-TW"/>
              </w:rPr>
              <w:t>×</w:t>
            </w:r>
            <w:r w:rsidRPr="00CF12C3">
              <w:rPr>
                <w:rFonts w:asciiTheme="minorEastAsia" w:hAnsiTheme="minorEastAsia"/>
                <w:color w:val="000000" w:themeColor="text1"/>
                <w:sz w:val="17"/>
                <w:lang w:eastAsia="zh-TW"/>
              </w:rPr>
              <w:t>個人</w:t>
            </w:r>
            <w:r w:rsidRPr="00CF12C3">
              <w:rPr>
                <w:rFonts w:asciiTheme="minorEastAsia" w:hAnsiTheme="minorEastAsia"/>
                <w:color w:val="000000" w:themeColor="text1"/>
                <w:sz w:val="17"/>
                <w:lang w:eastAsia="zh-TW"/>
              </w:rPr>
              <w:t xml:space="preserve"> → </w:t>
            </w:r>
            <w:r w:rsidRPr="00CF12C3">
              <w:rPr>
                <w:rFonts w:asciiTheme="minorEastAsia" w:hAnsiTheme="minorEastAsia"/>
                <w:color w:val="000000" w:themeColor="text1"/>
                <w:sz w:val="17"/>
                <w:lang w:eastAsia="zh-TW"/>
              </w:rPr>
              <w:t>組織設計</w:t>
            </w:r>
            <w:r w:rsidRPr="00CF12C3">
              <w:rPr>
                <w:rFonts w:asciiTheme="minorEastAsia" w:hAnsiTheme="minorEastAsia"/>
                <w:color w:val="000000" w:themeColor="text1"/>
                <w:sz w:val="17"/>
                <w:lang w:eastAsia="zh-TW"/>
              </w:rPr>
              <w:t>×</w:t>
            </w:r>
            <w:r w:rsidRPr="00CF12C3">
              <w:rPr>
                <w:rFonts w:asciiTheme="minorEastAsia" w:hAnsiTheme="minorEastAsia"/>
                <w:color w:val="000000" w:themeColor="text1"/>
                <w:sz w:val="17"/>
                <w:lang w:eastAsia="zh-TW"/>
              </w:rPr>
              <w:t>組織</w:t>
            </w:r>
            <w:r w:rsidRPr="00CF12C3">
              <w:rPr>
                <w:rFonts w:asciiTheme="minorEastAsia" w:hAnsiTheme="minorEastAsia"/>
                <w:color w:val="000000" w:themeColor="text1"/>
                <w:sz w:val="17"/>
                <w:lang w:eastAsia="zh-TW"/>
              </w:rPr>
              <w:t xml:space="preserve"> → </w:t>
            </w:r>
            <w:r w:rsidRPr="00CF12C3">
              <w:rPr>
                <w:rFonts w:asciiTheme="minorEastAsia" w:hAnsiTheme="minorEastAsia"/>
                <w:color w:val="000000" w:themeColor="text1"/>
                <w:sz w:val="17"/>
                <w:lang w:eastAsia="zh-TW"/>
              </w:rPr>
              <w:t>制度分工</w:t>
            </w:r>
            <w:r w:rsidRPr="00CF12C3">
              <w:rPr>
                <w:rFonts w:asciiTheme="minorEastAsia" w:hAnsiTheme="minorEastAsia"/>
                <w:color w:val="000000" w:themeColor="text1"/>
                <w:sz w:val="17"/>
                <w:lang w:eastAsia="zh-TW"/>
              </w:rPr>
              <w:t>×</w:t>
            </w:r>
            <w:r w:rsidRPr="00CF12C3">
              <w:rPr>
                <w:rFonts w:asciiTheme="minorEastAsia" w:hAnsiTheme="minorEastAsia"/>
                <w:color w:val="000000" w:themeColor="text1"/>
                <w:sz w:val="17"/>
                <w:lang w:eastAsia="zh-TW"/>
              </w:rPr>
              <w:t>社會／國際</w:t>
            </w:r>
          </w:p>
        </w:tc>
        <w:tc>
          <w:tcPr>
            <w:tcW w:w="3100" w:type="dxa"/>
            <w:tcMar>
              <w:top w:w="80" w:type="dxa"/>
              <w:left w:w="90" w:type="dxa"/>
              <w:bottom w:w="80" w:type="dxa"/>
              <w:right w:w="90" w:type="dxa"/>
            </w:tcMar>
            <w:vAlign w:val="center"/>
          </w:tcPr>
          <w:p w:rsidR="00A266BB" w:rsidRPr="00CF12C3" w:rsidRDefault="00FB0C44">
            <w:pPr>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P1</w:t>
            </w:r>
            <w:r w:rsidRPr="00CF12C3">
              <w:rPr>
                <w:rFonts w:asciiTheme="minorEastAsia" w:hAnsiTheme="minorEastAsia"/>
                <w:color w:val="000000" w:themeColor="text1"/>
                <w:sz w:val="17"/>
                <w:lang w:eastAsia="zh-TW"/>
              </w:rPr>
              <w:t>為主、延伸至</w:t>
            </w:r>
            <w:r w:rsidRPr="00CF12C3">
              <w:rPr>
                <w:rFonts w:asciiTheme="minorEastAsia" w:hAnsiTheme="minorEastAsia"/>
                <w:color w:val="000000" w:themeColor="text1"/>
                <w:sz w:val="17"/>
                <w:lang w:eastAsia="zh-TW"/>
              </w:rPr>
              <w:t>P2</w:t>
            </w:r>
            <w:r w:rsidRPr="00CF12C3">
              <w:rPr>
                <w:rFonts w:asciiTheme="minorEastAsia" w:hAnsiTheme="minorEastAsia"/>
                <w:color w:val="000000" w:themeColor="text1"/>
                <w:sz w:val="17"/>
                <w:lang w:eastAsia="zh-TW"/>
              </w:rPr>
              <w:t>：介面與身分規則形成可見事實及服務排序；服務工具跨格為政策入口，政府、平台與承包商邊界消解，平台標準取得制度權威。</w:t>
            </w:r>
          </w:p>
        </w:tc>
        <w:tc>
          <w:tcPr>
            <w:tcW w:w="25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須由電子化服務教學擴展至數位身分、平台治理、虛擬公共空間及跨境基礎設施</w:t>
            </w:r>
          </w:p>
        </w:tc>
      </w:tr>
      <w:tr w:rsidR="00CF12C3" w:rsidRPr="00CF12C3" w:rsidTr="00A266BB">
        <w:trPr>
          <w:jc w:val="center"/>
        </w:trPr>
        <w:tc>
          <w:tcPr>
            <w:tcW w:w="13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proofErr w:type="spellStart"/>
            <w:r w:rsidRPr="00CF12C3">
              <w:rPr>
                <w:rFonts w:asciiTheme="minorEastAsia" w:hAnsiTheme="minorEastAsia"/>
                <w:color w:val="000000" w:themeColor="text1"/>
                <w:sz w:val="17"/>
              </w:rPr>
              <w:t>無人政府／無人行政</w:t>
            </w:r>
            <w:proofErr w:type="spellEnd"/>
          </w:p>
        </w:tc>
        <w:tc>
          <w:tcPr>
            <w:tcW w:w="19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管理運作</w:t>
            </w:r>
            <w:r w:rsidRPr="00CF12C3">
              <w:rPr>
                <w:rFonts w:asciiTheme="minorEastAsia" w:hAnsiTheme="minorEastAsia"/>
                <w:color w:val="000000" w:themeColor="text1"/>
                <w:sz w:val="17"/>
                <w:lang w:eastAsia="zh-TW"/>
              </w:rPr>
              <w:t>×</w:t>
            </w:r>
            <w:r w:rsidRPr="00CF12C3">
              <w:rPr>
                <w:rFonts w:asciiTheme="minorEastAsia" w:hAnsiTheme="minorEastAsia"/>
                <w:color w:val="000000" w:themeColor="text1"/>
                <w:sz w:val="17"/>
                <w:lang w:eastAsia="zh-TW"/>
              </w:rPr>
              <w:t>個人／組織</w:t>
            </w:r>
            <w:r w:rsidRPr="00CF12C3">
              <w:rPr>
                <w:rFonts w:asciiTheme="minorEastAsia" w:hAnsiTheme="minorEastAsia"/>
                <w:color w:val="000000" w:themeColor="text1"/>
                <w:sz w:val="17"/>
                <w:lang w:eastAsia="zh-TW"/>
              </w:rPr>
              <w:t xml:space="preserve"> → </w:t>
            </w:r>
            <w:r w:rsidRPr="00CF12C3">
              <w:rPr>
                <w:rFonts w:asciiTheme="minorEastAsia" w:hAnsiTheme="minorEastAsia"/>
                <w:color w:val="000000" w:themeColor="text1"/>
                <w:sz w:val="17"/>
                <w:lang w:eastAsia="zh-TW"/>
              </w:rPr>
              <w:t>政策體系</w:t>
            </w:r>
            <w:r w:rsidRPr="00CF12C3">
              <w:rPr>
                <w:rFonts w:asciiTheme="minorEastAsia" w:hAnsiTheme="minorEastAsia"/>
                <w:color w:val="000000" w:themeColor="text1"/>
                <w:sz w:val="17"/>
                <w:lang w:eastAsia="zh-TW"/>
              </w:rPr>
              <w:t>×</w:t>
            </w:r>
            <w:r w:rsidRPr="00CF12C3">
              <w:rPr>
                <w:rFonts w:asciiTheme="minorEastAsia" w:hAnsiTheme="minorEastAsia"/>
                <w:color w:val="000000" w:themeColor="text1"/>
                <w:sz w:val="17"/>
                <w:lang w:eastAsia="zh-TW"/>
              </w:rPr>
              <w:t>個人</w:t>
            </w:r>
            <w:r w:rsidRPr="00CF12C3">
              <w:rPr>
                <w:rFonts w:asciiTheme="minorEastAsia" w:hAnsiTheme="minorEastAsia"/>
                <w:color w:val="000000" w:themeColor="text1"/>
                <w:sz w:val="17"/>
                <w:lang w:eastAsia="zh-TW"/>
              </w:rPr>
              <w:t xml:space="preserve"> → </w:t>
            </w:r>
            <w:r w:rsidRPr="00CF12C3">
              <w:rPr>
                <w:rFonts w:asciiTheme="minorEastAsia" w:hAnsiTheme="minorEastAsia"/>
                <w:color w:val="000000" w:themeColor="text1"/>
                <w:sz w:val="17"/>
                <w:lang w:eastAsia="zh-TW"/>
              </w:rPr>
              <w:t>組織設計</w:t>
            </w:r>
            <w:r w:rsidRPr="00CF12C3">
              <w:rPr>
                <w:rFonts w:asciiTheme="minorEastAsia" w:hAnsiTheme="minorEastAsia"/>
                <w:color w:val="000000" w:themeColor="text1"/>
                <w:sz w:val="17"/>
                <w:lang w:eastAsia="zh-TW"/>
              </w:rPr>
              <w:t>×</w:t>
            </w:r>
            <w:r w:rsidRPr="00CF12C3">
              <w:rPr>
                <w:rFonts w:asciiTheme="minorEastAsia" w:hAnsiTheme="minorEastAsia"/>
                <w:color w:val="000000" w:themeColor="text1"/>
                <w:sz w:val="17"/>
                <w:lang w:eastAsia="zh-TW"/>
              </w:rPr>
              <w:t>組織／制度分工</w:t>
            </w:r>
            <w:r w:rsidRPr="00CF12C3">
              <w:rPr>
                <w:rFonts w:asciiTheme="minorEastAsia" w:hAnsiTheme="minorEastAsia"/>
                <w:color w:val="000000" w:themeColor="text1"/>
                <w:sz w:val="17"/>
                <w:lang w:eastAsia="zh-TW"/>
              </w:rPr>
              <w:t>×</w:t>
            </w:r>
            <w:r w:rsidRPr="00CF12C3">
              <w:rPr>
                <w:rFonts w:asciiTheme="minorEastAsia" w:hAnsiTheme="minorEastAsia"/>
                <w:color w:val="000000" w:themeColor="text1"/>
                <w:sz w:val="17"/>
                <w:lang w:eastAsia="zh-TW"/>
              </w:rPr>
              <w:t>社會</w:t>
            </w:r>
          </w:p>
        </w:tc>
        <w:tc>
          <w:tcPr>
            <w:tcW w:w="3100" w:type="dxa"/>
            <w:tcMar>
              <w:top w:w="80" w:type="dxa"/>
              <w:left w:w="90" w:type="dxa"/>
              <w:bottom w:w="80" w:type="dxa"/>
              <w:right w:w="90" w:type="dxa"/>
            </w:tcMar>
            <w:vAlign w:val="center"/>
          </w:tcPr>
          <w:p w:rsidR="00A266BB" w:rsidRPr="00CF12C3" w:rsidRDefault="00FB0C44">
            <w:pPr>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P1—P3</w:t>
            </w:r>
            <w:r w:rsidRPr="00CF12C3">
              <w:rPr>
                <w:rFonts w:asciiTheme="minorEastAsia" w:hAnsiTheme="minorEastAsia"/>
                <w:color w:val="000000" w:themeColor="text1"/>
                <w:sz w:val="17"/>
                <w:lang w:eastAsia="zh-TW"/>
              </w:rPr>
              <w:t>可連續出現：資料與規則形成事實、系統取代裁量並可能直接觸發公權力效果；流程跨格為政策決定，設計、執行與決定邊界消解，實際權威移向模型、資料團隊與供應商。</w:t>
            </w:r>
          </w:p>
        </w:tc>
        <w:tc>
          <w:tcPr>
            <w:tcW w:w="25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須重新處理人機組織、系統層級官僚、組織記憶、專業角色及無人流程管理</w:t>
            </w:r>
          </w:p>
        </w:tc>
      </w:tr>
      <w:tr w:rsidR="00CF12C3" w:rsidRPr="00CF12C3" w:rsidTr="00A266BB">
        <w:trPr>
          <w:jc w:val="center"/>
        </w:trPr>
        <w:tc>
          <w:tcPr>
            <w:tcW w:w="13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proofErr w:type="spellStart"/>
            <w:r w:rsidRPr="00CF12C3">
              <w:rPr>
                <w:rFonts w:asciiTheme="minorEastAsia" w:hAnsiTheme="minorEastAsia"/>
                <w:color w:val="000000" w:themeColor="text1"/>
                <w:sz w:val="17"/>
              </w:rPr>
              <w:t>AI</w:t>
            </w:r>
            <w:r w:rsidRPr="00CF12C3">
              <w:rPr>
                <w:rFonts w:asciiTheme="minorEastAsia" w:hAnsiTheme="minorEastAsia"/>
                <w:color w:val="000000" w:themeColor="text1"/>
                <w:sz w:val="17"/>
              </w:rPr>
              <w:t>行政裁量</w:t>
            </w:r>
            <w:proofErr w:type="spellEnd"/>
          </w:p>
        </w:tc>
        <w:tc>
          <w:tcPr>
            <w:tcW w:w="19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管理運作</w:t>
            </w:r>
            <w:r w:rsidRPr="00CF12C3">
              <w:rPr>
                <w:rFonts w:asciiTheme="minorEastAsia" w:hAnsiTheme="minorEastAsia"/>
                <w:color w:val="000000" w:themeColor="text1"/>
                <w:sz w:val="17"/>
                <w:lang w:eastAsia="zh-TW"/>
              </w:rPr>
              <w:t>×</w:t>
            </w:r>
            <w:r w:rsidRPr="00CF12C3">
              <w:rPr>
                <w:rFonts w:asciiTheme="minorEastAsia" w:hAnsiTheme="minorEastAsia"/>
                <w:color w:val="000000" w:themeColor="text1"/>
                <w:sz w:val="17"/>
                <w:lang w:eastAsia="zh-TW"/>
              </w:rPr>
              <w:t>個人</w:t>
            </w:r>
            <w:r w:rsidRPr="00CF12C3">
              <w:rPr>
                <w:rFonts w:asciiTheme="minorEastAsia" w:hAnsiTheme="minorEastAsia"/>
                <w:color w:val="000000" w:themeColor="text1"/>
                <w:sz w:val="17"/>
                <w:lang w:eastAsia="zh-TW"/>
              </w:rPr>
              <w:t xml:space="preserve"> → </w:t>
            </w:r>
            <w:r w:rsidRPr="00CF12C3">
              <w:rPr>
                <w:rFonts w:asciiTheme="minorEastAsia" w:hAnsiTheme="minorEastAsia"/>
                <w:color w:val="000000" w:themeColor="text1"/>
                <w:sz w:val="17"/>
                <w:lang w:eastAsia="zh-TW"/>
              </w:rPr>
              <w:t>政策體系</w:t>
            </w:r>
            <w:r w:rsidRPr="00CF12C3">
              <w:rPr>
                <w:rFonts w:asciiTheme="minorEastAsia" w:hAnsiTheme="minorEastAsia"/>
                <w:color w:val="000000" w:themeColor="text1"/>
                <w:sz w:val="17"/>
                <w:lang w:eastAsia="zh-TW"/>
              </w:rPr>
              <w:t>×</w:t>
            </w:r>
            <w:r w:rsidRPr="00CF12C3">
              <w:rPr>
                <w:rFonts w:asciiTheme="minorEastAsia" w:hAnsiTheme="minorEastAsia"/>
                <w:color w:val="000000" w:themeColor="text1"/>
                <w:sz w:val="17"/>
                <w:lang w:eastAsia="zh-TW"/>
              </w:rPr>
              <w:t>個人／社會</w:t>
            </w:r>
            <w:r w:rsidRPr="00CF12C3">
              <w:rPr>
                <w:rFonts w:asciiTheme="minorEastAsia" w:hAnsiTheme="minorEastAsia"/>
                <w:color w:val="000000" w:themeColor="text1"/>
                <w:sz w:val="17"/>
                <w:lang w:eastAsia="zh-TW"/>
              </w:rPr>
              <w:t xml:space="preserve"> → </w:t>
            </w:r>
            <w:r w:rsidRPr="00CF12C3">
              <w:rPr>
                <w:rFonts w:asciiTheme="minorEastAsia" w:hAnsiTheme="minorEastAsia"/>
                <w:color w:val="000000" w:themeColor="text1"/>
                <w:sz w:val="17"/>
                <w:lang w:eastAsia="zh-TW"/>
              </w:rPr>
              <w:t>制度分工</w:t>
            </w:r>
            <w:r w:rsidRPr="00CF12C3">
              <w:rPr>
                <w:rFonts w:asciiTheme="minorEastAsia" w:hAnsiTheme="minorEastAsia"/>
                <w:color w:val="000000" w:themeColor="text1"/>
                <w:sz w:val="17"/>
                <w:lang w:eastAsia="zh-TW"/>
              </w:rPr>
              <w:t>×</w:t>
            </w:r>
            <w:r w:rsidRPr="00CF12C3">
              <w:rPr>
                <w:rFonts w:asciiTheme="minorEastAsia" w:hAnsiTheme="minorEastAsia"/>
                <w:color w:val="000000" w:themeColor="text1"/>
                <w:sz w:val="17"/>
                <w:lang w:eastAsia="zh-TW"/>
              </w:rPr>
              <w:t>社會</w:t>
            </w:r>
          </w:p>
        </w:tc>
        <w:tc>
          <w:tcPr>
            <w:tcW w:w="3100" w:type="dxa"/>
            <w:tcMar>
              <w:top w:w="80" w:type="dxa"/>
              <w:left w:w="90" w:type="dxa"/>
              <w:bottom w:w="80" w:type="dxa"/>
              <w:right w:w="90" w:type="dxa"/>
            </w:tcMar>
            <w:vAlign w:val="center"/>
          </w:tcPr>
          <w:p w:rsidR="00A266BB" w:rsidRPr="00CF12C3" w:rsidRDefault="00FB0C44">
            <w:pPr>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P1</w:t>
            </w:r>
            <w:r w:rsidRPr="00CF12C3">
              <w:rPr>
                <w:rFonts w:asciiTheme="minorEastAsia" w:hAnsiTheme="minorEastAsia"/>
                <w:color w:val="000000" w:themeColor="text1"/>
                <w:sz w:val="17"/>
                <w:lang w:eastAsia="zh-TW"/>
              </w:rPr>
              <w:t>與</w:t>
            </w:r>
            <w:r w:rsidRPr="00CF12C3">
              <w:rPr>
                <w:rFonts w:asciiTheme="minorEastAsia" w:hAnsiTheme="minorEastAsia"/>
                <w:color w:val="000000" w:themeColor="text1"/>
                <w:sz w:val="17"/>
                <w:lang w:eastAsia="zh-TW"/>
              </w:rPr>
              <w:t>P2</w:t>
            </w:r>
            <w:r w:rsidRPr="00CF12C3">
              <w:rPr>
                <w:rFonts w:asciiTheme="minorEastAsia" w:hAnsiTheme="minorEastAsia"/>
                <w:color w:val="000000" w:themeColor="text1"/>
                <w:sz w:val="17"/>
                <w:lang w:eastAsia="zh-TW"/>
              </w:rPr>
              <w:t>為主，</w:t>
            </w:r>
            <w:r w:rsidRPr="00CF12C3">
              <w:rPr>
                <w:rFonts w:asciiTheme="minorEastAsia" w:hAnsiTheme="minorEastAsia"/>
                <w:color w:val="000000" w:themeColor="text1"/>
                <w:sz w:val="17"/>
                <w:lang w:eastAsia="zh-TW"/>
              </w:rPr>
              <w:t>P3</w:t>
            </w:r>
            <w:r w:rsidRPr="00CF12C3">
              <w:rPr>
                <w:rFonts w:asciiTheme="minorEastAsia" w:hAnsiTheme="minorEastAsia"/>
                <w:color w:val="000000" w:themeColor="text1"/>
                <w:sz w:val="17"/>
                <w:lang w:eastAsia="zh-TW"/>
              </w:rPr>
              <w:t>視自動化程</w:t>
            </w:r>
            <w:r w:rsidRPr="00CF12C3">
              <w:rPr>
                <w:rFonts w:asciiTheme="minorEastAsia" w:hAnsiTheme="minorEastAsia"/>
                <w:color w:val="000000" w:themeColor="text1"/>
                <w:sz w:val="17"/>
                <w:lang w:eastAsia="zh-TW"/>
              </w:rPr>
              <w:t>度而定：分類與分數形成事實並重排裁量；個案工具跨格為群體標準，專業判斷、模型建議與機關規則邊界消解，模型分數形成事實權威。</w:t>
            </w:r>
          </w:p>
        </w:tc>
        <w:tc>
          <w:tcPr>
            <w:tcW w:w="25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須整合行政學、行政法、公共政策、統計推論及資料模型，理解裁量如何被重新配置</w:t>
            </w:r>
          </w:p>
        </w:tc>
      </w:tr>
      <w:tr w:rsidR="00CF12C3" w:rsidRPr="00CF12C3" w:rsidTr="00A266BB">
        <w:trPr>
          <w:jc w:val="center"/>
        </w:trPr>
        <w:tc>
          <w:tcPr>
            <w:tcW w:w="13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proofErr w:type="spellStart"/>
            <w:r w:rsidRPr="00CF12C3">
              <w:rPr>
                <w:rFonts w:asciiTheme="minorEastAsia" w:hAnsiTheme="minorEastAsia"/>
                <w:color w:val="000000" w:themeColor="text1"/>
                <w:sz w:val="17"/>
              </w:rPr>
              <w:t>AI</w:t>
            </w:r>
            <w:r w:rsidRPr="00CF12C3">
              <w:rPr>
                <w:rFonts w:asciiTheme="minorEastAsia" w:hAnsiTheme="minorEastAsia"/>
                <w:color w:val="000000" w:themeColor="text1"/>
                <w:sz w:val="17"/>
              </w:rPr>
              <w:t>司法與準司法</w:t>
            </w:r>
            <w:proofErr w:type="spellEnd"/>
          </w:p>
        </w:tc>
        <w:tc>
          <w:tcPr>
            <w:tcW w:w="19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政策體系</w:t>
            </w:r>
            <w:r w:rsidRPr="00CF12C3">
              <w:rPr>
                <w:rFonts w:asciiTheme="minorEastAsia" w:hAnsiTheme="minorEastAsia"/>
                <w:color w:val="000000" w:themeColor="text1"/>
                <w:sz w:val="17"/>
                <w:lang w:eastAsia="zh-TW"/>
              </w:rPr>
              <w:t>×</w:t>
            </w:r>
            <w:r w:rsidRPr="00CF12C3">
              <w:rPr>
                <w:rFonts w:asciiTheme="minorEastAsia" w:hAnsiTheme="minorEastAsia"/>
                <w:color w:val="000000" w:themeColor="text1"/>
                <w:sz w:val="17"/>
                <w:lang w:eastAsia="zh-TW"/>
              </w:rPr>
              <w:t>個人</w:t>
            </w:r>
            <w:r w:rsidRPr="00CF12C3">
              <w:rPr>
                <w:rFonts w:asciiTheme="minorEastAsia" w:hAnsiTheme="minorEastAsia"/>
                <w:color w:val="000000" w:themeColor="text1"/>
                <w:sz w:val="17"/>
                <w:lang w:eastAsia="zh-TW"/>
              </w:rPr>
              <w:t xml:space="preserve"> → </w:t>
            </w:r>
            <w:r w:rsidRPr="00CF12C3">
              <w:rPr>
                <w:rFonts w:asciiTheme="minorEastAsia" w:hAnsiTheme="minorEastAsia"/>
                <w:color w:val="000000" w:themeColor="text1"/>
                <w:sz w:val="17"/>
                <w:lang w:eastAsia="zh-TW"/>
              </w:rPr>
              <w:t>哲學與價值</w:t>
            </w:r>
            <w:r w:rsidRPr="00CF12C3">
              <w:rPr>
                <w:rFonts w:asciiTheme="minorEastAsia" w:hAnsiTheme="minorEastAsia"/>
                <w:color w:val="000000" w:themeColor="text1"/>
                <w:sz w:val="17"/>
                <w:lang w:eastAsia="zh-TW"/>
              </w:rPr>
              <w:t>×</w:t>
            </w:r>
            <w:r w:rsidRPr="00CF12C3">
              <w:rPr>
                <w:rFonts w:asciiTheme="minorEastAsia" w:hAnsiTheme="minorEastAsia"/>
                <w:color w:val="000000" w:themeColor="text1"/>
                <w:sz w:val="17"/>
                <w:lang w:eastAsia="zh-TW"/>
              </w:rPr>
              <w:t>個人</w:t>
            </w:r>
            <w:r w:rsidRPr="00CF12C3">
              <w:rPr>
                <w:rFonts w:asciiTheme="minorEastAsia" w:hAnsiTheme="minorEastAsia"/>
                <w:color w:val="000000" w:themeColor="text1"/>
                <w:sz w:val="17"/>
                <w:lang w:eastAsia="zh-TW"/>
              </w:rPr>
              <w:t xml:space="preserve"> → </w:t>
            </w:r>
            <w:r w:rsidRPr="00CF12C3">
              <w:rPr>
                <w:rFonts w:asciiTheme="minorEastAsia" w:hAnsiTheme="minorEastAsia"/>
                <w:color w:val="000000" w:themeColor="text1"/>
                <w:sz w:val="17"/>
                <w:lang w:eastAsia="zh-TW"/>
              </w:rPr>
              <w:t>制度分工</w:t>
            </w:r>
            <w:r w:rsidRPr="00CF12C3">
              <w:rPr>
                <w:rFonts w:asciiTheme="minorEastAsia" w:hAnsiTheme="minorEastAsia"/>
                <w:color w:val="000000" w:themeColor="text1"/>
                <w:sz w:val="17"/>
                <w:lang w:eastAsia="zh-TW"/>
              </w:rPr>
              <w:t>×</w:t>
            </w:r>
            <w:r w:rsidRPr="00CF12C3">
              <w:rPr>
                <w:rFonts w:asciiTheme="minorEastAsia" w:hAnsiTheme="minorEastAsia"/>
                <w:color w:val="000000" w:themeColor="text1"/>
                <w:sz w:val="17"/>
                <w:lang w:eastAsia="zh-TW"/>
              </w:rPr>
              <w:t>社會</w:t>
            </w:r>
          </w:p>
        </w:tc>
        <w:tc>
          <w:tcPr>
            <w:tcW w:w="3100" w:type="dxa"/>
            <w:tcMar>
              <w:top w:w="80" w:type="dxa"/>
              <w:left w:w="90" w:type="dxa"/>
              <w:bottom w:w="80" w:type="dxa"/>
              <w:right w:w="90" w:type="dxa"/>
            </w:tcMar>
            <w:vAlign w:val="center"/>
          </w:tcPr>
          <w:p w:rsidR="00A266BB" w:rsidRPr="00CF12C3" w:rsidRDefault="00FB0C44">
            <w:pPr>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P1</w:t>
            </w:r>
            <w:r w:rsidRPr="00CF12C3">
              <w:rPr>
                <w:rFonts w:asciiTheme="minorEastAsia" w:hAnsiTheme="minorEastAsia"/>
                <w:color w:val="000000" w:themeColor="text1"/>
                <w:sz w:val="17"/>
                <w:lang w:eastAsia="zh-TW"/>
              </w:rPr>
              <w:t>、</w:t>
            </w:r>
            <w:r w:rsidRPr="00CF12C3">
              <w:rPr>
                <w:rFonts w:asciiTheme="minorEastAsia" w:hAnsiTheme="minorEastAsia"/>
                <w:color w:val="000000" w:themeColor="text1"/>
                <w:sz w:val="17"/>
                <w:lang w:eastAsia="zh-TW"/>
              </w:rPr>
              <w:t>P2</w:t>
            </w:r>
            <w:r w:rsidRPr="00CF12C3">
              <w:rPr>
                <w:rFonts w:asciiTheme="minorEastAsia" w:hAnsiTheme="minorEastAsia"/>
                <w:color w:val="000000" w:themeColor="text1"/>
                <w:sz w:val="17"/>
                <w:lang w:eastAsia="zh-TW"/>
              </w:rPr>
              <w:t>均明顯，</w:t>
            </w:r>
            <w:r w:rsidRPr="00CF12C3">
              <w:rPr>
                <w:rFonts w:asciiTheme="minorEastAsia" w:hAnsiTheme="minorEastAsia"/>
                <w:color w:val="000000" w:themeColor="text1"/>
                <w:sz w:val="17"/>
                <w:lang w:eastAsia="zh-TW"/>
              </w:rPr>
              <w:t>P3</w:t>
            </w:r>
            <w:r w:rsidRPr="00CF12C3">
              <w:rPr>
                <w:rFonts w:asciiTheme="minorEastAsia" w:hAnsiTheme="minorEastAsia"/>
                <w:color w:val="000000" w:themeColor="text1"/>
                <w:sz w:val="17"/>
                <w:lang w:eastAsia="zh-TW"/>
              </w:rPr>
              <w:t>出現在輸出近似決定裁判結果時：風險預測跨格為個案正義，輸出、證據與理由邊界消解，模型及供應商進入司法專業權威。</w:t>
            </w:r>
          </w:p>
        </w:tc>
        <w:tc>
          <w:tcPr>
            <w:tcW w:w="25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須理解模型預測、證據評價、裁判理由、司法制度及可爭議性的差異</w:t>
            </w:r>
          </w:p>
        </w:tc>
      </w:tr>
      <w:tr w:rsidR="00CF12C3" w:rsidRPr="00CF12C3" w:rsidTr="00A266BB">
        <w:trPr>
          <w:jc w:val="center"/>
        </w:trPr>
        <w:tc>
          <w:tcPr>
            <w:tcW w:w="13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AI</w:t>
            </w:r>
            <w:r w:rsidRPr="00CF12C3">
              <w:rPr>
                <w:rFonts w:asciiTheme="minorEastAsia" w:hAnsiTheme="minorEastAsia"/>
                <w:color w:val="000000" w:themeColor="text1"/>
                <w:sz w:val="17"/>
                <w:lang w:eastAsia="zh-TW"/>
              </w:rPr>
              <w:t>財政、信用點數與可程式化給付</w:t>
            </w:r>
          </w:p>
        </w:tc>
        <w:tc>
          <w:tcPr>
            <w:tcW w:w="19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管理運作</w:t>
            </w:r>
            <w:r w:rsidRPr="00CF12C3">
              <w:rPr>
                <w:rFonts w:asciiTheme="minorEastAsia" w:hAnsiTheme="minorEastAsia"/>
                <w:color w:val="000000" w:themeColor="text1"/>
                <w:sz w:val="17"/>
                <w:lang w:eastAsia="zh-TW"/>
              </w:rPr>
              <w:t>×</w:t>
            </w:r>
            <w:r w:rsidRPr="00CF12C3">
              <w:rPr>
                <w:rFonts w:asciiTheme="minorEastAsia" w:hAnsiTheme="minorEastAsia"/>
                <w:color w:val="000000" w:themeColor="text1"/>
                <w:sz w:val="17"/>
                <w:lang w:eastAsia="zh-TW"/>
              </w:rPr>
              <w:t>個人／組織</w:t>
            </w:r>
            <w:r w:rsidRPr="00CF12C3">
              <w:rPr>
                <w:rFonts w:asciiTheme="minorEastAsia" w:hAnsiTheme="minorEastAsia"/>
                <w:color w:val="000000" w:themeColor="text1"/>
                <w:sz w:val="17"/>
                <w:lang w:eastAsia="zh-TW"/>
              </w:rPr>
              <w:t xml:space="preserve"> → </w:t>
            </w:r>
            <w:r w:rsidRPr="00CF12C3">
              <w:rPr>
                <w:rFonts w:asciiTheme="minorEastAsia" w:hAnsiTheme="minorEastAsia"/>
                <w:color w:val="000000" w:themeColor="text1"/>
                <w:sz w:val="17"/>
                <w:lang w:eastAsia="zh-TW"/>
              </w:rPr>
              <w:t>政策體系</w:t>
            </w:r>
            <w:r w:rsidRPr="00CF12C3">
              <w:rPr>
                <w:rFonts w:asciiTheme="minorEastAsia" w:hAnsiTheme="minorEastAsia"/>
                <w:color w:val="000000" w:themeColor="text1"/>
                <w:sz w:val="17"/>
                <w:lang w:eastAsia="zh-TW"/>
              </w:rPr>
              <w:t>×</w:t>
            </w:r>
            <w:r w:rsidRPr="00CF12C3">
              <w:rPr>
                <w:rFonts w:asciiTheme="minorEastAsia" w:hAnsiTheme="minorEastAsia"/>
                <w:color w:val="000000" w:themeColor="text1"/>
                <w:sz w:val="17"/>
                <w:lang w:eastAsia="zh-TW"/>
              </w:rPr>
              <w:t>社會</w:t>
            </w:r>
            <w:r w:rsidRPr="00CF12C3">
              <w:rPr>
                <w:rFonts w:asciiTheme="minorEastAsia" w:hAnsiTheme="minorEastAsia"/>
                <w:color w:val="000000" w:themeColor="text1"/>
                <w:sz w:val="17"/>
                <w:lang w:eastAsia="zh-TW"/>
              </w:rPr>
              <w:t xml:space="preserve"> → </w:t>
            </w:r>
            <w:r w:rsidRPr="00CF12C3">
              <w:rPr>
                <w:rFonts w:asciiTheme="minorEastAsia" w:hAnsiTheme="minorEastAsia"/>
                <w:color w:val="000000" w:themeColor="text1"/>
                <w:sz w:val="17"/>
                <w:lang w:eastAsia="zh-TW"/>
              </w:rPr>
              <w:t>哲學與價值</w:t>
            </w:r>
            <w:r w:rsidRPr="00CF12C3">
              <w:rPr>
                <w:rFonts w:asciiTheme="minorEastAsia" w:hAnsiTheme="minorEastAsia"/>
                <w:color w:val="000000" w:themeColor="text1"/>
                <w:sz w:val="17"/>
                <w:lang w:eastAsia="zh-TW"/>
              </w:rPr>
              <w:t>×</w:t>
            </w:r>
            <w:r w:rsidRPr="00CF12C3">
              <w:rPr>
                <w:rFonts w:asciiTheme="minorEastAsia" w:hAnsiTheme="minorEastAsia"/>
                <w:color w:val="000000" w:themeColor="text1"/>
                <w:sz w:val="17"/>
                <w:lang w:eastAsia="zh-TW"/>
              </w:rPr>
              <w:t>社會／制度分工</w:t>
            </w:r>
            <w:r w:rsidRPr="00CF12C3">
              <w:rPr>
                <w:rFonts w:asciiTheme="minorEastAsia" w:hAnsiTheme="minorEastAsia"/>
                <w:color w:val="000000" w:themeColor="text1"/>
                <w:sz w:val="17"/>
                <w:lang w:eastAsia="zh-TW"/>
              </w:rPr>
              <w:t>×</w:t>
            </w:r>
            <w:r w:rsidRPr="00CF12C3">
              <w:rPr>
                <w:rFonts w:asciiTheme="minorEastAsia" w:hAnsiTheme="minorEastAsia"/>
                <w:color w:val="000000" w:themeColor="text1"/>
                <w:sz w:val="17"/>
                <w:lang w:eastAsia="zh-TW"/>
              </w:rPr>
              <w:t>國際</w:t>
            </w:r>
          </w:p>
        </w:tc>
        <w:tc>
          <w:tcPr>
            <w:tcW w:w="3100" w:type="dxa"/>
            <w:tcMar>
              <w:top w:w="80" w:type="dxa"/>
              <w:left w:w="90" w:type="dxa"/>
              <w:bottom w:w="80" w:type="dxa"/>
              <w:right w:w="90" w:type="dxa"/>
            </w:tcMar>
            <w:vAlign w:val="center"/>
          </w:tcPr>
          <w:p w:rsidR="00A266BB" w:rsidRPr="00CF12C3" w:rsidRDefault="00FB0C44">
            <w:pPr>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P1</w:t>
            </w:r>
            <w:r w:rsidRPr="00CF12C3">
              <w:rPr>
                <w:rFonts w:asciiTheme="minorEastAsia" w:hAnsiTheme="minorEastAsia"/>
                <w:color w:val="000000" w:themeColor="text1"/>
                <w:sz w:val="17"/>
                <w:lang w:eastAsia="zh-TW"/>
              </w:rPr>
              <w:t>界定財政問題，</w:t>
            </w:r>
            <w:r w:rsidRPr="00CF12C3">
              <w:rPr>
                <w:rFonts w:asciiTheme="minorEastAsia" w:hAnsiTheme="minorEastAsia"/>
                <w:color w:val="000000" w:themeColor="text1"/>
                <w:sz w:val="17"/>
                <w:lang w:eastAsia="zh-TW"/>
              </w:rPr>
              <w:t>P2</w:t>
            </w:r>
            <w:r w:rsidRPr="00CF12C3">
              <w:rPr>
                <w:rFonts w:asciiTheme="minorEastAsia" w:hAnsiTheme="minorEastAsia"/>
                <w:color w:val="000000" w:themeColor="text1"/>
                <w:sz w:val="17"/>
                <w:lang w:eastAsia="zh-TW"/>
              </w:rPr>
              <w:t>排列政策優先順序，</w:t>
            </w:r>
            <w:r w:rsidRPr="00CF12C3">
              <w:rPr>
                <w:rFonts w:asciiTheme="minorEastAsia" w:hAnsiTheme="minorEastAsia"/>
                <w:color w:val="000000" w:themeColor="text1"/>
                <w:sz w:val="17"/>
                <w:lang w:eastAsia="zh-TW"/>
              </w:rPr>
              <w:t>P3</w:t>
            </w:r>
            <w:r w:rsidRPr="00CF12C3">
              <w:rPr>
                <w:rFonts w:asciiTheme="minorEastAsia" w:hAnsiTheme="minorEastAsia"/>
                <w:color w:val="000000" w:themeColor="text1"/>
                <w:sz w:val="17"/>
                <w:lang w:eastAsia="zh-TW"/>
              </w:rPr>
              <w:t>以可程式化支付產生直接效果；財務工具跨格為政策與價值排序，貨幣、信用、福利與行為管制邊界消解，平台與優化函數取得配置權威。</w:t>
            </w:r>
          </w:p>
        </w:tc>
        <w:tc>
          <w:tcPr>
            <w:tcW w:w="25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須把預算、稅務、數位貨幣、信用制度、可程式化給付及分配決策納入共同教學</w:t>
            </w:r>
          </w:p>
        </w:tc>
      </w:tr>
    </w:tbl>
    <w:p w:rsidR="00A266BB" w:rsidRPr="00CF12C3" w:rsidRDefault="00FB0C44">
      <w:pPr>
        <w:pStyle w:val="a0"/>
        <w:rPr>
          <w:rFonts w:asciiTheme="minorEastAsia" w:hAnsiTheme="minorEastAsia"/>
          <w:color w:val="000000" w:themeColor="text1"/>
          <w:lang w:eastAsia="zh-TW"/>
        </w:rPr>
      </w:pPr>
      <w:r w:rsidRPr="00CF12C3">
        <w:rPr>
          <w:rFonts w:asciiTheme="minorEastAsia" w:hAnsiTheme="minorEastAsia"/>
          <w:color w:val="000000" w:themeColor="text1"/>
          <w:lang w:eastAsia="zh-TW"/>
        </w:rPr>
        <w:t>表</w:t>
      </w:r>
      <w:r w:rsidRPr="00CF12C3">
        <w:rPr>
          <w:rFonts w:asciiTheme="minorEastAsia" w:hAnsiTheme="minorEastAsia"/>
          <w:color w:val="000000" w:themeColor="text1"/>
          <w:lang w:eastAsia="zh-TW"/>
        </w:rPr>
        <w:t xml:space="preserve">3 </w:t>
      </w:r>
      <w:r w:rsidRPr="00CF12C3">
        <w:rPr>
          <w:rFonts w:asciiTheme="minorEastAsia" w:hAnsiTheme="minorEastAsia"/>
          <w:color w:val="000000" w:themeColor="text1"/>
          <w:lang w:eastAsia="zh-TW"/>
        </w:rPr>
        <w:t>五項</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治理議題範圍的</w:t>
      </w:r>
      <w:r w:rsidRPr="00CF12C3">
        <w:rPr>
          <w:rFonts w:asciiTheme="minorEastAsia" w:hAnsiTheme="minorEastAsia"/>
          <w:color w:val="000000" w:themeColor="text1"/>
          <w:lang w:eastAsia="zh-TW"/>
        </w:rPr>
        <w:t>25</w:t>
      </w:r>
      <w:r w:rsidRPr="00CF12C3">
        <w:rPr>
          <w:rFonts w:asciiTheme="minorEastAsia" w:hAnsiTheme="minorEastAsia"/>
          <w:color w:val="000000" w:themeColor="text1"/>
          <w:lang w:eastAsia="zh-TW"/>
        </w:rPr>
        <w:t>座標定位、權力移轉、結構效應與教育問題</w:t>
      </w:r>
    </w:p>
    <w:p w:rsidR="00A266BB" w:rsidRPr="00CF12C3" w:rsidRDefault="00FB0C44">
      <w:pPr>
        <w:pStyle w:val="2"/>
        <w:rPr>
          <w:rFonts w:asciiTheme="minorEastAsia" w:eastAsiaTheme="minorEastAsia" w:hAnsiTheme="minorEastAsia"/>
          <w:color w:val="000000" w:themeColor="text1"/>
          <w:lang w:eastAsia="zh-TW"/>
        </w:rPr>
      </w:pPr>
      <w:bookmarkStart w:id="13" w:name="二議題範圍一虛擬政府"/>
      <w:bookmarkEnd w:id="12"/>
      <w:r w:rsidRPr="00CF12C3">
        <w:rPr>
          <w:rFonts w:asciiTheme="minorEastAsia" w:eastAsiaTheme="minorEastAsia" w:hAnsiTheme="minorEastAsia"/>
          <w:color w:val="000000" w:themeColor="text1"/>
          <w:lang w:eastAsia="zh-TW"/>
        </w:rPr>
        <w:t>二、議題範圍一：虛擬政府</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問題辨識：虛擬政府不是把實體櫃檯搬到網站，也不只是電子化政府的延伸，而是政府身分、公共空間、</w:t>
      </w:r>
      <w:r w:rsidRPr="00CF12C3">
        <w:rPr>
          <w:rFonts w:asciiTheme="minorEastAsia" w:hAnsiTheme="minorEastAsia"/>
          <w:color w:val="000000" w:themeColor="text1"/>
          <w:lang w:eastAsia="zh-TW"/>
        </w:rPr>
        <w:t>服務入口與公民互動逐漸由數位身分、平台、代理人及虛擬環境所構成。當公民主要透過數位身分與自動化服務介面接觸政府時，機關建</w:t>
      </w:r>
      <w:r w:rsidRPr="00CF12C3">
        <w:rPr>
          <w:rFonts w:asciiTheme="minorEastAsia" w:hAnsiTheme="minorEastAsia"/>
          <w:color w:val="000000" w:themeColor="text1"/>
          <w:lang w:eastAsia="zh-TW"/>
        </w:rPr>
        <w:lastRenderedPageBreak/>
        <w:t>築與櫃檯雖仍可能存在，真正決定可見性、可近性與程序入口的，卻是平台介面、身分驗證規則及資料連結。虛擬化因而改變的不是服務媒介，而是政府如何被公民辨識及接近。</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位格定位：其起點可位於「管理運作</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個人」與「組織設計</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組織」，例如線上申辦、數位身分及跨機關服務整合；但當平台預先決定公民可看到哪些服務、以何種身分被分類，以及哪些需求能進入行政程序時，便上移至「政策體系</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社會」與「制度分工</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社會」。</w:t>
      </w:r>
      <w:r w:rsidRPr="00CF12C3">
        <w:rPr>
          <w:rFonts w:asciiTheme="minorEastAsia" w:hAnsiTheme="minorEastAsia"/>
          <w:color w:val="000000" w:themeColor="text1"/>
          <w:lang w:eastAsia="zh-TW"/>
        </w:rPr>
        <w:t>若數位身分、雲端及基礎模型由跨國平台提供，又橫向延伸至「制度分工</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國際」，顯示國際只是此情境的跨格方向，而非取代虛擬政府的另一情境。</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三項結構效應：跨座標移動表現在服務介面上移為政策入口；邊界消解表現在政府機關、承包商、平台與自動化服務介面共同構成公民所經驗的政府；權威重構則表現在介面排序、身分驗證及資料互通標準取得準制度權威。其核心知識問題是：資訊科技可以建造可信、可擴充的虛擬環境，但誰具有資格界定公共身分、程序入口與數位排除，仍須由公共行政、法律與民主制度回答。</w:t>
      </w:r>
    </w:p>
    <w:p w:rsidR="00A266BB" w:rsidRPr="00CF12C3" w:rsidRDefault="00FB0C44">
      <w:pPr>
        <w:pStyle w:val="2"/>
        <w:rPr>
          <w:rFonts w:asciiTheme="minorEastAsia" w:eastAsiaTheme="minorEastAsia" w:hAnsiTheme="minorEastAsia"/>
          <w:color w:val="000000" w:themeColor="text1"/>
          <w:lang w:eastAsia="zh-TW"/>
        </w:rPr>
      </w:pPr>
      <w:bookmarkStart w:id="14" w:name="三議題範圍二無人政府與無人行政"/>
      <w:bookmarkEnd w:id="13"/>
      <w:r w:rsidRPr="00CF12C3">
        <w:rPr>
          <w:rFonts w:asciiTheme="minorEastAsia" w:eastAsiaTheme="minorEastAsia" w:hAnsiTheme="minorEastAsia"/>
          <w:color w:val="000000" w:themeColor="text1"/>
          <w:lang w:eastAsia="zh-TW"/>
        </w:rPr>
        <w:t>三、議題範圍二：無人政府與無人行政</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問題辨識：本文將「無人行政」與「無人政府」明確區分為兩種強度不同的治理情境，避免以單一「自動化」概念籠統處理。無人行政是指特定行政程序中，第一線人員不再直接介入操作或初步判斷（例如電子補貼資格之格式審查、案件分流或自動通知），但系統輸出仍可能接受人工覆核、救濟管道與組織監督；其核心問題是流程設計、人機分工與組織記憶如何調整。無人政府則是更嚴格的極限壓力測試情境：問題辨識、規則適用、決定、理由形成與執行均由系統串接完成，且缺乏有效的人機連結、人工覆核與民主控制機制。此時追問的是：當公務人員退出實際判斷位置後，</w:t>
      </w:r>
      <w:r w:rsidRPr="00CF12C3">
        <w:rPr>
          <w:rFonts w:asciiTheme="minorEastAsia" w:hAnsiTheme="minorEastAsia"/>
          <w:color w:val="000000" w:themeColor="text1"/>
          <w:lang w:eastAsia="zh-TW"/>
        </w:rPr>
        <w:t>政府是否仍保有可辨識的責任主體、組織記憶與可究責的權威結構。兩者在性質、風險層級與教育診斷上均應分開處理。</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位格定位：無人行政通常由「管理運作</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個人／組織」起始，例如案件分流、格式審查與自動通知；當系統進一步核准、駁回、裁罰或停止給付，便上移至「政</w:t>
      </w:r>
      <w:r w:rsidRPr="00CF12C3">
        <w:rPr>
          <w:rFonts w:asciiTheme="minorEastAsia" w:hAnsiTheme="minorEastAsia"/>
          <w:color w:val="000000" w:themeColor="text1"/>
          <w:lang w:eastAsia="zh-TW"/>
        </w:rPr>
        <w:lastRenderedPageBreak/>
        <w:t>策體系</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個人」；若機關依賴模型持續生成規則、調整門檻及配置資源，則進入「組織設計</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組織」及「制度分工</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社會」。</w:t>
      </w:r>
      <w:r w:rsidRPr="00CF12C3">
        <w:rPr>
          <w:rFonts w:asciiTheme="minorEastAsia" w:hAnsiTheme="minorEastAsia"/>
          <w:color w:val="000000" w:themeColor="text1"/>
          <w:lang w:eastAsia="zh-TW"/>
        </w:rPr>
        <w:t>Lipsky</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1980</w:t>
      </w:r>
      <w:r w:rsidRPr="00CF12C3">
        <w:rPr>
          <w:rFonts w:asciiTheme="minorEastAsia" w:hAnsiTheme="minorEastAsia"/>
          <w:color w:val="000000" w:themeColor="text1"/>
          <w:lang w:eastAsia="zh-TW"/>
        </w:rPr>
        <w:t>）的街頭官僚裁量在此不是消失，而是依</w:t>
      </w:r>
      <w:r w:rsidRPr="00CF12C3">
        <w:rPr>
          <w:rFonts w:asciiTheme="minorEastAsia" w:hAnsiTheme="minorEastAsia"/>
          <w:color w:val="000000" w:themeColor="text1"/>
          <w:lang w:eastAsia="zh-TW"/>
        </w:rPr>
        <w:t>Bovens</w:t>
      </w:r>
      <w:r w:rsidRPr="00CF12C3">
        <w:rPr>
          <w:rFonts w:asciiTheme="minorEastAsia" w:hAnsiTheme="minorEastAsia"/>
          <w:color w:val="000000" w:themeColor="text1"/>
          <w:lang w:eastAsia="zh-TW"/>
        </w:rPr>
        <w:t>與</w:t>
      </w:r>
      <w:r w:rsidRPr="00CF12C3">
        <w:rPr>
          <w:rFonts w:asciiTheme="minorEastAsia" w:hAnsiTheme="minorEastAsia"/>
          <w:color w:val="000000" w:themeColor="text1"/>
          <w:lang w:eastAsia="zh-TW"/>
        </w:rPr>
        <w:t>Zouridis</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2002</w:t>
      </w:r>
      <w:r w:rsidRPr="00CF12C3">
        <w:rPr>
          <w:rFonts w:asciiTheme="minorEastAsia" w:hAnsiTheme="minorEastAsia"/>
          <w:color w:val="000000" w:themeColor="text1"/>
          <w:lang w:eastAsia="zh-TW"/>
        </w:rPr>
        <w:t>）所示，向規則設計、資料與系統層級移動。無人政府的定位則</w:t>
      </w:r>
      <w:r w:rsidRPr="00CF12C3">
        <w:rPr>
          <w:rFonts w:asciiTheme="minorEastAsia" w:hAnsiTheme="minorEastAsia"/>
          <w:color w:val="000000" w:themeColor="text1"/>
          <w:lang w:eastAsia="zh-TW"/>
        </w:rPr>
        <w:t>更進一步：其壓力測試直接觸及「制度分工</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社會」乃至「哲學與價值</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個人／社會」，因為責任主體與民主控制本身成為問題。教育上因此不能只教「如何設計自動化流程」，而須同時訓練學員辨識何時自動化已跨越可接受的裁量與課責邊界。</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三項結構效應：就無人行政而言，跨座標移動主要是流程自動化向政策與組織層次上移；邊界消解表現在設計、執行與初步決定在同一系統中重疊；權威重構則是法定決定者保留名義權限，實際結果卻由模型、資料團隊與供應商共同形成。無人政府則把這三項結構效應推向極致：跨座標移動可直達制度與價值層次，邊界消解使「人的判斷」幾乎退出可見位置，權威重構使法定權威與實際影響力出現結構性落差。因此，無人行政可作為組織與管理教育的日常案例；無人政府則應作為壓力測試工具，先接受理由、責任、裁量邊界、組織能力及停止機制的檢驗，而不應先被當作效率願景。</w:t>
      </w:r>
      <w:r w:rsidRPr="00CF12C3">
        <w:rPr>
          <w:rFonts w:asciiTheme="minorEastAsia" w:hAnsiTheme="minorEastAsia"/>
          <w:color w:val="000000" w:themeColor="text1"/>
          <w:lang w:eastAsia="zh-TW"/>
        </w:rPr>
      </w:r>
    </w:p>
    <w:p w:rsidR="00A266BB" w:rsidRPr="00CF12C3" w:rsidRDefault="00FB0C44">
      <w:pPr>
        <w:pStyle w:val="2"/>
        <w:rPr>
          <w:rFonts w:asciiTheme="minorEastAsia" w:eastAsiaTheme="minorEastAsia" w:hAnsiTheme="minorEastAsia"/>
          <w:color w:val="000000" w:themeColor="text1"/>
          <w:lang w:eastAsia="zh-TW"/>
        </w:rPr>
      </w:pPr>
      <w:bookmarkStart w:id="15" w:name="四議題範圍三ai行政裁量"/>
      <w:bookmarkEnd w:id="14"/>
      <w:r w:rsidRPr="00CF12C3">
        <w:rPr>
          <w:rFonts w:asciiTheme="minorEastAsia" w:eastAsiaTheme="minorEastAsia" w:hAnsiTheme="minorEastAsia"/>
          <w:color w:val="000000" w:themeColor="text1"/>
          <w:lang w:eastAsia="zh-TW"/>
        </w:rPr>
        <w:t>四、議題範圍三：</w:t>
      </w:r>
      <w:r w:rsidRPr="00CF12C3">
        <w:rPr>
          <w:rFonts w:asciiTheme="minorEastAsia" w:eastAsiaTheme="minorEastAsia" w:hAnsiTheme="minorEastAsia"/>
          <w:color w:val="000000" w:themeColor="text1"/>
          <w:lang w:eastAsia="zh-TW"/>
        </w:rPr>
        <w:t>AI</w:t>
      </w:r>
      <w:r w:rsidRPr="00CF12C3">
        <w:rPr>
          <w:rFonts w:asciiTheme="minorEastAsia" w:eastAsiaTheme="minorEastAsia" w:hAnsiTheme="minorEastAsia"/>
          <w:color w:val="000000" w:themeColor="text1"/>
          <w:lang w:eastAsia="zh-TW"/>
        </w:rPr>
        <w:t>行政裁量</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問題辨識：行政裁量存在於法律未把所有條件與結果完全預先決定之處。</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可以整理事實、比較類案、預測風險與提示異常，但當模型輸出實質影響許可、福利、稅務、移民、警政或裁罰結果時，問題便由資訊處理轉為：統計關聯能否成為行政判斷，以及公務人員是否仍具有理解、推翻與負責的</w:t>
      </w:r>
      <w:r w:rsidRPr="00CF12C3">
        <w:rPr>
          <w:rFonts w:asciiTheme="minorEastAsia" w:hAnsiTheme="minorEastAsia"/>
          <w:color w:val="000000" w:themeColor="text1"/>
          <w:lang w:eastAsia="zh-TW"/>
        </w:rPr>
        <w:t>能力。</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位格定位：</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行政裁量由「管理運作</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個人」進入，隨個案決定上移至「政策體系</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個人」，並可能因大量案件採用同一分類與門檻而橫向擴及「政策體系</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社會」。</w:t>
      </w:r>
      <w:r w:rsidRPr="00CF12C3">
        <w:rPr>
          <w:rFonts w:asciiTheme="minorEastAsia" w:hAnsiTheme="minorEastAsia"/>
          <w:color w:val="000000" w:themeColor="text1"/>
          <w:lang w:eastAsia="zh-TW"/>
        </w:rPr>
        <w:t>Young</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Bullock</w:t>
      </w:r>
      <w:r w:rsidRPr="00CF12C3">
        <w:rPr>
          <w:rFonts w:asciiTheme="minorEastAsia" w:hAnsiTheme="minorEastAsia"/>
          <w:color w:val="000000" w:themeColor="text1"/>
          <w:lang w:eastAsia="zh-TW"/>
        </w:rPr>
        <w:t>與</w:t>
      </w:r>
      <w:r w:rsidRPr="00CF12C3">
        <w:rPr>
          <w:rFonts w:asciiTheme="minorEastAsia" w:hAnsiTheme="minorEastAsia"/>
          <w:color w:val="000000" w:themeColor="text1"/>
          <w:lang w:eastAsia="zh-TW"/>
        </w:rPr>
        <w:t>Lecy</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2019</w:t>
      </w:r>
      <w:r w:rsidRPr="00CF12C3">
        <w:rPr>
          <w:rFonts w:asciiTheme="minorEastAsia" w:hAnsiTheme="minorEastAsia"/>
          <w:color w:val="000000" w:themeColor="text1"/>
          <w:lang w:eastAsia="zh-TW"/>
        </w:rPr>
        <w:t>）的人工裁量說明</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會改變裁量配置，但「人工裁量存在」不等於「</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取得合法裁量權」。公共行政仍須區分資料分析、建議、有限決定與最終拘束性決定。</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三項結構效應：跨座標移動是個案工具轉為群體政策標準；邊界消解是專業判斷、模型建議與機關規則難以分離；權威重構是模型分數成為事實上的預設，而承辦人僅作形式簽核。其知識落差在於，資訊科技著重一致性與預測力，行政裁量則必須處理法定目的、比例原則、個案差異、平等及可救濟性。就臺灣脈絡而言，社會救助資格初篩、就業媒合演算法或欠稅風險排序等作業，若逐步以模型分數決定案件處理順序或初步認定結果，即已進入本節所述座標移動；教育因此不能只以AFST、COMPAS等國外案例作為想像對象，仍須要求受訓者能將座標分析回頭應用於本國同類業務。</w:t>
      </w:r>
      <w:r w:rsidRPr="00CF12C3">
        <w:rPr>
          <w:rFonts w:asciiTheme="minorEastAsia" w:hAnsiTheme="minorEastAsia"/>
          <w:color w:val="000000" w:themeColor="text1"/>
          <w:lang w:eastAsia="zh-TW"/>
        </w:rPr>
      </w:r>
      <w:r w:rsidRPr="00CF12C3">
        <w:rPr>
          <w:rFonts w:asciiTheme="minorEastAsia" w:hAnsiTheme="minorEastAsia"/>
          <w:color w:val="000000" w:themeColor="text1"/>
          <w:lang w:eastAsia="zh-TW"/>
        </w:rPr>
      </w:r>
      <w:r w:rsidRPr="00CF12C3">
        <w:rPr>
          <w:rFonts w:asciiTheme="minorEastAsia" w:hAnsiTheme="minorEastAsia"/>
          <w:color w:val="000000" w:themeColor="text1"/>
          <w:lang w:eastAsia="zh-TW"/>
        </w:rPr>
      </w:r>
      <w:r w:rsidRPr="00CF12C3">
        <w:rPr>
          <w:rFonts w:asciiTheme="minorEastAsia" w:hAnsiTheme="minorEastAsia"/>
          <w:color w:val="000000" w:themeColor="text1"/>
          <w:lang w:eastAsia="zh-TW"/>
        </w:rPr>
      </w:r>
      <w:r w:rsidRPr="00CF12C3">
        <w:rPr>
          <w:rFonts w:asciiTheme="minorEastAsia" w:hAnsiTheme="minorEastAsia"/>
          <w:color w:val="000000" w:themeColor="text1"/>
          <w:lang w:eastAsia="zh-TW"/>
        </w:rPr>
      </w:r>
    </w:p>
    <w:p w:rsidR="00A266BB" w:rsidRPr="00CF12C3" w:rsidRDefault="00FB0C44">
      <w:pPr>
        <w:pStyle w:val="2"/>
        <w:rPr>
          <w:rFonts w:asciiTheme="minorEastAsia" w:eastAsiaTheme="minorEastAsia" w:hAnsiTheme="minorEastAsia"/>
          <w:color w:val="000000" w:themeColor="text1"/>
          <w:lang w:eastAsia="zh-TW"/>
        </w:rPr>
      </w:pPr>
      <w:bookmarkStart w:id="16" w:name="五議題範圍四ai司法與準司法判斷"/>
      <w:bookmarkEnd w:id="15"/>
      <w:r w:rsidRPr="00CF12C3">
        <w:rPr>
          <w:rFonts w:asciiTheme="minorEastAsia" w:eastAsiaTheme="minorEastAsia" w:hAnsiTheme="minorEastAsia"/>
          <w:color w:val="000000" w:themeColor="text1"/>
          <w:lang w:eastAsia="zh-TW"/>
        </w:rPr>
        <w:t>五、議題範圍四：</w:t>
      </w:r>
      <w:r w:rsidRPr="00CF12C3">
        <w:rPr>
          <w:rFonts w:asciiTheme="minorEastAsia" w:eastAsiaTheme="minorEastAsia" w:hAnsiTheme="minorEastAsia"/>
          <w:color w:val="000000" w:themeColor="text1"/>
          <w:lang w:eastAsia="zh-TW"/>
        </w:rPr>
        <w:t>AI</w:t>
      </w:r>
      <w:r w:rsidRPr="00CF12C3">
        <w:rPr>
          <w:rFonts w:asciiTheme="minorEastAsia" w:eastAsiaTheme="minorEastAsia" w:hAnsiTheme="minorEastAsia"/>
          <w:color w:val="000000" w:themeColor="text1"/>
          <w:lang w:eastAsia="zh-TW"/>
        </w:rPr>
        <w:t>司法與準司法判斷</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問題辨識：</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司法不限於機器直接宣判，也包括證據整理、再犯風險、量刑建議、裁判草擬及準司法爭議處理。其核心不是</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是</w:t>
      </w:r>
      <w:r w:rsidRPr="00CF12C3">
        <w:rPr>
          <w:rFonts w:asciiTheme="minorEastAsia" w:hAnsiTheme="minorEastAsia"/>
          <w:color w:val="000000" w:themeColor="text1"/>
          <w:lang w:eastAsia="zh-TW"/>
        </w:rPr>
        <w:t>否比法官準，而是模型輸出在何種條件下取得裁判上的規範效力，以及當事人能否理解、質疑與反駁。</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位格定位：其起點為「政策體系</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個人」，當風險分數影響個案自由、財產或身分時，上移至「哲學與價值</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個人」；大量使用同一模型又擴及「制度分工</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社會」，涉及司法獨立、正當程序及法院與供應商的權限關係。</w:t>
      </w:r>
      <w:r w:rsidRPr="00CF12C3">
        <w:rPr>
          <w:rFonts w:asciiTheme="minorEastAsia" w:hAnsiTheme="minorEastAsia"/>
          <w:color w:val="000000" w:themeColor="text1"/>
          <w:lang w:eastAsia="zh-TW"/>
        </w:rPr>
        <w:t>COMPAS</w:t>
      </w:r>
      <w:r w:rsidRPr="00CF12C3">
        <w:rPr>
          <w:rFonts w:asciiTheme="minorEastAsia" w:hAnsiTheme="minorEastAsia"/>
          <w:color w:val="000000" w:themeColor="text1"/>
          <w:lang w:eastAsia="zh-TW"/>
        </w:rPr>
        <w:t>爭議顯示，模型準確性與群體誤差固然重要，但模型可解釋性仍不等於司法理由充分（</w:t>
      </w:r>
      <w:r w:rsidRPr="00CF12C3">
        <w:rPr>
          <w:rFonts w:asciiTheme="minorEastAsia" w:hAnsiTheme="minorEastAsia"/>
          <w:color w:val="000000" w:themeColor="text1"/>
          <w:lang w:eastAsia="zh-TW"/>
        </w:rPr>
        <w:t>Angwin et al., 2016</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Dressel &amp; Farid, 2018</w:t>
      </w:r>
      <w:r w:rsidRPr="00CF12C3">
        <w:rPr>
          <w:rFonts w:asciiTheme="minorEastAsia" w:hAnsiTheme="minorEastAsia"/>
          <w:color w:val="000000" w:themeColor="text1"/>
          <w:lang w:eastAsia="zh-TW"/>
        </w:rPr>
        <w:t>）。</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三項結構效應：跨座標移動是風險預測上移為個案正義與制度正當性；邊界消解是模型輸出、證據評價與裁判理由互相滲透；權威重構則是供應商的模型與訓練資料取得原本屬於司法專業的事實影響力。AI可協助整理與比較，但不得因預測表現良好便自動取得形成拘束性裁判理由的權限。</w:t>
      </w:r>
      <w:r w:rsidRPr="00CF12C3">
        <w:rPr>
          <w:rFonts w:asciiTheme="minorEastAsia" w:hAnsiTheme="minorEastAsia"/>
          <w:color w:val="000000" w:themeColor="text1"/>
          <w:lang w:eastAsia="zh-TW"/>
        </w:rPr>
      </w:r>
      <w:bookmarkStart w:id="17" w:name="_GoBack"/>
      <w:bookmarkEnd w:id="17"/>
      <w:r w:rsidRPr="00CF12C3">
        <w:rPr>
          <w:rFonts w:asciiTheme="minorEastAsia" w:hAnsiTheme="minorEastAsia"/>
          <w:color w:val="000000" w:themeColor="text1"/>
          <w:lang w:eastAsia="zh-TW"/>
        </w:rPr>
      </w:r>
      <w:r w:rsidRPr="00CF12C3">
        <w:rPr>
          <w:rFonts w:asciiTheme="minorEastAsia" w:hAnsiTheme="minorEastAsia"/>
          <w:color w:val="000000" w:themeColor="text1"/>
          <w:lang w:eastAsia="zh-TW"/>
        </w:rPr>
      </w:r>
      <w:r w:rsidRPr="00CF12C3">
        <w:rPr>
          <w:rFonts w:asciiTheme="minorEastAsia" w:hAnsiTheme="minorEastAsia"/>
          <w:color w:val="000000" w:themeColor="text1"/>
          <w:lang w:eastAsia="zh-TW"/>
        </w:rPr>
      </w:r>
    </w:p>
    <w:p w:rsidR="00A266BB" w:rsidRPr="00CF12C3" w:rsidRDefault="00FB0C44">
      <w:pPr>
        <w:pStyle w:val="2"/>
        <w:rPr>
          <w:rFonts w:asciiTheme="minorEastAsia" w:eastAsiaTheme="minorEastAsia" w:hAnsiTheme="minorEastAsia"/>
          <w:color w:val="000000" w:themeColor="text1"/>
          <w:lang w:eastAsia="zh-TW"/>
        </w:rPr>
      </w:pPr>
      <w:bookmarkStart w:id="18" w:name="六議題範圍五ai財政信用點數與可程式化給付"/>
      <w:bookmarkEnd w:id="16"/>
      <w:r w:rsidRPr="00CF12C3">
        <w:rPr>
          <w:rFonts w:asciiTheme="minorEastAsia" w:eastAsiaTheme="minorEastAsia" w:hAnsiTheme="minorEastAsia"/>
          <w:color w:val="000000" w:themeColor="text1"/>
          <w:lang w:eastAsia="zh-TW"/>
        </w:rPr>
        <w:t>六、議題範圍五：</w:t>
      </w:r>
      <w:r w:rsidRPr="00CF12C3">
        <w:rPr>
          <w:rFonts w:asciiTheme="minorEastAsia" w:eastAsiaTheme="minorEastAsia" w:hAnsiTheme="minorEastAsia"/>
          <w:color w:val="000000" w:themeColor="text1"/>
          <w:lang w:eastAsia="zh-TW"/>
        </w:rPr>
        <w:t>AI</w:t>
      </w:r>
      <w:r w:rsidRPr="00CF12C3">
        <w:rPr>
          <w:rFonts w:asciiTheme="minorEastAsia" w:eastAsiaTheme="minorEastAsia" w:hAnsiTheme="minorEastAsia"/>
          <w:color w:val="000000" w:themeColor="text1"/>
          <w:lang w:eastAsia="zh-TW"/>
        </w:rPr>
        <w:t>財政、信用點數與可程式化給付</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問題辨識：</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財政治理由預測稅收、辨識異常及協助預算編製開始，但可能進一步連結數位貨幣、代幣、信用點數與可程式化給付。比特幣、以太幣、央行數位貨幣或政府信用點數本身只是不同技術與制度載體；真正的公共行政問題出現在支付工具與福利資格、用途限制、價格差別、行</w:t>
      </w:r>
      <w:r w:rsidRPr="00CF12C3">
        <w:rPr>
          <w:rFonts w:asciiTheme="minorEastAsia" w:hAnsiTheme="minorEastAsia"/>
          <w:color w:val="000000" w:themeColor="text1"/>
          <w:lang w:eastAsia="zh-TW"/>
        </w:rPr>
        <w:t>為評分或公共服務權利結合之時。</w:t>
      </w:r>
      <w:r w:rsidRPr="00CF12C3">
        <w:rPr>
          <w:rFonts w:asciiTheme="minorEastAsia" w:hAnsiTheme="minorEastAsia"/>
          <w:color w:val="000000" w:themeColor="text1"/>
          <w:lang w:eastAsia="zh-TW"/>
        </w:rPr>
        <w:lastRenderedPageBreak/>
        <w:t>舉例而言，若干政府主導之社會信用評分機制已將行為紀錄與公共服務項目、額度或限制相連結；另有國家曾試行僅限特定用途或期限之條件式數位津貼，作為紓困或福利款項之可程式化支付形式。這類實務顯示，數位貨幣、代幣或信用點數之技術本身中立，但一旦與資格認定、用途限制及行為評分結合，即已由財務工具移轉為政策與價值排序問題。</w:t>
      </w:r>
    </w:p>
    <w:p w:rsidR="00A266BB" w:rsidRPr="00CF12C3" w:rsidRDefault="00FB0C44">
      <w:pPr>
        <w:pStyle w:val="a0"/>
        <w:spacing w:line="360" w:lineRule="auto"/>
        <w:ind w:firstLine="431"/>
        <w:rPr>
          <w:rFonts w:asciiTheme="minorEastAsia" w:hAnsiTheme="minorEastAsia"/>
          <w:color w:val="000000" w:themeColor="text1"/>
          <w:lang w:eastAsia="zh-TW"/>
        </w:rPr>
      </w:pPr>
      <w:r>
        <w:t>位格定位：其起點為「管理運作×組織」及「管理運作×個人」，包括財務預測、稅務審計與給付執行；當AI排列預算優先順序或依信用分數差別配置權利，便上移至「政策體系×社會」及「哲學與價值×社會」。若支付網路、加密資產或金融平台跨境運作，又橫向擴及國際位格。OECD（2025）所述公共財務AI可以提升預測與監控，但不能因此取代預算法定程序與分配正義。</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三項結構效應：跨座標移動是財務工具轉為政策與價值排序；邊界消解是貨幣、信用、福利與行為管制被整合於同一技術系統；權威重構是模型優化函數、支付平台與技術標準取得資源配置的實際力量。公共行政教育因而不能只介紹區塊鏈或數位貨幣，而須訓練公務人員辨識何時支付設計已轉化為權利限制、差別待遇與民主預算問題。</w:t>
      </w:r>
    </w:p>
    <w:p w:rsidR="00A266BB" w:rsidRPr="00CF12C3" w:rsidRDefault="00FB0C44">
      <w:pPr>
        <w:pStyle w:val="2"/>
        <w:rPr>
          <w:rFonts w:asciiTheme="minorEastAsia" w:eastAsiaTheme="minorEastAsia" w:hAnsiTheme="minorEastAsia"/>
          <w:color w:val="000000" w:themeColor="text1"/>
          <w:lang w:eastAsia="zh-TW"/>
        </w:rPr>
      </w:pPr>
      <w:bookmarkStart w:id="19" w:name="七五項議題範圍的共同發現"/>
      <w:bookmarkEnd w:id="18"/>
      <w:r w:rsidRPr="00CF12C3">
        <w:rPr>
          <w:rFonts w:asciiTheme="minorEastAsia" w:eastAsiaTheme="minorEastAsia" w:hAnsiTheme="minorEastAsia"/>
          <w:color w:val="000000" w:themeColor="text1"/>
          <w:lang w:eastAsia="zh-TW"/>
        </w:rPr>
        <w:t>七、五項議題範圍的共同發現</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五項議題範圍的共同點，不是政府事務變得更數位化，而是技術能力逐漸跨越原有行政位格，並由</w:t>
      </w:r>
      <w:r w:rsidRPr="00CF12C3">
        <w:rPr>
          <w:rFonts w:asciiTheme="minorEastAsia" w:hAnsiTheme="minorEastAsia"/>
          <w:color w:val="000000" w:themeColor="text1"/>
          <w:lang w:eastAsia="zh-TW"/>
        </w:rPr>
        <w:t>P1</w:t>
      </w:r>
      <w:r w:rsidRPr="00CF12C3">
        <w:rPr>
          <w:rFonts w:asciiTheme="minorEastAsia" w:hAnsiTheme="minorEastAsia"/>
          <w:color w:val="000000" w:themeColor="text1"/>
          <w:lang w:eastAsia="zh-TW"/>
        </w:rPr>
        <w:t>情境建構與事實認定、</w:t>
      </w:r>
      <w:r w:rsidRPr="00CF12C3">
        <w:rPr>
          <w:rFonts w:asciiTheme="minorEastAsia" w:hAnsiTheme="minorEastAsia"/>
          <w:color w:val="000000" w:themeColor="text1"/>
          <w:lang w:eastAsia="zh-TW"/>
        </w:rPr>
        <w:t>P2</w:t>
      </w:r>
      <w:r w:rsidRPr="00CF12C3">
        <w:rPr>
          <w:rFonts w:asciiTheme="minorEastAsia" w:hAnsiTheme="minorEastAsia"/>
          <w:color w:val="000000" w:themeColor="text1"/>
          <w:lang w:eastAsia="zh-TW"/>
        </w:rPr>
        <w:t>行政裁量與價值判斷，向</w:t>
      </w:r>
      <w:r w:rsidRPr="00CF12C3">
        <w:rPr>
          <w:rFonts w:asciiTheme="minorEastAsia" w:hAnsiTheme="minorEastAsia"/>
          <w:color w:val="000000" w:themeColor="text1"/>
          <w:lang w:eastAsia="zh-TW"/>
        </w:rPr>
        <w:t>P3</w:t>
      </w:r>
      <w:r w:rsidRPr="00CF12C3">
        <w:rPr>
          <w:rFonts w:asciiTheme="minorEastAsia" w:hAnsiTheme="minorEastAsia"/>
          <w:color w:val="000000" w:themeColor="text1"/>
          <w:lang w:eastAsia="zh-TW"/>
        </w:rPr>
        <w:t>公權力決定之實質影響力傳導。虛擬政府改變政府的入口與存在形式；無人行政改變特定流程中的人機分工與組織記憶，無人政府則進一步考驗責任主體與民主控制是否仍可辨識；</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行政裁量改變規則與個案判斷的界線；</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司法改變理由與裁判權威；</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財政治理則改變資源與權利的配置媒介。三種權力移轉說明</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透過什麼機制改變行政，三項結構效應則描述治理活動由何處移動、哪些邊界消失，以及實際權威落</w:t>
      </w:r>
      <w:r w:rsidRPr="00CF12C3">
        <w:rPr>
          <w:rFonts w:asciiTheme="minorEastAsia" w:hAnsiTheme="minorEastAsia"/>
          <w:color w:val="000000" w:themeColor="text1"/>
          <w:lang w:eastAsia="zh-TW"/>
        </w:rPr>
        <w:t>在何處。</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由此可形成本文後續辯證的命題：公共行政與資訊科技確有共同教育與知識整合的必要，但共同治理不等於學科無差別。需要改變的是知識內容、課程連結與教</w:t>
      </w:r>
      <w:r w:rsidRPr="00CF12C3">
        <w:rPr>
          <w:rFonts w:asciiTheme="minorEastAsia" w:hAnsiTheme="minorEastAsia"/>
          <w:color w:val="000000" w:themeColor="text1"/>
          <w:lang w:eastAsia="zh-TW"/>
        </w:rPr>
        <w:lastRenderedPageBreak/>
        <w:t>學方式；不能消失的是公共行政對制度、政策、組織、管理及多層次政府問題的整體理解。</w:t>
      </w:r>
    </w:p>
    <w:p w:rsidR="00A266BB" w:rsidRPr="00CF12C3" w:rsidRDefault="00FB0C44">
      <w:pPr>
        <w:pStyle w:val="1"/>
        <w:rPr>
          <w:rFonts w:asciiTheme="minorEastAsia" w:eastAsiaTheme="minorEastAsia" w:hAnsiTheme="minorEastAsia"/>
          <w:color w:val="000000" w:themeColor="text1"/>
          <w:lang w:eastAsia="zh-TW"/>
        </w:rPr>
      </w:pPr>
      <w:bookmarkStart w:id="20" w:name="肆辯證公共行政與資訊科技的相容不相容及轉譯落差"/>
      <w:bookmarkEnd w:id="11"/>
      <w:bookmarkEnd w:id="19"/>
      <w:r w:rsidRPr="00CF12C3">
        <w:rPr>
          <w:rFonts w:asciiTheme="minorEastAsia" w:eastAsiaTheme="minorEastAsia" w:hAnsiTheme="minorEastAsia"/>
          <w:color w:val="000000" w:themeColor="text1"/>
          <w:lang w:eastAsia="zh-TW"/>
        </w:rPr>
        <w:t>肆、辯證：公共行政與資訊科技的相容、不相容及轉譯落差</w:t>
      </w:r>
    </w:p>
    <w:p w:rsidR="00A266BB" w:rsidRPr="00CF12C3" w:rsidRDefault="00FB0C44">
      <w:pPr>
        <w:pStyle w:val="2"/>
        <w:rPr>
          <w:rFonts w:asciiTheme="minorEastAsia" w:eastAsiaTheme="minorEastAsia" w:hAnsiTheme="minorEastAsia"/>
          <w:color w:val="000000" w:themeColor="text1"/>
          <w:lang w:eastAsia="zh-TW"/>
        </w:rPr>
      </w:pPr>
      <w:bookmarkStart w:id="21" w:name="一問題定位"/>
      <w:r w:rsidRPr="00CF12C3">
        <w:rPr>
          <w:rFonts w:asciiTheme="minorEastAsia" w:eastAsiaTheme="minorEastAsia" w:hAnsiTheme="minorEastAsia"/>
          <w:color w:val="000000" w:themeColor="text1"/>
          <w:lang w:eastAsia="zh-TW"/>
        </w:rPr>
        <w:t>一、問題定位</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第三章顯示，五項議題範圍均跨越單一課程或單一學科。問題因而不是</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可以取得多少授權，而是公共行政與資訊科技的知識在何處可以整合、何處仍須保有不同專業，以及現有教育如何使學生理解兩種知識之間的轉譯。本章依「相容</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不</w:t>
      </w:r>
      <w:r w:rsidRPr="00CF12C3">
        <w:rPr>
          <w:rFonts w:asciiTheme="minorEastAsia" w:hAnsiTheme="minorEastAsia"/>
          <w:color w:val="000000" w:themeColor="text1"/>
          <w:lang w:eastAsia="zh-TW"/>
        </w:rPr>
        <w:t>相容</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變與不變」展開辯證。</w:t>
      </w:r>
    </w:p>
    <w:p w:rsidR="00A266BB" w:rsidRPr="00CF12C3" w:rsidRDefault="00FB0C44">
      <w:pPr>
        <w:pStyle w:val="2"/>
        <w:rPr>
          <w:rFonts w:asciiTheme="minorEastAsia" w:eastAsiaTheme="minorEastAsia" w:hAnsiTheme="minorEastAsia"/>
          <w:color w:val="000000" w:themeColor="text1"/>
          <w:lang w:eastAsia="zh-TW"/>
        </w:rPr>
      </w:pPr>
      <w:bookmarkStart w:id="22" w:name="二相容部分公共行政與資訊科技可以整合之處"/>
      <w:bookmarkEnd w:id="21"/>
      <w:r w:rsidRPr="00CF12C3">
        <w:rPr>
          <w:rFonts w:asciiTheme="minorEastAsia" w:eastAsiaTheme="minorEastAsia" w:hAnsiTheme="minorEastAsia"/>
          <w:color w:val="000000" w:themeColor="text1"/>
          <w:lang w:eastAsia="zh-TW"/>
        </w:rPr>
        <w:t>二、相容部分：公共行政與資訊科技可以整合之處</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公共行政與資訊科技在以下領域具有高度的知識相容性，</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的介入確實可以增進治理效能：</w:t>
      </w:r>
    </w:p>
    <w:p w:rsidR="00A266BB" w:rsidRPr="00CF12C3" w:rsidRDefault="00FB0C44">
      <w:pPr>
        <w:pStyle w:val="Compact"/>
        <w:numPr>
          <w:ilvl w:val="0"/>
          <w:numId w:val="2"/>
        </w:numPr>
        <w:rPr>
          <w:rFonts w:asciiTheme="minorEastAsia" w:hAnsiTheme="minorEastAsia"/>
          <w:color w:val="000000" w:themeColor="text1"/>
          <w:lang w:eastAsia="zh-TW"/>
        </w:rPr>
      </w:pPr>
      <w:r w:rsidRPr="00CF12C3">
        <w:rPr>
          <w:rFonts w:asciiTheme="minorEastAsia" w:hAnsiTheme="minorEastAsia"/>
          <w:color w:val="000000" w:themeColor="text1"/>
          <w:lang w:eastAsia="zh-TW"/>
        </w:rPr>
        <w:t>複雜系統分析：</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能處理多變量、非線性的社會系統模擬，協助政策制定者理解政策效果的非意圖後果。</w:t>
      </w:r>
    </w:p>
    <w:p w:rsidR="00A266BB" w:rsidRPr="00CF12C3" w:rsidRDefault="00FB0C44">
      <w:pPr>
        <w:pStyle w:val="Compact"/>
        <w:numPr>
          <w:ilvl w:val="0"/>
          <w:numId w:val="2"/>
        </w:numPr>
        <w:rPr>
          <w:rFonts w:asciiTheme="minorEastAsia" w:hAnsiTheme="minorEastAsia"/>
          <w:color w:val="000000" w:themeColor="text1"/>
          <w:lang w:eastAsia="zh-TW"/>
        </w:rPr>
      </w:pPr>
      <w:r w:rsidRPr="00CF12C3">
        <w:rPr>
          <w:rFonts w:asciiTheme="minorEastAsia" w:hAnsiTheme="minorEastAsia"/>
          <w:color w:val="000000" w:themeColor="text1"/>
          <w:lang w:eastAsia="zh-TW"/>
        </w:rPr>
        <w:t>資訊處理與模式識別：大規模文本分析、語意分類與異常偵測，可提升行政資訊處理的效率與廣度。</w:t>
      </w:r>
    </w:p>
    <w:p w:rsidR="00A266BB" w:rsidRPr="00CF12C3" w:rsidRDefault="00FB0C44">
      <w:pPr>
        <w:pStyle w:val="Compact"/>
        <w:numPr>
          <w:ilvl w:val="0"/>
          <w:numId w:val="2"/>
        </w:numPr>
        <w:rPr>
          <w:rFonts w:asciiTheme="minorEastAsia" w:hAnsiTheme="minorEastAsia"/>
          <w:color w:val="000000" w:themeColor="text1"/>
          <w:lang w:eastAsia="zh-TW"/>
        </w:rPr>
      </w:pPr>
      <w:r w:rsidRPr="00CF12C3">
        <w:rPr>
          <w:rFonts w:asciiTheme="minorEastAsia" w:hAnsiTheme="minorEastAsia"/>
          <w:color w:val="000000" w:themeColor="text1"/>
          <w:lang w:eastAsia="zh-TW"/>
        </w:rPr>
        <w:t>決策支援：</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可提供選項模擬、情境比較與風險預測，輔助而非取代行政判斷。</w:t>
      </w:r>
    </w:p>
    <w:p w:rsidR="00A266BB" w:rsidRPr="00CF12C3" w:rsidRDefault="00FB0C44">
      <w:pPr>
        <w:pStyle w:val="Compact"/>
        <w:numPr>
          <w:ilvl w:val="0"/>
          <w:numId w:val="2"/>
        </w:numPr>
        <w:rPr>
          <w:rFonts w:asciiTheme="minorEastAsia" w:hAnsiTheme="minorEastAsia"/>
          <w:color w:val="000000" w:themeColor="text1"/>
          <w:lang w:eastAsia="zh-TW"/>
        </w:rPr>
      </w:pPr>
      <w:r w:rsidRPr="00CF12C3">
        <w:rPr>
          <w:rFonts w:asciiTheme="minorEastAsia" w:hAnsiTheme="minorEastAsia"/>
          <w:color w:val="000000" w:themeColor="text1"/>
          <w:lang w:eastAsia="zh-TW"/>
        </w:rPr>
        <w:t>風險預測：在充足的資料品質與代表性前提下，</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能預測系統性風險（如公共衛生、災害管理）。</w:t>
      </w:r>
    </w:p>
    <w:p w:rsidR="00A266BB" w:rsidRPr="00CF12C3" w:rsidRDefault="00FB0C44">
      <w:pPr>
        <w:pStyle w:val="Compact"/>
        <w:numPr>
          <w:ilvl w:val="0"/>
          <w:numId w:val="2"/>
        </w:numPr>
        <w:rPr>
          <w:rFonts w:asciiTheme="minorEastAsia" w:hAnsiTheme="minorEastAsia"/>
          <w:color w:val="000000" w:themeColor="text1"/>
          <w:lang w:eastAsia="zh-TW"/>
        </w:rPr>
      </w:pPr>
      <w:r w:rsidRPr="00CF12C3">
        <w:rPr>
          <w:rFonts w:asciiTheme="minorEastAsia" w:hAnsiTheme="minorEastAsia"/>
          <w:color w:val="000000" w:themeColor="text1"/>
          <w:lang w:eastAsia="zh-TW"/>
        </w:rPr>
        <w:t>資源配置最佳化：在目標函數明確的前提下，</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可協助運輸路線、設施選址與資源調度的最佳化。</w:t>
      </w:r>
    </w:p>
    <w:p w:rsidR="00A266BB" w:rsidRPr="00CF12C3" w:rsidRDefault="00FB0C44">
      <w:pPr>
        <w:pStyle w:val="Compact"/>
        <w:numPr>
          <w:ilvl w:val="0"/>
          <w:numId w:val="2"/>
        </w:numPr>
        <w:rPr>
          <w:rFonts w:asciiTheme="minorEastAsia" w:hAnsiTheme="minorEastAsia"/>
          <w:color w:val="000000" w:themeColor="text1"/>
          <w:lang w:eastAsia="zh-TW"/>
        </w:rPr>
      </w:pPr>
      <w:r w:rsidRPr="00CF12C3">
        <w:rPr>
          <w:rFonts w:asciiTheme="minorEastAsia" w:hAnsiTheme="minorEastAsia"/>
          <w:color w:val="000000" w:themeColor="text1"/>
          <w:lang w:eastAsia="zh-TW"/>
        </w:rPr>
        <w:t>組織協調：</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可促進跨部門資訊整合與工作流程協調。</w:t>
      </w:r>
    </w:p>
    <w:p w:rsidR="00A266BB" w:rsidRPr="00CF12C3" w:rsidRDefault="00FB0C44">
      <w:pPr>
        <w:pStyle w:val="Compact"/>
        <w:numPr>
          <w:ilvl w:val="0"/>
          <w:numId w:val="2"/>
        </w:numPr>
        <w:rPr>
          <w:rFonts w:asciiTheme="minorEastAsia" w:hAnsiTheme="minorEastAsia"/>
          <w:color w:val="000000" w:themeColor="text1"/>
          <w:lang w:eastAsia="zh-TW"/>
        </w:rPr>
      </w:pPr>
      <w:r w:rsidRPr="00CF12C3">
        <w:rPr>
          <w:rFonts w:asciiTheme="minorEastAsia" w:hAnsiTheme="minorEastAsia"/>
          <w:color w:val="000000" w:themeColor="text1"/>
          <w:lang w:eastAsia="zh-TW"/>
        </w:rPr>
        <w:t>績效回饋：</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可持續監測政策執行績效，提供即時回饋。</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在上述領域中，資訊科技的技術能力與公共行政的管理需求可以對接，</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作為輔助工具具有正當性與實用性。此一相容性，也是多數既有</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治理文獻關注的範圍（</w:t>
      </w:r>
      <w:r w:rsidRPr="00CF12C3">
        <w:rPr>
          <w:rFonts w:asciiTheme="minorEastAsia" w:hAnsiTheme="minorEastAsia"/>
          <w:color w:val="000000" w:themeColor="text1"/>
          <w:lang w:eastAsia="zh-TW"/>
        </w:rPr>
        <w:t>Valle-Cruz et al., 2020</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Wirtz et al., 2020</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Dunleavy &amp; Margetts, 2023</w:t>
      </w:r>
      <w:r w:rsidRPr="00CF12C3">
        <w:rPr>
          <w:rFonts w:asciiTheme="minorEastAsia" w:hAnsiTheme="minorEastAsia"/>
          <w:color w:val="000000" w:themeColor="text1"/>
          <w:lang w:eastAsia="zh-TW"/>
        </w:rPr>
        <w:t>）。</w:t>
      </w:r>
    </w:p>
    <w:p w:rsidR="00A266BB" w:rsidRPr="00CF12C3" w:rsidRDefault="00FB0C44">
      <w:pPr>
        <w:pStyle w:val="2"/>
        <w:rPr>
          <w:rFonts w:asciiTheme="minorEastAsia" w:eastAsiaTheme="minorEastAsia" w:hAnsiTheme="minorEastAsia"/>
          <w:color w:val="000000" w:themeColor="text1"/>
          <w:lang w:eastAsia="zh-TW"/>
        </w:rPr>
      </w:pPr>
      <w:bookmarkStart w:id="23" w:name="三不相容部分資訊科技無法直接取代之處"/>
      <w:bookmarkEnd w:id="22"/>
      <w:r w:rsidRPr="00CF12C3">
        <w:rPr>
          <w:rFonts w:asciiTheme="minorEastAsia" w:eastAsiaTheme="minorEastAsia" w:hAnsiTheme="minorEastAsia"/>
          <w:color w:val="000000" w:themeColor="text1"/>
          <w:lang w:eastAsia="zh-TW"/>
        </w:rPr>
        <w:lastRenderedPageBreak/>
        <w:t>三、不相容部分：資訊科技無法</w:t>
      </w:r>
      <w:r w:rsidRPr="00CF12C3">
        <w:rPr>
          <w:rFonts w:asciiTheme="minorEastAsia" w:eastAsiaTheme="minorEastAsia" w:hAnsiTheme="minorEastAsia"/>
          <w:color w:val="000000" w:themeColor="text1"/>
          <w:lang w:eastAsia="zh-TW"/>
        </w:rPr>
        <w:t>直接取代之處</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然而，公共行政與資訊科技雖須共同處理</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兩者的教育內容仍不能直接互換。公共行政關注政府活動如何跨越哲學與價值、制度分工、政策體系、組織設計與管理運作；資訊科技則提供資料、模型、系統、介面、安全與驗證知識。落差不只來自技術能力不同，也來自問題定義、分析尺度、證據形式及專業訓練方式不同。</w:t>
      </w:r>
    </w:p>
    <w:tbl>
      <w:tblPr>
        <w:tblStyle w:val="Table"/>
        <w:tblW w:w="8800" w:type="dxa"/>
        <w:jc w:val="center"/>
        <w:tblBorders>
          <w:top w:val="single" w:sz="5" w:space="0" w:color="7F7F7F"/>
          <w:left w:val="single" w:sz="5" w:space="0" w:color="7F7F7F"/>
          <w:bottom w:val="single" w:sz="5" w:space="0" w:color="7F7F7F"/>
          <w:right w:val="single" w:sz="5" w:space="0" w:color="7F7F7F"/>
          <w:insideH w:val="single" w:sz="5" w:space="0" w:color="7F7F7F"/>
          <w:insideV w:val="single" w:sz="5" w:space="0" w:color="7F7F7F"/>
        </w:tblBorders>
        <w:tblLayout w:type="fixed"/>
        <w:tblLook w:val="0020" w:firstRow="1" w:lastRow="0" w:firstColumn="0" w:lastColumn="0" w:noHBand="0" w:noVBand="0"/>
      </w:tblPr>
      <w:tblGrid>
        <w:gridCol w:w="1000"/>
        <w:gridCol w:w="2300"/>
        <w:gridCol w:w="2700"/>
        <w:gridCol w:w="2800"/>
      </w:tblGrid>
      <w:tr w:rsidR="00CF12C3" w:rsidRPr="00CF12C3" w:rsidTr="00A266BB">
        <w:trPr>
          <w:cnfStyle w:val="100000000000" w:firstRow="1" w:lastRow="0" w:firstColumn="0" w:lastColumn="0" w:oddVBand="0" w:evenVBand="0" w:oddHBand="0" w:evenHBand="0" w:firstRowFirstColumn="0" w:firstRowLastColumn="0" w:lastRowFirstColumn="0" w:lastRowLastColumn="0"/>
          <w:tblHeader/>
          <w:jc w:val="center"/>
        </w:trPr>
        <w:tc>
          <w:tcPr>
            <w:tcW w:w="1000" w:type="dxa"/>
            <w:shd w:val="clear" w:color="auto" w:fill="D9E2F3"/>
            <w:tcMar>
              <w:top w:w="80" w:type="dxa"/>
              <w:left w:w="90" w:type="dxa"/>
              <w:bottom w:w="80" w:type="dxa"/>
              <w:right w:w="90" w:type="dxa"/>
            </w:tcMar>
            <w:vAlign w:val="center"/>
          </w:tcPr>
          <w:p w:rsidR="00A266BB" w:rsidRPr="00CF12C3" w:rsidRDefault="00FB0C44">
            <w:pPr>
              <w:pStyle w:val="Compact"/>
              <w:spacing w:after="40" w:line="276" w:lineRule="auto"/>
              <w:jc w:val="center"/>
              <w:rPr>
                <w:rFonts w:asciiTheme="minorEastAsia" w:hAnsiTheme="minorEastAsia"/>
                <w:color w:val="000000" w:themeColor="text1"/>
              </w:rPr>
            </w:pPr>
            <w:r w:rsidRPr="00CF12C3">
              <w:rPr>
                <w:rFonts w:asciiTheme="minorEastAsia" w:hAnsiTheme="minorEastAsia"/>
                <w:b/>
                <w:color w:val="000000" w:themeColor="text1"/>
                <w:sz w:val="17"/>
              </w:rPr>
              <w:t>分析面向</w:t>
            </w:r>
          </w:p>
        </w:tc>
        <w:tc>
          <w:tcPr>
            <w:tcW w:w="2300" w:type="dxa"/>
            <w:shd w:val="clear" w:color="auto" w:fill="D9E2F3"/>
            <w:tcMar>
              <w:top w:w="80" w:type="dxa"/>
              <w:left w:w="90" w:type="dxa"/>
              <w:bottom w:w="80" w:type="dxa"/>
              <w:right w:w="90" w:type="dxa"/>
            </w:tcMar>
            <w:vAlign w:val="center"/>
          </w:tcPr>
          <w:p w:rsidR="00A266BB" w:rsidRPr="00CF12C3" w:rsidRDefault="00FB0C44">
            <w:pPr>
              <w:pStyle w:val="Compact"/>
              <w:spacing w:after="40" w:line="276" w:lineRule="auto"/>
              <w:jc w:val="center"/>
              <w:rPr>
                <w:rFonts w:asciiTheme="minorEastAsia" w:hAnsiTheme="minorEastAsia"/>
                <w:color w:val="000000" w:themeColor="text1"/>
                <w:lang w:eastAsia="zh-TW"/>
              </w:rPr>
            </w:pPr>
            <w:r w:rsidRPr="00CF12C3">
              <w:rPr>
                <w:rFonts w:asciiTheme="minorEastAsia" w:hAnsiTheme="minorEastAsia"/>
                <w:b/>
                <w:color w:val="000000" w:themeColor="text1"/>
                <w:sz w:val="17"/>
                <w:lang w:eastAsia="zh-TW"/>
              </w:rPr>
              <w:t>公共行政教育不變部分</w:t>
            </w:r>
          </w:p>
        </w:tc>
        <w:tc>
          <w:tcPr>
            <w:tcW w:w="2700" w:type="dxa"/>
            <w:shd w:val="clear" w:color="auto" w:fill="D9E2F3"/>
            <w:tcMar>
              <w:top w:w="80" w:type="dxa"/>
              <w:left w:w="90" w:type="dxa"/>
              <w:bottom w:w="80" w:type="dxa"/>
              <w:right w:w="90" w:type="dxa"/>
            </w:tcMar>
            <w:vAlign w:val="center"/>
          </w:tcPr>
          <w:p w:rsidR="00A266BB" w:rsidRPr="00CF12C3" w:rsidRDefault="00FB0C44">
            <w:pPr>
              <w:pStyle w:val="Compact"/>
              <w:spacing w:after="40" w:line="276" w:lineRule="auto"/>
              <w:jc w:val="center"/>
              <w:rPr>
                <w:rFonts w:asciiTheme="minorEastAsia" w:hAnsiTheme="minorEastAsia"/>
                <w:color w:val="000000" w:themeColor="text1"/>
              </w:rPr>
            </w:pPr>
            <w:r w:rsidRPr="00CF12C3">
              <w:rPr>
                <w:rFonts w:asciiTheme="minorEastAsia" w:hAnsiTheme="minorEastAsia"/>
                <w:b/>
                <w:color w:val="000000" w:themeColor="text1"/>
                <w:sz w:val="17"/>
              </w:rPr>
              <w:t>必須改變或重組部分</w:t>
            </w:r>
          </w:p>
        </w:tc>
        <w:tc>
          <w:tcPr>
            <w:tcW w:w="2800" w:type="dxa"/>
            <w:shd w:val="clear" w:color="auto" w:fill="D9E2F3"/>
            <w:tcMar>
              <w:top w:w="80" w:type="dxa"/>
              <w:left w:w="90" w:type="dxa"/>
              <w:bottom w:w="80" w:type="dxa"/>
              <w:right w:w="90" w:type="dxa"/>
            </w:tcMar>
            <w:vAlign w:val="center"/>
          </w:tcPr>
          <w:p w:rsidR="00A266BB" w:rsidRPr="00CF12C3" w:rsidRDefault="00FB0C44">
            <w:pPr>
              <w:pStyle w:val="Compact"/>
              <w:spacing w:after="40" w:line="276" w:lineRule="auto"/>
              <w:jc w:val="center"/>
              <w:rPr>
                <w:rFonts w:asciiTheme="minorEastAsia" w:hAnsiTheme="minorEastAsia"/>
                <w:color w:val="000000" w:themeColor="text1"/>
                <w:lang w:eastAsia="zh-TW"/>
              </w:rPr>
            </w:pPr>
            <w:r w:rsidRPr="00CF12C3">
              <w:rPr>
                <w:rFonts w:asciiTheme="minorEastAsia" w:hAnsiTheme="minorEastAsia"/>
                <w:b/>
                <w:color w:val="000000" w:themeColor="text1"/>
                <w:sz w:val="17"/>
                <w:lang w:eastAsia="zh-TW"/>
              </w:rPr>
              <w:t>與資訊科技教育的關係</w:t>
            </w:r>
          </w:p>
        </w:tc>
      </w:tr>
      <w:tr w:rsidR="00CF12C3" w:rsidRPr="00CF12C3" w:rsidTr="00A266BB">
        <w:trPr>
          <w:jc w:val="center"/>
        </w:trPr>
        <w:tc>
          <w:tcPr>
            <w:tcW w:w="10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proofErr w:type="spellStart"/>
            <w:r w:rsidRPr="00CF12C3">
              <w:rPr>
                <w:rFonts w:asciiTheme="minorEastAsia" w:hAnsiTheme="minorEastAsia"/>
                <w:color w:val="000000" w:themeColor="text1"/>
                <w:sz w:val="17"/>
              </w:rPr>
              <w:t>知識骨架</w:t>
            </w:r>
            <w:proofErr w:type="spellEnd"/>
          </w:p>
        </w:tc>
        <w:tc>
          <w:tcPr>
            <w:tcW w:w="23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五層次與五分析單位仍是公共行政基本架構</w:t>
            </w:r>
          </w:p>
        </w:tc>
        <w:tc>
          <w:tcPr>
            <w:tcW w:w="27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各格須納入</w:t>
            </w:r>
            <w:r w:rsidRPr="00CF12C3">
              <w:rPr>
                <w:rFonts w:asciiTheme="minorEastAsia" w:hAnsiTheme="minorEastAsia"/>
                <w:color w:val="000000" w:themeColor="text1"/>
                <w:sz w:val="17"/>
                <w:lang w:eastAsia="zh-TW"/>
              </w:rPr>
              <w:t>AI</w:t>
            </w:r>
            <w:r w:rsidRPr="00CF12C3">
              <w:rPr>
                <w:rFonts w:asciiTheme="minorEastAsia" w:hAnsiTheme="minorEastAsia"/>
                <w:color w:val="000000" w:themeColor="text1"/>
                <w:sz w:val="17"/>
                <w:lang w:eastAsia="zh-TW"/>
              </w:rPr>
              <w:t>、資料、模型、平台及人機組織</w:t>
            </w:r>
          </w:p>
        </w:tc>
        <w:tc>
          <w:tcPr>
            <w:tcW w:w="28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資訊科技提供新內容，但不取代公共行政整體架構</w:t>
            </w:r>
          </w:p>
        </w:tc>
      </w:tr>
      <w:tr w:rsidR="00CF12C3" w:rsidRPr="00CF12C3" w:rsidTr="00A266BB">
        <w:trPr>
          <w:jc w:val="center"/>
        </w:trPr>
        <w:tc>
          <w:tcPr>
            <w:tcW w:w="10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proofErr w:type="spellStart"/>
            <w:r w:rsidRPr="00CF12C3">
              <w:rPr>
                <w:rFonts w:asciiTheme="minorEastAsia" w:hAnsiTheme="minorEastAsia"/>
                <w:color w:val="000000" w:themeColor="text1"/>
                <w:sz w:val="17"/>
              </w:rPr>
              <w:t>問題界定</w:t>
            </w:r>
            <w:proofErr w:type="spellEnd"/>
          </w:p>
        </w:tc>
        <w:tc>
          <w:tcPr>
            <w:tcW w:w="23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仍須辨識政府問題的層次、單位與制度位置</w:t>
            </w:r>
          </w:p>
        </w:tc>
        <w:tc>
          <w:tcPr>
            <w:tcW w:w="27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須理解資料、標籤與模型如何預先形式化問題</w:t>
            </w:r>
          </w:p>
        </w:tc>
        <w:tc>
          <w:tcPr>
            <w:tcW w:w="28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由單向需求規格改為共同問題形成</w:t>
            </w:r>
          </w:p>
        </w:tc>
      </w:tr>
      <w:tr w:rsidR="00CF12C3" w:rsidRPr="00CF12C3" w:rsidTr="00A266BB">
        <w:trPr>
          <w:jc w:val="center"/>
        </w:trPr>
        <w:tc>
          <w:tcPr>
            <w:tcW w:w="10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proofErr w:type="spellStart"/>
            <w:r w:rsidRPr="00CF12C3">
              <w:rPr>
                <w:rFonts w:asciiTheme="minorEastAsia" w:hAnsiTheme="minorEastAsia"/>
                <w:color w:val="000000" w:themeColor="text1"/>
                <w:sz w:val="17"/>
              </w:rPr>
              <w:t>證據與方法</w:t>
            </w:r>
            <w:proofErr w:type="spellEnd"/>
          </w:p>
        </w:tc>
        <w:tc>
          <w:tcPr>
            <w:tcW w:w="23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制度、政策、組織與個案分析仍須保留</w:t>
            </w:r>
          </w:p>
        </w:tc>
        <w:tc>
          <w:tcPr>
            <w:tcW w:w="27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增加資料判讀、模型限制、模擬及生成式輸出分析</w:t>
            </w:r>
          </w:p>
        </w:tc>
        <w:tc>
          <w:tcPr>
            <w:tcW w:w="28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建立可互相翻譯與質疑的共同方法</w:t>
            </w:r>
          </w:p>
        </w:tc>
      </w:tr>
      <w:tr w:rsidR="00CF12C3" w:rsidRPr="00CF12C3" w:rsidTr="00A266BB">
        <w:trPr>
          <w:jc w:val="center"/>
        </w:trPr>
        <w:tc>
          <w:tcPr>
            <w:tcW w:w="10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proofErr w:type="spellStart"/>
            <w:r w:rsidRPr="00CF12C3">
              <w:rPr>
                <w:rFonts w:asciiTheme="minorEastAsia" w:hAnsiTheme="minorEastAsia"/>
                <w:color w:val="000000" w:themeColor="text1"/>
                <w:sz w:val="17"/>
              </w:rPr>
              <w:t>專業分工</w:t>
            </w:r>
            <w:proofErr w:type="spellEnd"/>
          </w:p>
        </w:tc>
        <w:tc>
          <w:tcPr>
            <w:tcW w:w="23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公共行政與資訊科技仍有不同專業核心</w:t>
            </w:r>
          </w:p>
        </w:tc>
        <w:tc>
          <w:tcPr>
            <w:tcW w:w="27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實務結果由跨域團隊、平台與供應鏈共同形成</w:t>
            </w:r>
          </w:p>
        </w:tc>
        <w:tc>
          <w:tcPr>
            <w:tcW w:w="28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由委外分工轉為跨域協作</w:t>
            </w:r>
          </w:p>
        </w:tc>
      </w:tr>
      <w:tr w:rsidR="00CF12C3" w:rsidRPr="00CF12C3" w:rsidTr="00A266BB">
        <w:trPr>
          <w:jc w:val="center"/>
        </w:trPr>
        <w:tc>
          <w:tcPr>
            <w:tcW w:w="10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proofErr w:type="spellStart"/>
            <w:r w:rsidRPr="00CF12C3">
              <w:rPr>
                <w:rFonts w:asciiTheme="minorEastAsia" w:hAnsiTheme="minorEastAsia"/>
                <w:color w:val="000000" w:themeColor="text1"/>
                <w:sz w:val="17"/>
              </w:rPr>
              <w:t>課程結構</w:t>
            </w:r>
            <w:proofErr w:type="spellEnd"/>
          </w:p>
        </w:tc>
        <w:tc>
          <w:tcPr>
            <w:tcW w:w="23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行政學、政策、組織、管理、財政與法制仍是基礎</w:t>
            </w:r>
          </w:p>
        </w:tc>
        <w:tc>
          <w:tcPr>
            <w:tcW w:w="27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同一</w:t>
            </w:r>
            <w:r w:rsidRPr="00CF12C3">
              <w:rPr>
                <w:rFonts w:asciiTheme="minorEastAsia" w:hAnsiTheme="minorEastAsia"/>
                <w:color w:val="000000" w:themeColor="text1"/>
                <w:sz w:val="17"/>
                <w:lang w:eastAsia="zh-TW"/>
              </w:rPr>
              <w:t>AI</w:t>
            </w:r>
            <w:r w:rsidRPr="00CF12C3">
              <w:rPr>
                <w:rFonts w:asciiTheme="minorEastAsia" w:hAnsiTheme="minorEastAsia"/>
                <w:color w:val="000000" w:themeColor="text1"/>
                <w:sz w:val="17"/>
                <w:lang w:eastAsia="zh-TW"/>
              </w:rPr>
              <w:t>議題跨越多門課與多個座標</w:t>
            </w:r>
          </w:p>
        </w:tc>
        <w:tc>
          <w:tcPr>
            <w:tcW w:w="28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建立跨課程共同案例與跨系模組</w:t>
            </w:r>
          </w:p>
        </w:tc>
      </w:tr>
      <w:tr w:rsidR="00CF12C3" w:rsidRPr="00CF12C3" w:rsidTr="00A266BB">
        <w:trPr>
          <w:jc w:val="center"/>
        </w:trPr>
        <w:tc>
          <w:tcPr>
            <w:tcW w:w="10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proofErr w:type="spellStart"/>
            <w:r w:rsidRPr="00CF12C3">
              <w:rPr>
                <w:rFonts w:asciiTheme="minorEastAsia" w:hAnsiTheme="minorEastAsia"/>
                <w:color w:val="000000" w:themeColor="text1"/>
                <w:sz w:val="17"/>
              </w:rPr>
              <w:t>教學方法</w:t>
            </w:r>
            <w:proofErr w:type="spellEnd"/>
          </w:p>
        </w:tc>
        <w:tc>
          <w:tcPr>
            <w:tcW w:w="23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理論、制度與案例分析仍不可取代</w:t>
            </w:r>
          </w:p>
        </w:tc>
        <w:tc>
          <w:tcPr>
            <w:tcW w:w="27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增加座標定位、路徑分析、模型文件閱讀與跨域專題</w:t>
            </w:r>
          </w:p>
        </w:tc>
        <w:tc>
          <w:tcPr>
            <w:tcW w:w="28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技術實作須連回公共行政問題</w:t>
            </w:r>
          </w:p>
        </w:tc>
      </w:tr>
      <w:tr w:rsidR="00CF12C3" w:rsidRPr="00CF12C3" w:rsidTr="00A266BB">
        <w:trPr>
          <w:jc w:val="center"/>
        </w:trPr>
        <w:tc>
          <w:tcPr>
            <w:tcW w:w="10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proofErr w:type="spellStart"/>
            <w:r w:rsidRPr="00CF12C3">
              <w:rPr>
                <w:rFonts w:asciiTheme="minorEastAsia" w:hAnsiTheme="minorEastAsia"/>
                <w:color w:val="000000" w:themeColor="text1"/>
                <w:sz w:val="17"/>
              </w:rPr>
              <w:t>學習制度</w:t>
            </w:r>
            <w:proofErr w:type="spellEnd"/>
          </w:p>
        </w:tc>
        <w:tc>
          <w:tcPr>
            <w:tcW w:w="23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大學教育與文官訓練仍有不同任務</w:t>
            </w:r>
          </w:p>
        </w:tc>
        <w:tc>
          <w:tcPr>
            <w:tcW w:w="27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AI</w:t>
            </w:r>
            <w:r w:rsidRPr="00CF12C3">
              <w:rPr>
                <w:rFonts w:asciiTheme="minorEastAsia" w:hAnsiTheme="minorEastAsia"/>
                <w:color w:val="000000" w:themeColor="text1"/>
                <w:sz w:val="17"/>
                <w:lang w:eastAsia="zh-TW"/>
              </w:rPr>
              <w:t>治理要求持續更新及組織層級學習</w:t>
            </w:r>
          </w:p>
        </w:tc>
        <w:tc>
          <w:tcPr>
            <w:tcW w:w="28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形成大學、訓練機關與政府實務的循環</w:t>
            </w:r>
          </w:p>
        </w:tc>
      </w:tr>
    </w:tbl>
    <w:p w:rsidR="00A266BB" w:rsidRPr="00CF12C3" w:rsidRDefault="00FB0C44">
      <w:pPr>
        <w:pStyle w:val="a0"/>
        <w:rPr>
          <w:rFonts w:asciiTheme="minorEastAsia" w:hAnsiTheme="minorEastAsia"/>
          <w:color w:val="000000" w:themeColor="text1"/>
          <w:lang w:eastAsia="zh-TW"/>
        </w:rPr>
      </w:pPr>
      <w:r w:rsidRPr="00CF12C3">
        <w:rPr>
          <w:rFonts w:asciiTheme="minorEastAsia" w:hAnsiTheme="minorEastAsia"/>
          <w:color w:val="000000" w:themeColor="text1"/>
          <w:lang w:eastAsia="zh-TW"/>
        </w:rPr>
        <w:t>表</w:t>
      </w:r>
      <w:r w:rsidRPr="00CF12C3">
        <w:rPr>
          <w:rFonts w:asciiTheme="minorEastAsia" w:hAnsiTheme="minorEastAsia"/>
          <w:color w:val="000000" w:themeColor="text1"/>
          <w:lang w:eastAsia="zh-TW"/>
        </w:rPr>
        <w:t>4</w:t>
      </w:r>
      <w:r w:rsidRPr="00CF12C3">
        <w:rPr>
          <w:rFonts w:asciiTheme="minorEastAsia" w:hAnsiTheme="minorEastAsia"/>
          <w:color w:val="000000" w:themeColor="text1"/>
          <w:lang w:eastAsia="zh-TW"/>
        </w:rPr>
        <w:t xml:space="preserve">　</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治理下公共行政與資訊科技教育的變與不變</w:t>
      </w:r>
    </w:p>
    <w:p w:rsidR="00A266BB" w:rsidRPr="00CF12C3" w:rsidRDefault="00FB0C44">
      <w:pPr>
        <w:pStyle w:val="a0"/>
        <w:rPr>
          <w:rFonts w:asciiTheme="minorEastAsia" w:hAnsiTheme="minorEastAsia"/>
          <w:color w:val="000000" w:themeColor="text1"/>
          <w:lang w:eastAsia="zh-TW"/>
        </w:rPr>
      </w:pPr>
      <w:r w:rsidRPr="00CF12C3">
        <w:rPr>
          <w:rFonts w:asciiTheme="minorEastAsia" w:hAnsiTheme="minorEastAsia"/>
          <w:color w:val="000000" w:themeColor="text1"/>
          <w:lang w:eastAsia="zh-TW"/>
        </w:rPr>
        <w:t>表</w:t>
      </w:r>
      <w:r w:rsidRPr="00CF12C3">
        <w:rPr>
          <w:rFonts w:asciiTheme="minorEastAsia" w:hAnsiTheme="minorEastAsia"/>
          <w:color w:val="000000" w:themeColor="text1"/>
          <w:lang w:eastAsia="zh-TW"/>
        </w:rPr>
        <w:t>4</w:t>
      </w:r>
      <w:r w:rsidRPr="00CF12C3">
        <w:rPr>
          <w:rFonts w:asciiTheme="minorEastAsia" w:hAnsiTheme="minorEastAsia"/>
          <w:color w:val="000000" w:themeColor="text1"/>
          <w:lang w:eastAsia="zh-TW"/>
        </w:rPr>
        <w:t>顯示，公共行政教育面對</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治理不是全部改變或全部不變，而是同時發生「骨架保留、內容更新、連結重組與教學轉型」。以下從問題界定、判斷證據與專業組織三個面向進一步辯證。</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第一類是問題界定與目標設定的教育落差。資訊科技教育通常從可形式化的問題開始，公共行政教育則必須追問問題如何進入政策議程、由哪一制度位置定義，以及不同分析單位如何受到影響。兩者需要共同教學，但不能省略問題形成以前的公共行政知識。</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lastRenderedPageBreak/>
        <w:t>第二類是判斷與證據的教育落差。模型以統計關聯、分類及預測形成輸出，行政與司法教育則處理法規、個案、程序與理由。學生必須同時理解模型表現及制度判斷，否則公共行政人員只能被動接受技術輸出，資訊人員也可能把預測誤認為完整決定。</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第三類是專業角色與組織學習的教育落差。</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系統往往由跨機關、外</w:t>
      </w:r>
      <w:r w:rsidRPr="00CF12C3">
        <w:rPr>
          <w:rFonts w:asciiTheme="minorEastAsia" w:hAnsiTheme="minorEastAsia"/>
          <w:color w:val="000000" w:themeColor="text1"/>
          <w:lang w:eastAsia="zh-TW"/>
        </w:rPr>
        <w:t>部供應商及不同專業共同建置，但大學課程及公務訓練仍多以單一學科、單一職系或一次性講習安排。治理活動已跨格，教育組織卻仍停留在分科與分工狀態。</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技術轉譯落差並非無法在教學中被具體打破。公共行政學生不需學會撰寫程式或建構模型，但可訓練其閱讀「模型卡」（</w:t>
      </w:r>
      <w:r w:rsidRPr="00CF12C3">
        <w:rPr>
          <w:rFonts w:asciiTheme="minorEastAsia" w:hAnsiTheme="minorEastAsia"/>
          <w:color w:val="000000" w:themeColor="text1"/>
          <w:lang w:eastAsia="zh-TW"/>
        </w:rPr>
        <w:t>Model Cards</w:t>
      </w:r>
      <w:r w:rsidRPr="00CF12C3">
        <w:rPr>
          <w:rFonts w:asciiTheme="minorEastAsia" w:hAnsiTheme="minorEastAsia"/>
          <w:color w:val="000000" w:themeColor="text1"/>
          <w:lang w:eastAsia="zh-TW"/>
        </w:rPr>
        <w:t>）及「資料營養標籤」（</w:t>
      </w:r>
      <w:r w:rsidRPr="00CF12C3">
        <w:rPr>
          <w:rFonts w:asciiTheme="minorEastAsia" w:hAnsiTheme="minorEastAsia"/>
          <w:color w:val="000000" w:themeColor="text1"/>
          <w:lang w:eastAsia="zh-TW"/>
        </w:rPr>
        <w:t>Data Nutrition Labels</w:t>
      </w:r>
      <w:r w:rsidRPr="00CF12C3">
        <w:rPr>
          <w:rFonts w:asciiTheme="minorEastAsia" w:hAnsiTheme="minorEastAsia"/>
          <w:color w:val="000000" w:themeColor="text1"/>
          <w:lang w:eastAsia="zh-TW"/>
        </w:rPr>
        <w:t>）等技術文件，理解其中所載之訓練資料來源、已知限制、適用範圍及效能指標，並將其轉化為行政監督、裁量覆核及課責追蹤之具體依據。此一閱讀能力不要求公共行政人員具備資訊工程背景，卻能使</w:t>
      </w:r>
      <w:r w:rsidRPr="00CF12C3">
        <w:rPr>
          <w:rFonts w:asciiTheme="minorEastAsia" w:hAnsiTheme="minorEastAsia"/>
          <w:color w:val="000000" w:themeColor="text1"/>
          <w:lang w:eastAsia="zh-TW"/>
        </w:rPr>
        <w:t>其在跨域協作中，將技術文件所揭露之限制與風險，重新連回制度、政策與組織層次的判斷，構成翻譯介面教學的可行路徑之一。</w:t>
      </w:r>
    </w:p>
    <w:p w:rsidR="00A266BB" w:rsidRPr="00CF12C3" w:rsidRDefault="00FB0C44">
      <w:pPr>
        <w:pStyle w:val="2"/>
        <w:rPr>
          <w:rFonts w:asciiTheme="minorEastAsia" w:eastAsiaTheme="minorEastAsia" w:hAnsiTheme="minorEastAsia"/>
          <w:color w:val="000000" w:themeColor="text1"/>
          <w:lang w:eastAsia="zh-TW"/>
        </w:rPr>
      </w:pPr>
      <w:bookmarkStart w:id="24" w:name="四形成可供印證的教育命題"/>
      <w:bookmarkEnd w:id="23"/>
      <w:r w:rsidRPr="00CF12C3">
        <w:rPr>
          <w:rFonts w:asciiTheme="minorEastAsia" w:eastAsiaTheme="minorEastAsia" w:hAnsiTheme="minorEastAsia"/>
          <w:color w:val="000000" w:themeColor="text1"/>
          <w:lang w:eastAsia="zh-TW"/>
        </w:rPr>
        <w:t>四、形成可供印證的教育命題</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前述辯證形成三項可供教育文件印證的命題。第一，若課程只有</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概論或工具操作，尚不能處理五項議題跨越政策、制度、組織及管理的知識需求。第二，若</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只集中於單一選修課，表示已有明示涵蓋，但尚未形成跨課程整合。第三，若學習成果沒有案例、模擬、跨域專題或機關實作，則知識尚未完成由課堂理解到公共問題處理的應用轉移。</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這三項命題並不預設現有教育完全落後。課程新增</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與政府相關科</w:t>
      </w:r>
      <w:r w:rsidRPr="00CF12C3">
        <w:rPr>
          <w:rFonts w:asciiTheme="minorEastAsia" w:hAnsiTheme="minorEastAsia"/>
          <w:color w:val="000000" w:themeColor="text1"/>
          <w:lang w:eastAsia="zh-TW"/>
        </w:rPr>
        <w:t>目，表示教育已開始變動；傳統行政學、政策、組織、法律與財政課程仍持續存在，則顯示公共行政知識骨架未消失。真正需要印證的是：新增</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內容是否已與原有知識骨架形成可運作的連結。</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lastRenderedPageBreak/>
        <w:t>據此，本文以四項教育涵蓋度編碼進行初步文件分析。四項各分為</w:t>
      </w:r>
      <w:r w:rsidRPr="00CF12C3">
        <w:rPr>
          <w:rFonts w:asciiTheme="minorEastAsia" w:hAnsiTheme="minorEastAsia"/>
          <w:color w:val="000000" w:themeColor="text1"/>
          <w:lang w:eastAsia="zh-TW"/>
        </w:rPr>
        <w:t>0</w:t>
      </w:r>
      <w:r w:rsidRPr="00CF12C3">
        <w:rPr>
          <w:rFonts w:asciiTheme="minorEastAsia" w:hAnsiTheme="minorEastAsia"/>
          <w:color w:val="000000" w:themeColor="text1"/>
          <w:lang w:eastAsia="zh-TW"/>
        </w:rPr>
        <w:t>至</w:t>
      </w:r>
      <w:r w:rsidRPr="00CF12C3">
        <w:rPr>
          <w:rFonts w:asciiTheme="minorEastAsia" w:hAnsiTheme="minorEastAsia"/>
          <w:color w:val="000000" w:themeColor="text1"/>
          <w:lang w:eastAsia="zh-TW"/>
        </w:rPr>
        <w:t>3</w:t>
      </w:r>
      <w:r w:rsidRPr="00CF12C3">
        <w:rPr>
          <w:rFonts w:asciiTheme="minorEastAsia" w:hAnsiTheme="minorEastAsia"/>
          <w:color w:val="000000" w:themeColor="text1"/>
          <w:lang w:eastAsia="zh-TW"/>
        </w:rPr>
        <w:t>級，合計</w:t>
      </w:r>
      <w:r w:rsidRPr="00CF12C3">
        <w:rPr>
          <w:rFonts w:asciiTheme="minorEastAsia" w:hAnsiTheme="minorEastAsia"/>
          <w:color w:val="000000" w:themeColor="text1"/>
          <w:lang w:eastAsia="zh-TW"/>
        </w:rPr>
        <w:t>0</w:t>
      </w:r>
      <w:r w:rsidRPr="00CF12C3">
        <w:rPr>
          <w:rFonts w:asciiTheme="minorEastAsia" w:hAnsiTheme="minorEastAsia"/>
          <w:color w:val="000000" w:themeColor="text1"/>
          <w:lang w:eastAsia="zh-TW"/>
        </w:rPr>
        <w:t>至</w:t>
      </w:r>
      <w:r w:rsidRPr="00CF12C3">
        <w:rPr>
          <w:rFonts w:asciiTheme="minorEastAsia" w:hAnsiTheme="minorEastAsia"/>
          <w:color w:val="000000" w:themeColor="text1"/>
          <w:lang w:eastAsia="zh-TW"/>
        </w:rPr>
        <w:t>12</w:t>
      </w:r>
      <w:r w:rsidRPr="00CF12C3">
        <w:rPr>
          <w:rFonts w:asciiTheme="minorEastAsia" w:hAnsiTheme="minorEastAsia"/>
          <w:color w:val="000000" w:themeColor="text1"/>
          <w:lang w:eastAsia="zh-TW"/>
        </w:rPr>
        <w:t>分；分數只表示文件中可觀察的涵蓋程度，不是經心理計量程序建立的能力量表，也不直接等同學生或公務人員的實際能力。</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辯證的重點不是證明公共行政舊知識全部失效，而是辨別內容已新增但連結尚未形成、課程已設置但應用仍不足等不同教育落差。這也使第四階段的「印證」有可被文</w:t>
      </w:r>
      <w:r w:rsidRPr="00CF12C3">
        <w:rPr>
          <w:rFonts w:asciiTheme="minorEastAsia" w:hAnsiTheme="minorEastAsia"/>
          <w:color w:val="000000" w:themeColor="text1"/>
          <w:lang w:eastAsia="zh-TW"/>
        </w:rPr>
        <w:t>件支持或反駁的判準。</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由此形成印證命題：若正式課程及訓練文件已明示納入</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，卻主要停留於單一課程、通識素養或工具應用，而較少呈現五項議題的跨層次整合及案例轉移，則公共行政教育的主要問題不是</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內容完全缺席，而是整合深度與應用轉移不足。</w:t>
      </w:r>
    </w:p>
    <w:p w:rsidR="00A266BB" w:rsidRPr="00CF12C3" w:rsidRDefault="00FB0C44">
      <w:pPr>
        <w:pStyle w:val="1"/>
        <w:rPr>
          <w:rFonts w:asciiTheme="minorEastAsia" w:eastAsiaTheme="minorEastAsia" w:hAnsiTheme="minorEastAsia"/>
          <w:color w:val="000000" w:themeColor="text1"/>
          <w:lang w:eastAsia="zh-TW"/>
        </w:rPr>
      </w:pPr>
      <w:bookmarkStart w:id="25" w:name="伍印證公共行政教育現況與教育落差"/>
      <w:bookmarkEnd w:id="20"/>
      <w:bookmarkEnd w:id="24"/>
      <w:r w:rsidRPr="00CF12C3">
        <w:rPr>
          <w:rFonts w:asciiTheme="minorEastAsia" w:eastAsiaTheme="minorEastAsia" w:hAnsiTheme="minorEastAsia"/>
          <w:color w:val="000000" w:themeColor="text1"/>
          <w:lang w:eastAsia="zh-TW"/>
        </w:rPr>
        <w:t>伍、印證：公共行政教育現況與教育落差</w:t>
      </w:r>
    </w:p>
    <w:p w:rsidR="00A266BB" w:rsidRPr="00CF12C3" w:rsidRDefault="00FB0C44">
      <w:pPr>
        <w:pStyle w:val="2"/>
        <w:rPr>
          <w:rFonts w:asciiTheme="minorEastAsia" w:eastAsiaTheme="minorEastAsia" w:hAnsiTheme="minorEastAsia"/>
          <w:color w:val="000000" w:themeColor="text1"/>
          <w:lang w:eastAsia="zh-TW"/>
        </w:rPr>
      </w:pPr>
      <w:bookmarkStart w:id="26" w:name="一分析方法"/>
      <w:r w:rsidRPr="00CF12C3">
        <w:rPr>
          <w:rFonts w:asciiTheme="minorEastAsia" w:eastAsiaTheme="minorEastAsia" w:hAnsiTheme="minorEastAsia"/>
          <w:color w:val="000000" w:themeColor="text1"/>
          <w:lang w:eastAsia="zh-TW"/>
        </w:rPr>
        <w:t>一、分析方法</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本章以實際教育文件印證前述命題。</w:t>
      </w:r>
      <w:r w:rsidRPr="00CF12C3">
        <w:rPr>
          <w:rFonts w:asciiTheme="minorEastAsia" w:hAnsiTheme="minorEastAsia"/>
          <w:color w:val="000000" w:themeColor="text1"/>
          <w:lang w:eastAsia="zh-TW"/>
        </w:rPr>
        <w:t>25</w:t>
      </w:r>
      <w:r w:rsidRPr="00CF12C3">
        <w:rPr>
          <w:rFonts w:asciiTheme="minorEastAsia" w:hAnsiTheme="minorEastAsia"/>
          <w:color w:val="000000" w:themeColor="text1"/>
          <w:lang w:eastAsia="zh-TW"/>
        </w:rPr>
        <w:t>座標定位仍維持表</w:t>
      </w:r>
      <w:r w:rsidRPr="00CF12C3">
        <w:rPr>
          <w:rFonts w:asciiTheme="minorEastAsia" w:hAnsiTheme="minorEastAsia"/>
          <w:color w:val="000000" w:themeColor="text1"/>
          <w:lang w:eastAsia="zh-TW"/>
        </w:rPr>
        <w:t>3</w:t>
      </w:r>
      <w:r w:rsidRPr="00CF12C3">
        <w:rPr>
          <w:rFonts w:asciiTheme="minorEastAsia" w:hAnsiTheme="minorEastAsia"/>
          <w:color w:val="000000" w:themeColor="text1"/>
          <w:lang w:eastAsia="zh-TW"/>
        </w:rPr>
        <w:t>的議題分析結果；本章不重新定位教育，而是檢查教育材料能否涵蓋已定位的問題。分析先提出教育涵蓋度編碼，再比較國際教育基準、臺灣大學課程與公務人員訓練，最後以</w:t>
      </w:r>
      <w:r w:rsidRPr="00CF12C3">
        <w:rPr>
          <w:rFonts w:asciiTheme="minorEastAsia" w:hAnsiTheme="minorEastAsia"/>
          <w:color w:val="000000" w:themeColor="text1"/>
          <w:lang w:eastAsia="zh-TW"/>
        </w:rPr>
        <w:t>AFST</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COM</w:t>
      </w:r>
      <w:r w:rsidRPr="00CF12C3">
        <w:rPr>
          <w:rFonts w:asciiTheme="minorEastAsia" w:hAnsiTheme="minorEastAsia"/>
          <w:color w:val="000000" w:themeColor="text1"/>
          <w:lang w:eastAsia="zh-TW"/>
        </w:rPr>
        <w:t>PAS</w:t>
      </w:r>
      <w:r w:rsidRPr="00CF12C3">
        <w:rPr>
          <w:rFonts w:asciiTheme="minorEastAsia" w:hAnsiTheme="minorEastAsia"/>
          <w:color w:val="000000" w:themeColor="text1"/>
          <w:lang w:eastAsia="zh-TW"/>
        </w:rPr>
        <w:t>與</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公共預算作簡要壓力情境。由於印證材料僅限於可公開取得的正式課程規劃表與政策說明，本章的判斷屬於文件層次的初步診斷，不能直接等同實際課堂教學品質或受訓者能力。</w:t>
      </w:r>
    </w:p>
    <w:p w:rsidR="00A266BB" w:rsidRPr="00CF12C3" w:rsidRDefault="00FB0C44">
      <w:pPr>
        <w:pStyle w:val="2"/>
        <w:rPr>
          <w:rFonts w:asciiTheme="minorEastAsia" w:eastAsiaTheme="minorEastAsia" w:hAnsiTheme="minorEastAsia"/>
          <w:color w:val="000000" w:themeColor="text1"/>
          <w:lang w:eastAsia="zh-TW"/>
        </w:rPr>
      </w:pPr>
      <w:bookmarkStart w:id="27" w:name="二教育涵蓋度的編碼方法"/>
      <w:bookmarkEnd w:id="26"/>
      <w:r w:rsidRPr="00CF12C3">
        <w:rPr>
          <w:rFonts w:asciiTheme="minorEastAsia" w:eastAsiaTheme="minorEastAsia" w:hAnsiTheme="minorEastAsia"/>
          <w:color w:val="000000" w:themeColor="text1"/>
          <w:lang w:eastAsia="zh-TW"/>
        </w:rPr>
        <w:t>二、教育涵蓋度的編碼方法</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教育涵蓋度包含四個維度：明示涵蓋判斷文件是否直接出現</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公共治理內容；知識深度判斷內容是否由工具介紹進入資料、模型與行政問題；跨域整合判斷是否連結兩種以上課程或專業；應用轉移判斷是否以案例、模擬、專題或機關問題形成可運用的學習成果。每項依</w:t>
      </w:r>
      <w:r w:rsidRPr="00CF12C3">
        <w:rPr>
          <w:rFonts w:asciiTheme="minorEastAsia" w:hAnsiTheme="minorEastAsia"/>
          <w:color w:val="000000" w:themeColor="text1"/>
          <w:lang w:eastAsia="zh-TW"/>
        </w:rPr>
        <w:t>0</w:t>
      </w:r>
      <w:r w:rsidRPr="00CF12C3">
        <w:rPr>
          <w:rFonts w:asciiTheme="minorEastAsia" w:hAnsiTheme="minorEastAsia"/>
          <w:color w:val="000000" w:themeColor="text1"/>
          <w:lang w:eastAsia="zh-TW"/>
        </w:rPr>
        <w:t>至</w:t>
      </w:r>
      <w:r w:rsidRPr="00CF12C3">
        <w:rPr>
          <w:rFonts w:asciiTheme="minorEastAsia" w:hAnsiTheme="minorEastAsia"/>
          <w:color w:val="000000" w:themeColor="text1"/>
          <w:lang w:eastAsia="zh-TW"/>
        </w:rPr>
        <w:t>3</w:t>
      </w:r>
      <w:r w:rsidRPr="00CF12C3">
        <w:rPr>
          <w:rFonts w:asciiTheme="minorEastAsia" w:hAnsiTheme="minorEastAsia"/>
          <w:color w:val="000000" w:themeColor="text1"/>
          <w:lang w:eastAsia="zh-TW"/>
        </w:rPr>
        <w:t>級編碼。</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總分</w:t>
      </w:r>
      <w:r w:rsidRPr="00CF12C3">
        <w:rPr>
          <w:rFonts w:asciiTheme="minorEastAsia" w:hAnsiTheme="minorEastAsia"/>
          <w:color w:val="000000" w:themeColor="text1"/>
          <w:lang w:eastAsia="zh-TW"/>
        </w:rPr>
        <w:t>0</w:t>
      </w:r>
      <w:r w:rsidRPr="00CF12C3">
        <w:rPr>
          <w:rFonts w:asciiTheme="minorEastAsia" w:hAnsiTheme="minorEastAsia"/>
          <w:color w:val="000000" w:themeColor="text1"/>
          <w:lang w:eastAsia="zh-TW"/>
        </w:rPr>
        <w:t>至</w:t>
      </w:r>
      <w:r w:rsidRPr="00CF12C3">
        <w:rPr>
          <w:rFonts w:asciiTheme="minorEastAsia" w:hAnsiTheme="minorEastAsia"/>
          <w:color w:val="000000" w:themeColor="text1"/>
          <w:lang w:eastAsia="zh-TW"/>
        </w:rPr>
        <w:t>3</w:t>
      </w:r>
      <w:r w:rsidRPr="00CF12C3">
        <w:rPr>
          <w:rFonts w:asciiTheme="minorEastAsia" w:hAnsiTheme="minorEastAsia"/>
          <w:color w:val="000000" w:themeColor="text1"/>
          <w:lang w:eastAsia="zh-TW"/>
        </w:rPr>
        <w:t>表示教育缺席，</w:t>
      </w:r>
      <w:r w:rsidRPr="00CF12C3">
        <w:rPr>
          <w:rFonts w:asciiTheme="minorEastAsia" w:hAnsiTheme="minorEastAsia"/>
          <w:color w:val="000000" w:themeColor="text1"/>
          <w:lang w:eastAsia="zh-TW"/>
        </w:rPr>
        <w:t>4</w:t>
      </w:r>
      <w:r w:rsidRPr="00CF12C3">
        <w:rPr>
          <w:rFonts w:asciiTheme="minorEastAsia" w:hAnsiTheme="minorEastAsia"/>
          <w:color w:val="000000" w:themeColor="text1"/>
          <w:lang w:eastAsia="zh-TW"/>
        </w:rPr>
        <w:t>至</w:t>
      </w:r>
      <w:r w:rsidRPr="00CF12C3">
        <w:rPr>
          <w:rFonts w:asciiTheme="minorEastAsia" w:hAnsiTheme="minorEastAsia"/>
          <w:color w:val="000000" w:themeColor="text1"/>
          <w:lang w:eastAsia="zh-TW"/>
        </w:rPr>
        <w:t>6</w:t>
      </w:r>
      <w:r w:rsidRPr="00CF12C3">
        <w:rPr>
          <w:rFonts w:asciiTheme="minorEastAsia" w:hAnsiTheme="minorEastAsia"/>
          <w:color w:val="000000" w:themeColor="text1"/>
          <w:lang w:eastAsia="zh-TW"/>
        </w:rPr>
        <w:t>表示初步納入，</w:t>
      </w:r>
      <w:r w:rsidRPr="00CF12C3">
        <w:rPr>
          <w:rFonts w:asciiTheme="minorEastAsia" w:hAnsiTheme="minorEastAsia"/>
          <w:color w:val="000000" w:themeColor="text1"/>
          <w:lang w:eastAsia="zh-TW"/>
        </w:rPr>
        <w:t>7</w:t>
      </w:r>
      <w:r w:rsidRPr="00CF12C3">
        <w:rPr>
          <w:rFonts w:asciiTheme="minorEastAsia" w:hAnsiTheme="minorEastAsia"/>
          <w:color w:val="000000" w:themeColor="text1"/>
          <w:lang w:eastAsia="zh-TW"/>
        </w:rPr>
        <w:t>至</w:t>
      </w:r>
      <w:r w:rsidRPr="00CF12C3">
        <w:rPr>
          <w:rFonts w:asciiTheme="minorEastAsia" w:hAnsiTheme="minorEastAsia"/>
          <w:color w:val="000000" w:themeColor="text1"/>
          <w:lang w:eastAsia="zh-TW"/>
        </w:rPr>
        <w:t>9</w:t>
      </w:r>
      <w:r w:rsidRPr="00CF12C3">
        <w:rPr>
          <w:rFonts w:asciiTheme="minorEastAsia" w:hAnsiTheme="minorEastAsia"/>
          <w:color w:val="000000" w:themeColor="text1"/>
          <w:lang w:eastAsia="zh-TW"/>
        </w:rPr>
        <w:t>表示部分整合</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10</w:t>
      </w:r>
      <w:r w:rsidRPr="00CF12C3">
        <w:rPr>
          <w:rFonts w:asciiTheme="minorEastAsia" w:hAnsiTheme="minorEastAsia"/>
          <w:color w:val="000000" w:themeColor="text1"/>
          <w:lang w:eastAsia="zh-TW"/>
        </w:rPr>
        <w:t>至</w:t>
      </w:r>
      <w:r w:rsidRPr="00CF12C3">
        <w:rPr>
          <w:rFonts w:asciiTheme="minorEastAsia" w:hAnsiTheme="minorEastAsia"/>
          <w:color w:val="000000" w:themeColor="text1"/>
          <w:lang w:eastAsia="zh-TW"/>
        </w:rPr>
        <w:t>12</w:t>
      </w:r>
      <w:r w:rsidRPr="00CF12C3">
        <w:rPr>
          <w:rFonts w:asciiTheme="minorEastAsia" w:hAnsiTheme="minorEastAsia"/>
          <w:color w:val="000000" w:themeColor="text1"/>
          <w:lang w:eastAsia="zh-TW"/>
        </w:rPr>
        <w:t>表示已形成較完整的教育涵蓋。這些區間是本文為文件比較建立的分析規準，</w:t>
      </w:r>
      <w:r w:rsidRPr="00CF12C3">
        <w:rPr>
          <w:rFonts w:asciiTheme="minorEastAsia" w:hAnsiTheme="minorEastAsia"/>
          <w:color w:val="000000" w:themeColor="text1"/>
          <w:lang w:eastAsia="zh-TW"/>
        </w:rPr>
        <w:lastRenderedPageBreak/>
        <w:t>不是已經通過信度、效度與常模檢驗的標準化量表；後續研究仍須以多位編碼者及更多課綱檢驗其可靠性。本文因此不對單一材料強制給出總分，而以「已有證據／證據不足」呈現，避免虛假的量化精確性。</w:t>
      </w:r>
    </w:p>
    <w:p w:rsidR="00A266BB" w:rsidRPr="00CF12C3" w:rsidRDefault="00FB0C44">
      <w:pPr>
        <w:pStyle w:val="a0"/>
        <w:rPr>
          <w:rFonts w:asciiTheme="minorEastAsia" w:hAnsiTheme="minorEastAsia"/>
          <w:color w:val="000000" w:themeColor="text1"/>
          <w:lang w:eastAsia="zh-TW"/>
        </w:rPr>
      </w:pPr>
      <w:r w:rsidRPr="00CF12C3">
        <w:rPr>
          <w:rFonts w:asciiTheme="minorEastAsia" w:hAnsiTheme="minorEastAsia"/>
          <w:color w:val="000000" w:themeColor="text1"/>
          <w:lang w:eastAsia="zh-TW"/>
        </w:rPr>
        <w:t>表</w:t>
      </w:r>
      <w:r w:rsidRPr="00CF12C3">
        <w:rPr>
          <w:rFonts w:asciiTheme="minorEastAsia" w:hAnsiTheme="minorEastAsia"/>
          <w:color w:val="000000" w:themeColor="text1"/>
          <w:lang w:eastAsia="zh-TW"/>
        </w:rPr>
        <w:t>5</w:t>
      </w:r>
      <w:r w:rsidRPr="00CF12C3">
        <w:rPr>
          <w:rFonts w:asciiTheme="minorEastAsia" w:hAnsiTheme="minorEastAsia"/>
          <w:color w:val="000000" w:themeColor="text1"/>
          <w:lang w:eastAsia="zh-TW"/>
        </w:rPr>
        <w:t>呈現編碼規準。本文只對文件可直接觀察的內容作判斷：科目名稱可支持「明示涵蓋」，課程目標與內容可支持「知識深度」，跨課程或跨系安排可支持「跨域整合」，作業、專題及實作設計才能支持「應用轉移」。缺乏詳細課綱時，不以推測補足較高級別。表</w:t>
      </w:r>
      <w:r w:rsidRPr="00CF12C3">
        <w:rPr>
          <w:rFonts w:asciiTheme="minorEastAsia" w:hAnsiTheme="minorEastAsia"/>
          <w:color w:val="000000" w:themeColor="text1"/>
          <w:lang w:eastAsia="zh-TW"/>
        </w:rPr>
        <w:t>6</w:t>
      </w:r>
      <w:r w:rsidRPr="00CF12C3">
        <w:rPr>
          <w:rFonts w:asciiTheme="minorEastAsia" w:hAnsiTheme="minorEastAsia"/>
          <w:color w:val="000000" w:themeColor="text1"/>
          <w:lang w:eastAsia="zh-TW"/>
        </w:rPr>
        <w:t>之判斷由作者</w:t>
      </w:r>
      <w:r w:rsidRPr="00CF12C3">
        <w:rPr>
          <w:rFonts w:asciiTheme="minorEastAsia" w:hAnsiTheme="minorEastAsia"/>
          <w:color w:val="000000" w:themeColor="text1"/>
          <w:lang w:eastAsia="zh-TW"/>
        </w:rPr>
        <w:t>單獨完成，尚未進行獨立複編，故本文不報告編碼者間信度，也不將其宣稱為已建立信度的量測結果，而僅作為初步文件診斷。正式擴充研究宜由作者與至少一位未參與規準建構的研究生或同儕，抽取約</w:t>
      </w:r>
      <w:r w:rsidRPr="00CF12C3">
        <w:rPr>
          <w:rFonts w:asciiTheme="minorEastAsia" w:hAnsiTheme="minorEastAsia"/>
          <w:color w:val="000000" w:themeColor="text1"/>
          <w:lang w:eastAsia="zh-TW"/>
        </w:rPr>
        <w:t>20%</w:t>
      </w:r>
      <w:r w:rsidRPr="00CF12C3">
        <w:rPr>
          <w:rFonts w:asciiTheme="minorEastAsia" w:hAnsiTheme="minorEastAsia"/>
          <w:color w:val="000000" w:themeColor="text1"/>
          <w:lang w:eastAsia="zh-TW"/>
        </w:rPr>
        <w:t>至</w:t>
      </w:r>
      <w:r w:rsidRPr="00CF12C3">
        <w:rPr>
          <w:rFonts w:asciiTheme="minorEastAsia" w:hAnsiTheme="minorEastAsia"/>
          <w:color w:val="000000" w:themeColor="text1"/>
          <w:lang w:eastAsia="zh-TW"/>
        </w:rPr>
        <w:t>30%</w:t>
      </w:r>
      <w:r w:rsidRPr="00CF12C3">
        <w:rPr>
          <w:rFonts w:asciiTheme="minorEastAsia" w:hAnsiTheme="minorEastAsia"/>
          <w:color w:val="000000" w:themeColor="text1"/>
          <w:lang w:eastAsia="zh-TW"/>
        </w:rPr>
        <w:t>文件進行試編碼；比較歧異並修訂操作定義後，再由編碼者依定稿規準獨立重編全體文件。兩位編碼者可就各維度的序位等級報告加權</w:t>
      </w:r>
      <w:r w:rsidRPr="00CF12C3">
        <w:rPr>
          <w:rFonts w:asciiTheme="minorEastAsia" w:hAnsiTheme="minorEastAsia"/>
          <w:color w:val="000000" w:themeColor="text1"/>
          <w:lang w:eastAsia="zh-TW"/>
        </w:rPr>
        <w:t>Cohen’s Kappa</w:t>
      </w:r>
      <w:r w:rsidRPr="00CF12C3">
        <w:rPr>
          <w:rFonts w:asciiTheme="minorEastAsia" w:hAnsiTheme="minorEastAsia"/>
          <w:color w:val="000000" w:themeColor="text1"/>
          <w:lang w:eastAsia="zh-TW"/>
        </w:rPr>
        <w:t>；若採三位以上編碼者，則可使用</w:t>
      </w:r>
      <w:r w:rsidRPr="00CF12C3">
        <w:rPr>
          <w:rFonts w:asciiTheme="minorEastAsia" w:hAnsiTheme="minorEastAsia"/>
          <w:color w:val="000000" w:themeColor="text1"/>
          <w:lang w:eastAsia="zh-TW"/>
        </w:rPr>
        <w:t>Krippendorff’s Alpha</w:t>
      </w:r>
      <w:r w:rsidRPr="00CF12C3">
        <w:rPr>
          <w:rFonts w:asciiTheme="minorEastAsia" w:hAnsiTheme="minorEastAsia"/>
          <w:color w:val="000000" w:themeColor="text1"/>
          <w:lang w:eastAsia="zh-TW"/>
        </w:rPr>
        <w:t>等適合多位編碼者的一致性係數。完成上述程序前，表</w:t>
      </w:r>
      <w:r w:rsidRPr="00CF12C3">
        <w:rPr>
          <w:rFonts w:asciiTheme="minorEastAsia" w:hAnsiTheme="minorEastAsia"/>
          <w:color w:val="000000" w:themeColor="text1"/>
          <w:lang w:eastAsia="zh-TW"/>
        </w:rPr>
        <w:t>5</w:t>
      </w:r>
      <w:r w:rsidRPr="00CF12C3">
        <w:rPr>
          <w:rFonts w:asciiTheme="minorEastAsia" w:hAnsiTheme="minorEastAsia"/>
          <w:color w:val="000000" w:themeColor="text1"/>
          <w:lang w:eastAsia="zh-TW"/>
        </w:rPr>
        <w:t>應被視為待檢驗的分析規準，而非成熟量表。</w:t>
      </w:r>
    </w:p>
    <w:p w:rsidR="00A266BB" w:rsidRPr="00CF12C3" w:rsidRDefault="00FB0C44">
      <w:pPr>
        <w:pStyle w:val="a0"/>
        <w:rPr>
          <w:rFonts w:asciiTheme="minorEastAsia" w:hAnsiTheme="minorEastAsia"/>
          <w:color w:val="000000" w:themeColor="text1"/>
          <w:lang w:eastAsia="zh-TW"/>
        </w:rPr>
      </w:pPr>
      <w:r w:rsidRPr="00CF12C3">
        <w:rPr>
          <w:rFonts w:asciiTheme="minorEastAsia" w:hAnsiTheme="minorEastAsia"/>
          <w:color w:val="000000" w:themeColor="text1"/>
          <w:lang w:eastAsia="zh-TW"/>
        </w:rPr>
        <w:t>表</w:t>
      </w:r>
      <w:r w:rsidRPr="00CF12C3">
        <w:rPr>
          <w:rFonts w:asciiTheme="minorEastAsia" w:hAnsiTheme="minorEastAsia"/>
          <w:color w:val="000000" w:themeColor="text1"/>
          <w:lang w:eastAsia="zh-TW"/>
        </w:rPr>
        <w:t>5</w:t>
      </w:r>
      <w:r w:rsidRPr="00CF12C3">
        <w:rPr>
          <w:rFonts w:asciiTheme="minorEastAsia" w:hAnsiTheme="minorEastAsia"/>
          <w:color w:val="000000" w:themeColor="text1"/>
          <w:lang w:eastAsia="zh-TW"/>
        </w:rPr>
        <w:t xml:space="preserve">　</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w:t>
      </w:r>
      <w:r w:rsidRPr="00CF12C3">
        <w:rPr>
          <w:rFonts w:asciiTheme="minorEastAsia" w:hAnsiTheme="minorEastAsia"/>
          <w:color w:val="000000" w:themeColor="text1"/>
          <w:lang w:eastAsia="zh-TW"/>
        </w:rPr>
        <w:t>公共行政教育涵蓋度編碼規準</w:t>
      </w:r>
    </w:p>
    <w:tbl>
      <w:tblPr>
        <w:tblStyle w:val="Table"/>
        <w:tblW w:w="8800" w:type="dxa"/>
        <w:jc w:val="center"/>
        <w:tblBorders>
          <w:top w:val="single" w:sz="5" w:space="0" w:color="7F7F7F"/>
          <w:left w:val="single" w:sz="5" w:space="0" w:color="7F7F7F"/>
          <w:bottom w:val="single" w:sz="5" w:space="0" w:color="7F7F7F"/>
          <w:right w:val="single" w:sz="5" w:space="0" w:color="7F7F7F"/>
          <w:insideH w:val="single" w:sz="5" w:space="0" w:color="7F7F7F"/>
          <w:insideV w:val="single" w:sz="5" w:space="0" w:color="7F7F7F"/>
        </w:tblBorders>
        <w:tblLayout w:type="fixed"/>
        <w:tblLook w:val="0020" w:firstRow="1" w:lastRow="0" w:firstColumn="0" w:lastColumn="0" w:noHBand="0" w:noVBand="0"/>
      </w:tblPr>
      <w:tblGrid>
        <w:gridCol w:w="1000"/>
        <w:gridCol w:w="1800"/>
        <w:gridCol w:w="1900"/>
        <w:gridCol w:w="1900"/>
        <w:gridCol w:w="2200"/>
      </w:tblGrid>
      <w:tr w:rsidR="00CF12C3" w:rsidRPr="00CF12C3" w:rsidTr="00A266BB">
        <w:trPr>
          <w:cnfStyle w:val="100000000000" w:firstRow="1" w:lastRow="0" w:firstColumn="0" w:lastColumn="0" w:oddVBand="0" w:evenVBand="0" w:oddHBand="0" w:evenHBand="0" w:firstRowFirstColumn="0" w:firstRowLastColumn="0" w:lastRowFirstColumn="0" w:lastRowLastColumn="0"/>
          <w:tblHeader/>
          <w:jc w:val="center"/>
        </w:trPr>
        <w:tc>
          <w:tcPr>
            <w:tcW w:w="1000" w:type="dxa"/>
            <w:shd w:val="clear" w:color="auto" w:fill="D9E2F3"/>
            <w:tcMar>
              <w:top w:w="80" w:type="dxa"/>
              <w:left w:w="90" w:type="dxa"/>
              <w:bottom w:w="80" w:type="dxa"/>
              <w:right w:w="90" w:type="dxa"/>
            </w:tcMar>
            <w:vAlign w:val="center"/>
          </w:tcPr>
          <w:p w:rsidR="00A266BB" w:rsidRPr="00CF12C3" w:rsidRDefault="00FB0C44">
            <w:pPr>
              <w:pStyle w:val="Compact"/>
              <w:spacing w:after="40" w:line="276" w:lineRule="auto"/>
              <w:jc w:val="center"/>
              <w:rPr>
                <w:rFonts w:asciiTheme="minorEastAsia" w:hAnsiTheme="minorEastAsia"/>
                <w:color w:val="000000" w:themeColor="text1"/>
              </w:rPr>
            </w:pPr>
            <w:r w:rsidRPr="00CF12C3">
              <w:rPr>
                <w:rFonts w:asciiTheme="minorEastAsia" w:hAnsiTheme="minorEastAsia"/>
                <w:b/>
                <w:color w:val="000000" w:themeColor="text1"/>
                <w:sz w:val="17"/>
              </w:rPr>
              <w:t>維度</w:t>
            </w:r>
          </w:p>
        </w:tc>
        <w:tc>
          <w:tcPr>
            <w:tcW w:w="1800" w:type="dxa"/>
            <w:shd w:val="clear" w:color="auto" w:fill="D9E2F3"/>
            <w:tcMar>
              <w:top w:w="80" w:type="dxa"/>
              <w:left w:w="90" w:type="dxa"/>
              <w:bottom w:w="80" w:type="dxa"/>
              <w:right w:w="90" w:type="dxa"/>
            </w:tcMar>
            <w:vAlign w:val="center"/>
          </w:tcPr>
          <w:p w:rsidR="00A266BB" w:rsidRPr="00CF12C3" w:rsidRDefault="00FB0C44">
            <w:pPr>
              <w:pStyle w:val="Compact"/>
              <w:spacing w:after="40" w:line="276" w:lineRule="auto"/>
              <w:jc w:val="center"/>
              <w:rPr>
                <w:rFonts w:asciiTheme="minorEastAsia" w:hAnsiTheme="minorEastAsia"/>
                <w:color w:val="000000" w:themeColor="text1"/>
              </w:rPr>
            </w:pPr>
            <w:r w:rsidRPr="00CF12C3">
              <w:rPr>
                <w:rFonts w:asciiTheme="minorEastAsia" w:hAnsiTheme="minorEastAsia"/>
                <w:b/>
                <w:color w:val="000000" w:themeColor="text1"/>
                <w:sz w:val="17"/>
              </w:rPr>
              <w:t>0</w:t>
            </w:r>
            <w:r w:rsidRPr="00CF12C3">
              <w:rPr>
                <w:rFonts w:asciiTheme="minorEastAsia" w:hAnsiTheme="minorEastAsia"/>
                <w:b/>
                <w:color w:val="000000" w:themeColor="text1"/>
                <w:sz w:val="17"/>
              </w:rPr>
              <w:t>級</w:t>
            </w:r>
          </w:p>
        </w:tc>
        <w:tc>
          <w:tcPr>
            <w:tcW w:w="1900" w:type="dxa"/>
            <w:shd w:val="clear" w:color="auto" w:fill="D9E2F3"/>
            <w:tcMar>
              <w:top w:w="80" w:type="dxa"/>
              <w:left w:w="90" w:type="dxa"/>
              <w:bottom w:w="80" w:type="dxa"/>
              <w:right w:w="90" w:type="dxa"/>
            </w:tcMar>
            <w:vAlign w:val="center"/>
          </w:tcPr>
          <w:p w:rsidR="00A266BB" w:rsidRPr="00CF12C3" w:rsidRDefault="00FB0C44">
            <w:pPr>
              <w:pStyle w:val="Compact"/>
              <w:spacing w:after="40" w:line="276" w:lineRule="auto"/>
              <w:jc w:val="center"/>
              <w:rPr>
                <w:rFonts w:asciiTheme="minorEastAsia" w:hAnsiTheme="minorEastAsia"/>
                <w:color w:val="000000" w:themeColor="text1"/>
              </w:rPr>
            </w:pPr>
            <w:r w:rsidRPr="00CF12C3">
              <w:rPr>
                <w:rFonts w:asciiTheme="minorEastAsia" w:hAnsiTheme="minorEastAsia"/>
                <w:b/>
                <w:color w:val="000000" w:themeColor="text1"/>
                <w:sz w:val="17"/>
              </w:rPr>
              <w:t>1</w:t>
            </w:r>
            <w:r w:rsidRPr="00CF12C3">
              <w:rPr>
                <w:rFonts w:asciiTheme="minorEastAsia" w:hAnsiTheme="minorEastAsia"/>
                <w:b/>
                <w:color w:val="000000" w:themeColor="text1"/>
                <w:sz w:val="17"/>
              </w:rPr>
              <w:t>級</w:t>
            </w:r>
          </w:p>
        </w:tc>
        <w:tc>
          <w:tcPr>
            <w:tcW w:w="1900" w:type="dxa"/>
            <w:shd w:val="clear" w:color="auto" w:fill="D9E2F3"/>
            <w:tcMar>
              <w:top w:w="80" w:type="dxa"/>
              <w:left w:w="90" w:type="dxa"/>
              <w:bottom w:w="80" w:type="dxa"/>
              <w:right w:w="90" w:type="dxa"/>
            </w:tcMar>
            <w:vAlign w:val="center"/>
          </w:tcPr>
          <w:p w:rsidR="00A266BB" w:rsidRPr="00CF12C3" w:rsidRDefault="00FB0C44">
            <w:pPr>
              <w:pStyle w:val="Compact"/>
              <w:spacing w:after="40" w:line="276" w:lineRule="auto"/>
              <w:jc w:val="center"/>
              <w:rPr>
                <w:rFonts w:asciiTheme="minorEastAsia" w:hAnsiTheme="minorEastAsia"/>
                <w:color w:val="000000" w:themeColor="text1"/>
              </w:rPr>
            </w:pPr>
            <w:r w:rsidRPr="00CF12C3">
              <w:rPr>
                <w:rFonts w:asciiTheme="minorEastAsia" w:hAnsiTheme="minorEastAsia"/>
                <w:b/>
                <w:color w:val="000000" w:themeColor="text1"/>
                <w:sz w:val="17"/>
              </w:rPr>
              <w:t>2</w:t>
            </w:r>
            <w:r w:rsidRPr="00CF12C3">
              <w:rPr>
                <w:rFonts w:asciiTheme="minorEastAsia" w:hAnsiTheme="minorEastAsia"/>
                <w:b/>
                <w:color w:val="000000" w:themeColor="text1"/>
                <w:sz w:val="17"/>
              </w:rPr>
              <w:t>級</w:t>
            </w:r>
          </w:p>
        </w:tc>
        <w:tc>
          <w:tcPr>
            <w:tcW w:w="2200" w:type="dxa"/>
            <w:shd w:val="clear" w:color="auto" w:fill="D9E2F3"/>
            <w:tcMar>
              <w:top w:w="80" w:type="dxa"/>
              <w:left w:w="90" w:type="dxa"/>
              <w:bottom w:w="80" w:type="dxa"/>
              <w:right w:w="90" w:type="dxa"/>
            </w:tcMar>
            <w:vAlign w:val="center"/>
          </w:tcPr>
          <w:p w:rsidR="00A266BB" w:rsidRPr="00CF12C3" w:rsidRDefault="00FB0C44">
            <w:pPr>
              <w:pStyle w:val="Compact"/>
              <w:spacing w:after="40" w:line="276" w:lineRule="auto"/>
              <w:jc w:val="center"/>
              <w:rPr>
                <w:rFonts w:asciiTheme="minorEastAsia" w:hAnsiTheme="minorEastAsia"/>
                <w:color w:val="000000" w:themeColor="text1"/>
              </w:rPr>
            </w:pPr>
            <w:r w:rsidRPr="00CF12C3">
              <w:rPr>
                <w:rFonts w:asciiTheme="minorEastAsia" w:hAnsiTheme="minorEastAsia"/>
                <w:b/>
                <w:color w:val="000000" w:themeColor="text1"/>
                <w:sz w:val="17"/>
              </w:rPr>
              <w:t>3</w:t>
            </w:r>
            <w:r w:rsidRPr="00CF12C3">
              <w:rPr>
                <w:rFonts w:asciiTheme="minorEastAsia" w:hAnsiTheme="minorEastAsia"/>
                <w:b/>
                <w:color w:val="000000" w:themeColor="text1"/>
                <w:sz w:val="17"/>
              </w:rPr>
              <w:t>級</w:t>
            </w:r>
          </w:p>
        </w:tc>
      </w:tr>
      <w:tr w:rsidR="00CF12C3" w:rsidRPr="00CF12C3" w:rsidTr="00A266BB">
        <w:trPr>
          <w:jc w:val="center"/>
        </w:trPr>
        <w:tc>
          <w:tcPr>
            <w:tcW w:w="10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proofErr w:type="spellStart"/>
            <w:r w:rsidRPr="00CF12C3">
              <w:rPr>
                <w:rFonts w:asciiTheme="minorEastAsia" w:hAnsiTheme="minorEastAsia"/>
                <w:color w:val="000000" w:themeColor="text1"/>
                <w:sz w:val="17"/>
              </w:rPr>
              <w:t>明示涵蓋</w:t>
            </w:r>
            <w:proofErr w:type="spellEnd"/>
          </w:p>
        </w:tc>
        <w:tc>
          <w:tcPr>
            <w:tcW w:w="18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r w:rsidRPr="00CF12C3">
              <w:rPr>
                <w:rFonts w:asciiTheme="minorEastAsia" w:hAnsiTheme="minorEastAsia"/>
                <w:color w:val="000000" w:themeColor="text1"/>
                <w:sz w:val="17"/>
              </w:rPr>
              <w:t>未出現</w:t>
            </w:r>
          </w:p>
        </w:tc>
        <w:tc>
          <w:tcPr>
            <w:tcW w:w="19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r w:rsidRPr="00CF12C3">
              <w:rPr>
                <w:rFonts w:asciiTheme="minorEastAsia" w:hAnsiTheme="minorEastAsia"/>
                <w:color w:val="000000" w:themeColor="text1"/>
                <w:sz w:val="17"/>
              </w:rPr>
              <w:t>僅提及</w:t>
            </w:r>
            <w:r w:rsidRPr="00CF12C3">
              <w:rPr>
                <w:rFonts w:asciiTheme="minorEastAsia" w:hAnsiTheme="minorEastAsia"/>
                <w:color w:val="000000" w:themeColor="text1"/>
                <w:sz w:val="17"/>
              </w:rPr>
              <w:t>AI</w:t>
            </w:r>
            <w:r w:rsidRPr="00CF12C3">
              <w:rPr>
                <w:rFonts w:asciiTheme="minorEastAsia" w:hAnsiTheme="minorEastAsia"/>
                <w:color w:val="000000" w:themeColor="text1"/>
                <w:sz w:val="17"/>
              </w:rPr>
              <w:t>或數位化</w:t>
            </w:r>
          </w:p>
        </w:tc>
        <w:tc>
          <w:tcPr>
            <w:tcW w:w="19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r w:rsidRPr="00CF12C3">
              <w:rPr>
                <w:rFonts w:asciiTheme="minorEastAsia" w:hAnsiTheme="minorEastAsia"/>
                <w:color w:val="000000" w:themeColor="text1"/>
                <w:sz w:val="17"/>
              </w:rPr>
              <w:t>明列相關主題</w:t>
            </w:r>
          </w:p>
        </w:tc>
        <w:tc>
          <w:tcPr>
            <w:tcW w:w="22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明列</w:t>
            </w:r>
            <w:r w:rsidRPr="00CF12C3">
              <w:rPr>
                <w:rFonts w:asciiTheme="minorEastAsia" w:hAnsiTheme="minorEastAsia"/>
                <w:color w:val="000000" w:themeColor="text1"/>
                <w:sz w:val="17"/>
                <w:lang w:eastAsia="zh-TW"/>
              </w:rPr>
              <w:t>AI</w:t>
            </w:r>
            <w:r w:rsidRPr="00CF12C3">
              <w:rPr>
                <w:rFonts w:asciiTheme="minorEastAsia" w:hAnsiTheme="minorEastAsia"/>
                <w:color w:val="000000" w:themeColor="text1"/>
                <w:sz w:val="17"/>
                <w:lang w:eastAsia="zh-TW"/>
              </w:rPr>
              <w:t>公共治理問題</w:t>
            </w:r>
          </w:p>
        </w:tc>
      </w:tr>
      <w:tr w:rsidR="00CF12C3" w:rsidRPr="00CF12C3" w:rsidTr="00A266BB">
        <w:trPr>
          <w:jc w:val="center"/>
        </w:trPr>
        <w:tc>
          <w:tcPr>
            <w:tcW w:w="10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proofErr w:type="spellStart"/>
            <w:r w:rsidRPr="00CF12C3">
              <w:rPr>
                <w:rFonts w:asciiTheme="minorEastAsia" w:hAnsiTheme="minorEastAsia"/>
                <w:color w:val="000000" w:themeColor="text1"/>
                <w:sz w:val="17"/>
              </w:rPr>
              <w:t>知識深度</w:t>
            </w:r>
            <w:proofErr w:type="spellEnd"/>
          </w:p>
        </w:tc>
        <w:tc>
          <w:tcPr>
            <w:tcW w:w="18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r w:rsidRPr="00CF12C3">
              <w:rPr>
                <w:rFonts w:asciiTheme="minorEastAsia" w:hAnsiTheme="minorEastAsia"/>
                <w:color w:val="000000" w:themeColor="text1"/>
                <w:sz w:val="17"/>
              </w:rPr>
              <w:t>無相關內容</w:t>
            </w:r>
          </w:p>
        </w:tc>
        <w:tc>
          <w:tcPr>
            <w:tcW w:w="19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r w:rsidRPr="00CF12C3">
              <w:rPr>
                <w:rFonts w:asciiTheme="minorEastAsia" w:hAnsiTheme="minorEastAsia"/>
                <w:color w:val="000000" w:themeColor="text1"/>
                <w:sz w:val="17"/>
              </w:rPr>
              <w:t>工具操作或概念介紹</w:t>
            </w:r>
          </w:p>
        </w:tc>
        <w:tc>
          <w:tcPr>
            <w:tcW w:w="19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分析資料、模型與行政問題</w:t>
            </w:r>
          </w:p>
        </w:tc>
        <w:tc>
          <w:tcPr>
            <w:tcW w:w="22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連結制度、政策、組織、財政或裁量</w:t>
            </w:r>
          </w:p>
        </w:tc>
      </w:tr>
      <w:tr w:rsidR="00CF12C3" w:rsidRPr="00CF12C3" w:rsidTr="00A266BB">
        <w:trPr>
          <w:jc w:val="center"/>
        </w:trPr>
        <w:tc>
          <w:tcPr>
            <w:tcW w:w="10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proofErr w:type="spellStart"/>
            <w:r w:rsidRPr="00CF12C3">
              <w:rPr>
                <w:rFonts w:asciiTheme="minorEastAsia" w:hAnsiTheme="minorEastAsia"/>
                <w:color w:val="000000" w:themeColor="text1"/>
                <w:sz w:val="17"/>
              </w:rPr>
              <w:t>跨域整合</w:t>
            </w:r>
            <w:proofErr w:type="spellEnd"/>
          </w:p>
        </w:tc>
        <w:tc>
          <w:tcPr>
            <w:tcW w:w="18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r w:rsidRPr="00CF12C3">
              <w:rPr>
                <w:rFonts w:asciiTheme="minorEastAsia" w:hAnsiTheme="minorEastAsia"/>
                <w:color w:val="000000" w:themeColor="text1"/>
                <w:sz w:val="17"/>
              </w:rPr>
              <w:t>無整合證據</w:t>
            </w:r>
          </w:p>
        </w:tc>
        <w:tc>
          <w:tcPr>
            <w:tcW w:w="19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r w:rsidRPr="00CF12C3">
              <w:rPr>
                <w:rFonts w:asciiTheme="minorEastAsia" w:hAnsiTheme="minorEastAsia"/>
                <w:color w:val="000000" w:themeColor="text1"/>
                <w:sz w:val="17"/>
              </w:rPr>
              <w:t>單一課程處理</w:t>
            </w:r>
          </w:p>
        </w:tc>
        <w:tc>
          <w:tcPr>
            <w:tcW w:w="19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r w:rsidRPr="00CF12C3">
              <w:rPr>
                <w:rFonts w:asciiTheme="minorEastAsia" w:hAnsiTheme="minorEastAsia"/>
                <w:color w:val="000000" w:themeColor="text1"/>
                <w:sz w:val="17"/>
              </w:rPr>
              <w:t>連結兩種課程或知識</w:t>
            </w:r>
          </w:p>
        </w:tc>
        <w:tc>
          <w:tcPr>
            <w:tcW w:w="22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跨課程、跨系或跨專業共同教學</w:t>
            </w:r>
          </w:p>
        </w:tc>
      </w:tr>
      <w:tr w:rsidR="00CF12C3" w:rsidRPr="00CF12C3" w:rsidTr="00A266BB">
        <w:trPr>
          <w:jc w:val="center"/>
        </w:trPr>
        <w:tc>
          <w:tcPr>
            <w:tcW w:w="10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proofErr w:type="spellStart"/>
            <w:r w:rsidRPr="00CF12C3">
              <w:rPr>
                <w:rFonts w:asciiTheme="minorEastAsia" w:hAnsiTheme="minorEastAsia"/>
                <w:color w:val="000000" w:themeColor="text1"/>
                <w:sz w:val="17"/>
              </w:rPr>
              <w:t>應用轉移</w:t>
            </w:r>
            <w:proofErr w:type="spellEnd"/>
          </w:p>
        </w:tc>
        <w:tc>
          <w:tcPr>
            <w:tcW w:w="18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r w:rsidRPr="00CF12C3">
              <w:rPr>
                <w:rFonts w:asciiTheme="minorEastAsia" w:hAnsiTheme="minorEastAsia"/>
                <w:color w:val="000000" w:themeColor="text1"/>
                <w:sz w:val="17"/>
              </w:rPr>
              <w:t>無應用證據</w:t>
            </w:r>
          </w:p>
        </w:tc>
        <w:tc>
          <w:tcPr>
            <w:tcW w:w="19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r w:rsidRPr="00CF12C3">
              <w:rPr>
                <w:rFonts w:asciiTheme="minorEastAsia" w:hAnsiTheme="minorEastAsia"/>
                <w:color w:val="000000" w:themeColor="text1"/>
                <w:sz w:val="17"/>
              </w:rPr>
              <w:t>課堂說明</w:t>
            </w:r>
          </w:p>
        </w:tc>
        <w:tc>
          <w:tcPr>
            <w:tcW w:w="19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r w:rsidRPr="00CF12C3">
              <w:rPr>
                <w:rFonts w:asciiTheme="minorEastAsia" w:hAnsiTheme="minorEastAsia"/>
                <w:color w:val="000000" w:themeColor="text1"/>
                <w:sz w:val="17"/>
              </w:rPr>
              <w:t>案例或模擬作業</w:t>
            </w:r>
          </w:p>
        </w:tc>
        <w:tc>
          <w:tcPr>
            <w:tcW w:w="22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真實專題、實作或機關問題解決</w:t>
            </w:r>
          </w:p>
        </w:tc>
      </w:tr>
    </w:tbl>
    <w:p w:rsidR="00A266BB" w:rsidRPr="00CF12C3" w:rsidRDefault="00FB0C44">
      <w:pPr>
        <w:pStyle w:val="2"/>
        <w:rPr>
          <w:rFonts w:asciiTheme="minorEastAsia" w:eastAsiaTheme="minorEastAsia" w:hAnsiTheme="minorEastAsia"/>
          <w:color w:val="000000" w:themeColor="text1"/>
          <w:lang w:eastAsia="zh-TW"/>
        </w:rPr>
      </w:pPr>
      <w:bookmarkStart w:id="28" w:name="三國際公共行政教育與文官能力基準"/>
      <w:bookmarkEnd w:id="27"/>
      <w:r w:rsidRPr="00CF12C3">
        <w:rPr>
          <w:rFonts w:asciiTheme="minorEastAsia" w:eastAsiaTheme="minorEastAsia" w:hAnsiTheme="minorEastAsia"/>
          <w:color w:val="000000" w:themeColor="text1"/>
          <w:lang w:eastAsia="zh-TW"/>
        </w:rPr>
        <w:t>三、國際公共行政教育與文官能力基準</w:t>
      </w:r>
    </w:p>
    <w:p w:rsidR="00A266BB" w:rsidRPr="00CF12C3" w:rsidRDefault="00FB0C44">
      <w:pPr>
        <w:pStyle w:val="FirstParagraph"/>
        <w:spacing w:line="360" w:lineRule="auto"/>
        <w:ind w:firstLine="431"/>
        <w:rPr>
          <w:rFonts w:asciiTheme="minorEastAsia" w:hAnsiTheme="minorEastAsia"/>
          <w:color w:val="000000" w:themeColor="text1"/>
          <w:lang w:eastAsia="zh-TW"/>
        </w:rPr>
      </w:pPr>
      <w:bookmarkStart w:id="29" w:name="X5d1789838d7cbf1f9b024d4d04987b65f8a9dd8"/>
      <w:bookmarkEnd w:id="28"/>
      <w:r w:rsidRPr="00CF12C3">
        <w:rPr>
          <w:rFonts w:asciiTheme="minorEastAsia" w:hAnsiTheme="minorEastAsia"/>
          <w:color w:val="000000" w:themeColor="text1"/>
          <w:lang w:eastAsia="zh-TW"/>
        </w:rPr>
        <w:t>NASPAA</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2024</w:t>
      </w:r>
      <w:r w:rsidRPr="00CF12C3">
        <w:rPr>
          <w:rFonts w:asciiTheme="minorEastAsia" w:hAnsiTheme="minorEastAsia"/>
          <w:color w:val="000000" w:themeColor="text1"/>
          <w:lang w:eastAsia="zh-TW"/>
        </w:rPr>
        <w:t>）的公共服務教育認證標準要求課程培養公共利益下的領導與管理、參與政策過程、分析及證據導向決策、公共服務觀點，以及溝通協作等能力。這些要求提供公共行政教育不因</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出現而消失的知識骨架，但其普遍能力仍須透過</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治理議題轉化為新的課程內容與學習證據。</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UNESCO</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2022</w:t>
      </w:r>
      <w:r w:rsidRPr="00CF12C3">
        <w:rPr>
          <w:rFonts w:asciiTheme="minorEastAsia" w:hAnsiTheme="minorEastAsia"/>
          <w:color w:val="000000" w:themeColor="text1"/>
          <w:lang w:eastAsia="zh-TW"/>
        </w:rPr>
        <w:t>）的文官</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與數位轉型能力架構，以及</w:t>
      </w:r>
      <w:r w:rsidRPr="00CF12C3">
        <w:rPr>
          <w:rFonts w:asciiTheme="minorEastAsia" w:hAnsiTheme="minorEastAsia"/>
          <w:color w:val="000000" w:themeColor="text1"/>
          <w:lang w:eastAsia="zh-TW"/>
        </w:rPr>
        <w:t>OECD</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2021, 2024</w:t>
      </w:r>
      <w:r w:rsidRPr="00CF12C3">
        <w:rPr>
          <w:rFonts w:asciiTheme="minorEastAsia" w:hAnsiTheme="minorEastAsia"/>
          <w:color w:val="000000" w:themeColor="text1"/>
          <w:lang w:eastAsia="zh-TW"/>
        </w:rPr>
        <w:t>）的公共部門數位人才與技能架構，均把數位轉型理解為知識、技能、態度、組織環境</w:t>
      </w:r>
      <w:r w:rsidRPr="00CF12C3">
        <w:rPr>
          <w:rFonts w:asciiTheme="minorEastAsia" w:hAnsiTheme="minorEastAsia"/>
          <w:color w:val="000000" w:themeColor="text1"/>
          <w:lang w:eastAsia="zh-TW"/>
        </w:rPr>
        <w:lastRenderedPageBreak/>
        <w:t>及人力發展活動的組合，而非單純軟體操作。這些文件支持本文將跨域整合與應用轉移列為</w:t>
      </w:r>
      <w:r w:rsidRPr="00CF12C3">
        <w:rPr>
          <w:rFonts w:asciiTheme="minorEastAsia" w:hAnsiTheme="minorEastAsia"/>
          <w:color w:val="000000" w:themeColor="text1"/>
          <w:lang w:eastAsia="zh-TW"/>
        </w:rPr>
        <w:t>教育涵蓋度的重要維度。</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國際基準與</w:t>
      </w:r>
      <w:r w:rsidRPr="00CF12C3">
        <w:rPr>
          <w:rFonts w:asciiTheme="minorEastAsia" w:hAnsiTheme="minorEastAsia"/>
          <w:color w:val="000000" w:themeColor="text1"/>
          <w:lang w:eastAsia="zh-TW"/>
        </w:rPr>
        <w:t>25</w:t>
      </w:r>
      <w:r w:rsidRPr="00CF12C3">
        <w:rPr>
          <w:rFonts w:asciiTheme="minorEastAsia" w:hAnsiTheme="minorEastAsia"/>
          <w:color w:val="000000" w:themeColor="text1"/>
          <w:lang w:eastAsia="zh-TW"/>
        </w:rPr>
        <w:t>座標並非競爭架構：前者說明教育與文官能力應達成什麼，後者說明</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公共治理問題發生在哪一層次及分析單位。兩者結合後，才可判斷一般數位素養是否足以應付無人行政、演算法裁量、司法風險與</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財政治理。</w:t>
      </w:r>
    </w:p>
    <w:p w:rsidR="00A266BB" w:rsidRPr="00CF12C3" w:rsidRDefault="00FB0C44">
      <w:pPr>
        <w:pStyle w:val="2"/>
        <w:rPr>
          <w:rFonts w:asciiTheme="minorEastAsia" w:eastAsiaTheme="minorEastAsia" w:hAnsiTheme="minorEastAsia"/>
          <w:color w:val="000000" w:themeColor="text1"/>
          <w:lang w:eastAsia="zh-TW"/>
        </w:rPr>
      </w:pPr>
      <w:bookmarkStart w:id="30" w:name="四臺灣公共行政ai研究的演進與界限"/>
      <w:bookmarkEnd w:id="29"/>
      <w:r w:rsidRPr="00CF12C3">
        <w:rPr>
          <w:rFonts w:asciiTheme="minorEastAsia" w:eastAsiaTheme="minorEastAsia" w:hAnsiTheme="minorEastAsia"/>
          <w:color w:val="000000" w:themeColor="text1"/>
          <w:lang w:eastAsia="zh-TW"/>
        </w:rPr>
        <w:t>四、臺灣公共行政</w:t>
      </w:r>
      <w:r w:rsidRPr="00CF12C3">
        <w:rPr>
          <w:rFonts w:asciiTheme="minorEastAsia" w:eastAsiaTheme="minorEastAsia" w:hAnsiTheme="minorEastAsia"/>
          <w:color w:val="000000" w:themeColor="text1"/>
          <w:lang w:eastAsia="zh-TW"/>
        </w:rPr>
        <w:t>AI</w:t>
      </w:r>
      <w:r w:rsidRPr="00CF12C3">
        <w:rPr>
          <w:rFonts w:asciiTheme="minorEastAsia" w:eastAsiaTheme="minorEastAsia" w:hAnsiTheme="minorEastAsia"/>
          <w:color w:val="000000" w:themeColor="text1"/>
          <w:lang w:eastAsia="zh-TW"/>
        </w:rPr>
        <w:t>研究的演進與界限</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臺灣公共行政學界並非沒有回應</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。黃心怡、曾冠球、廖洲棚與陳敦源（</w:t>
      </w:r>
      <w:r w:rsidRPr="00CF12C3">
        <w:rPr>
          <w:rFonts w:asciiTheme="minorEastAsia" w:hAnsiTheme="minorEastAsia"/>
          <w:color w:val="000000" w:themeColor="text1"/>
          <w:lang w:eastAsia="zh-TW"/>
        </w:rPr>
        <w:t>2021</w:t>
      </w:r>
      <w:r w:rsidRPr="00CF12C3">
        <w:rPr>
          <w:rFonts w:asciiTheme="minorEastAsia" w:hAnsiTheme="minorEastAsia"/>
          <w:color w:val="000000" w:themeColor="text1"/>
          <w:lang w:eastAsia="zh-TW"/>
        </w:rPr>
        <w:t>）由公共價值、倫理風險及行政裁量反思</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進入政府；黃心怡與陳敦源（</w:t>
      </w:r>
      <w:r w:rsidRPr="00CF12C3">
        <w:rPr>
          <w:rFonts w:asciiTheme="minorEastAsia" w:hAnsiTheme="minorEastAsia"/>
          <w:color w:val="000000" w:themeColor="text1"/>
          <w:lang w:eastAsia="zh-TW"/>
        </w:rPr>
        <w:t>2023</w:t>
      </w:r>
      <w:r w:rsidRPr="00CF12C3">
        <w:rPr>
          <w:rFonts w:asciiTheme="minorEastAsia" w:hAnsiTheme="minorEastAsia"/>
          <w:color w:val="000000" w:themeColor="text1"/>
          <w:lang w:eastAsia="zh-TW"/>
        </w:rPr>
        <w:t>）進一步以鉅觀、組織及微觀層次討論公共價值錯置、多重代理、自動化偏誤與</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裁量。這些研究已超出</w:t>
      </w:r>
      <w:r w:rsidRPr="00CF12C3">
        <w:rPr>
          <w:rFonts w:asciiTheme="minorEastAsia" w:hAnsiTheme="minorEastAsia"/>
          <w:color w:val="000000" w:themeColor="text1"/>
          <w:lang w:eastAsia="zh-TW"/>
        </w:rPr>
        <w:t>一般工具介紹，顯示公共行政理論開始處理</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對組織及判斷的影響。</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廖興中（</w:t>
      </w:r>
      <w:r w:rsidRPr="00CF12C3">
        <w:rPr>
          <w:rFonts w:asciiTheme="minorEastAsia" w:hAnsiTheme="minorEastAsia"/>
          <w:color w:val="000000" w:themeColor="text1"/>
          <w:lang w:eastAsia="zh-TW"/>
        </w:rPr>
        <w:t>2024</w:t>
      </w:r>
      <w:r w:rsidRPr="00CF12C3">
        <w:rPr>
          <w:rFonts w:asciiTheme="minorEastAsia" w:hAnsiTheme="minorEastAsia"/>
          <w:color w:val="000000" w:themeColor="text1"/>
          <w:lang w:eastAsia="zh-TW"/>
        </w:rPr>
        <w:t>）則整理</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對行政流程、服務遞送、決策、參與及透明的機會，以及隱私、倫理、數位包容與課責等挑戰。黃心怡、陳敦源與陳郁函（</w:t>
      </w:r>
      <w:r w:rsidRPr="00CF12C3">
        <w:rPr>
          <w:rFonts w:asciiTheme="minorEastAsia" w:hAnsiTheme="minorEastAsia"/>
          <w:color w:val="000000" w:themeColor="text1"/>
          <w:lang w:eastAsia="zh-TW"/>
        </w:rPr>
        <w:t>2025</w:t>
      </w:r>
      <w:r w:rsidRPr="00CF12C3">
        <w:rPr>
          <w:rFonts w:asciiTheme="minorEastAsia" w:hAnsiTheme="minorEastAsia"/>
          <w:color w:val="000000" w:themeColor="text1"/>
          <w:lang w:eastAsia="zh-TW"/>
        </w:rPr>
        <w:t>）再以訓練前後測檢查數位治理訓練如何改變文官對</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決策合法性、效率與公平的看法，表示研究已由規範反思逐步進入組織、行為及教育訓練的實證分析。</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上述進展支持「議題同步」已經發生，但不足以證明公共行政研究已在技術知識與資訊科技同步。公開研究的核心仍多位於價值、制度、組織、裁量、接受態度與公共服務後果；對資料</w:t>
      </w:r>
      <w:r w:rsidRPr="00CF12C3">
        <w:rPr>
          <w:rFonts w:asciiTheme="minorEastAsia" w:hAnsiTheme="minorEastAsia"/>
          <w:color w:val="000000" w:themeColor="text1"/>
          <w:lang w:eastAsia="zh-TW"/>
        </w:rPr>
        <w:t>與模型限制、系統測試、部署監測、版本變更及失效修正的共同研究相對有限。這不是對個別學者技術能力的評價，而是辨識目前公開研究所覆蓋的知識位置及跨域連結。</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因此，本文區分三種同步：議題同步是公共行政已能提出</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問題；技術同步是研究能與資訊科技共同處理資料、模型及系統生命週期；教育同步則是前兩者已轉化為課程、共同教學及學習評量。現有資料可以支持第一種同步，但第二、第三種同步仍需由跨域研究、完整課綱及學習成果進一步印證。</w:t>
      </w:r>
    </w:p>
    <w:p w:rsidR="00A266BB" w:rsidRPr="00CF12C3" w:rsidRDefault="00FB0C44">
      <w:pPr>
        <w:pStyle w:val="2"/>
        <w:rPr>
          <w:rFonts w:asciiTheme="minorEastAsia" w:eastAsiaTheme="minorEastAsia" w:hAnsiTheme="minorEastAsia"/>
          <w:color w:val="000000" w:themeColor="text1"/>
          <w:lang w:eastAsia="zh-TW"/>
        </w:rPr>
      </w:pPr>
      <w:bookmarkStart w:id="31" w:name="五臺灣大學公共行政教育的初步印證"/>
      <w:bookmarkEnd w:id="30"/>
      <w:r w:rsidRPr="00CF12C3">
        <w:rPr>
          <w:rFonts w:asciiTheme="minorEastAsia" w:eastAsiaTheme="minorEastAsia" w:hAnsiTheme="minorEastAsia"/>
          <w:color w:val="000000" w:themeColor="text1"/>
          <w:lang w:eastAsia="zh-TW"/>
        </w:rPr>
        <w:lastRenderedPageBreak/>
        <w:t>五、臺灣大學公共行政教育的初步印證</w:t>
      </w:r>
    </w:p>
    <w:p w:rsidR="00A266BB" w:rsidRPr="00CF12C3" w:rsidRDefault="00FB0C44">
      <w:pPr>
        <w:pStyle w:val="FirstParagraph"/>
        <w:spacing w:line="360" w:lineRule="auto"/>
        <w:ind w:firstLine="431"/>
        <w:rPr>
          <w:rFonts w:asciiTheme="minorEastAsia" w:hAnsiTheme="minorEastAsia"/>
          <w:color w:val="000000" w:themeColor="text1"/>
          <w:lang w:eastAsia="zh-TW"/>
        </w:rPr>
      </w:pPr>
      <w:bookmarkStart w:id="32" w:name="X65e695e06f811606056069ca67b6b4463c95e56"/>
      <w:bookmarkEnd w:id="31"/>
      <w:r w:rsidRPr="00CF12C3">
        <w:rPr>
          <w:rFonts w:asciiTheme="minorEastAsia" w:hAnsiTheme="minorEastAsia"/>
          <w:color w:val="000000" w:themeColor="text1"/>
          <w:lang w:eastAsia="zh-TW"/>
        </w:rPr>
        <w:t>以可取得的正式課程資料觀察，政治大學公共行政學系</w:t>
      </w:r>
      <w:r w:rsidRPr="00CF12C3">
        <w:rPr>
          <w:rFonts w:asciiTheme="minorEastAsia" w:hAnsiTheme="minorEastAsia"/>
          <w:color w:val="000000" w:themeColor="text1"/>
          <w:lang w:eastAsia="zh-TW"/>
        </w:rPr>
        <w:t>113</w:t>
      </w:r>
      <w:r w:rsidRPr="00CF12C3">
        <w:rPr>
          <w:rFonts w:asciiTheme="minorEastAsia" w:hAnsiTheme="minorEastAsia"/>
          <w:color w:val="000000" w:themeColor="text1"/>
          <w:lang w:eastAsia="zh-TW"/>
        </w:rPr>
        <w:t>至</w:t>
      </w:r>
      <w:r w:rsidRPr="00CF12C3">
        <w:rPr>
          <w:rFonts w:asciiTheme="minorEastAsia" w:hAnsiTheme="minorEastAsia"/>
          <w:color w:val="000000" w:themeColor="text1"/>
          <w:lang w:eastAsia="zh-TW"/>
        </w:rPr>
        <w:t>115</w:t>
      </w:r>
      <w:r w:rsidRPr="00CF12C3">
        <w:rPr>
          <w:rFonts w:asciiTheme="minorEastAsia" w:hAnsiTheme="minorEastAsia"/>
          <w:color w:val="000000" w:themeColor="text1"/>
          <w:lang w:eastAsia="zh-TW"/>
        </w:rPr>
        <w:t>學年度學士班必修科目已包含「科技與政府」及「人工智慧與公共治理」，並保留行政學、公共政策、行政法、政府預算與財政、組織理論與管理等核心課程。這表示</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已由一般新興議題進入正式必修結構，也提供與既有知識連結的制度空間。</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國立臺北大學公共行政暨政策學系</w:t>
      </w:r>
      <w:r w:rsidRPr="00CF12C3">
        <w:rPr>
          <w:rFonts w:asciiTheme="minorEastAsia" w:hAnsiTheme="minorEastAsia"/>
          <w:color w:val="000000" w:themeColor="text1"/>
          <w:lang w:eastAsia="zh-TW"/>
        </w:rPr>
        <w:t>114</w:t>
      </w:r>
      <w:r w:rsidRPr="00CF12C3">
        <w:rPr>
          <w:rFonts w:asciiTheme="minorEastAsia" w:hAnsiTheme="minorEastAsia"/>
          <w:color w:val="000000" w:themeColor="text1"/>
          <w:lang w:eastAsia="zh-TW"/>
        </w:rPr>
        <w:t>學年度（</w:t>
      </w:r>
      <w:r w:rsidRPr="00CF12C3">
        <w:rPr>
          <w:rFonts w:asciiTheme="minorEastAsia" w:hAnsiTheme="minorEastAsia"/>
          <w:color w:val="000000" w:themeColor="text1"/>
          <w:lang w:eastAsia="zh-TW"/>
        </w:rPr>
        <w:t>2025</w:t>
      </w:r>
      <w:r w:rsidRPr="00CF12C3">
        <w:rPr>
          <w:rFonts w:asciiTheme="minorEastAsia" w:hAnsiTheme="minorEastAsia"/>
          <w:color w:val="000000" w:themeColor="text1"/>
          <w:lang w:eastAsia="zh-TW"/>
        </w:rPr>
        <w:t>年）課程規劃則以行政管理、公共政策、公民社會、政治經濟與政府等學群組織課程。這種結構保留公共行政跨領域知識骨架；但僅由課程規劃表仍不能確認</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是否已橫向進入各學群，也無法確認五項議題是否透過共同案例或跨系專題教學。</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因此，現有資料可以印證「明示涵蓋已經發生」，卻不足以證明「跨域整合及應用轉移已經完成」。這項判斷不是說臺灣公共行政教育沒有</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，而是指出科目設置、課程整合與學習成果屬於不同層次的證據。</w:t>
      </w:r>
    </w:p>
    <w:p w:rsidR="00A266BB" w:rsidRPr="00CF12C3" w:rsidRDefault="00FB0C44">
      <w:pPr>
        <w:pStyle w:val="2"/>
        <w:rPr>
          <w:rFonts w:asciiTheme="minorEastAsia" w:eastAsiaTheme="minorEastAsia" w:hAnsiTheme="minorEastAsia"/>
          <w:color w:val="000000" w:themeColor="text1"/>
          <w:lang w:eastAsia="zh-TW"/>
        </w:rPr>
      </w:pPr>
      <w:bookmarkStart w:id="33" w:name="六臺灣公務人員教育訓練的初步印證"/>
      <w:bookmarkEnd w:id="32"/>
      <w:r w:rsidRPr="00CF12C3">
        <w:rPr>
          <w:rFonts w:asciiTheme="minorEastAsia" w:eastAsiaTheme="minorEastAsia" w:hAnsiTheme="minorEastAsia"/>
          <w:color w:val="000000" w:themeColor="text1"/>
          <w:lang w:eastAsia="zh-TW"/>
        </w:rPr>
        <w:t>六、臺灣公務人員教育訓練的初步印證</w:t>
      </w:r>
    </w:p>
    <w:p w:rsidR="00A266BB" w:rsidRPr="00CF12C3" w:rsidRDefault="00FB0C44">
      <w:pPr>
        <w:pStyle w:val="FirstParagraph"/>
        <w:spacing w:line="360" w:lineRule="auto"/>
        <w:ind w:firstLine="431"/>
        <w:rPr>
          <w:rFonts w:asciiTheme="minorEastAsia" w:hAnsiTheme="minorEastAsia"/>
          <w:color w:val="000000" w:themeColor="text1"/>
          <w:lang w:eastAsia="zh-TW"/>
        </w:rPr>
      </w:pPr>
      <w:bookmarkStart w:id="34" w:name="X457bcfeeafdc4a71c6fd73718c069d8870f1880"/>
      <w:bookmarkEnd w:id="33"/>
      <w:r w:rsidRPr="00CF12C3">
        <w:rPr>
          <w:rFonts w:asciiTheme="minorEastAsia" w:hAnsiTheme="minorEastAsia"/>
          <w:color w:val="000000" w:themeColor="text1"/>
          <w:lang w:eastAsia="zh-TW"/>
        </w:rPr>
        <w:t>行政院人事行政總處自</w:t>
      </w:r>
      <w:r w:rsidRPr="00CF12C3">
        <w:rPr>
          <w:rFonts w:asciiTheme="minorEastAsia" w:hAnsiTheme="minorEastAsia"/>
          <w:color w:val="000000" w:themeColor="text1"/>
          <w:lang w:eastAsia="zh-TW"/>
        </w:rPr>
        <w:t>114</w:t>
      </w:r>
      <w:r w:rsidRPr="00CF12C3">
        <w:rPr>
          <w:rFonts w:asciiTheme="minorEastAsia" w:hAnsiTheme="minorEastAsia"/>
          <w:color w:val="000000" w:themeColor="text1"/>
          <w:lang w:eastAsia="zh-TW"/>
        </w:rPr>
        <w:t>年起將</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納入公務人員每年必須完成的課程，並建置</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素養、應用趨勢、工具實作與種子人才等分層培訓；</w:t>
      </w:r>
      <w:r w:rsidRPr="00CF12C3">
        <w:rPr>
          <w:rFonts w:asciiTheme="minorEastAsia" w:hAnsiTheme="minorEastAsia"/>
          <w:color w:val="000000" w:themeColor="text1"/>
          <w:lang w:eastAsia="zh-TW"/>
        </w:rPr>
        <w:t>115</w:t>
      </w:r>
      <w:r w:rsidRPr="00CF12C3">
        <w:rPr>
          <w:rFonts w:asciiTheme="minorEastAsia" w:hAnsiTheme="minorEastAsia"/>
          <w:color w:val="000000" w:themeColor="text1"/>
          <w:lang w:eastAsia="zh-TW"/>
        </w:rPr>
        <w:t>年規定每人每年完成</w:t>
      </w:r>
      <w:r w:rsidRPr="00CF12C3">
        <w:rPr>
          <w:rFonts w:asciiTheme="minorEastAsia" w:hAnsiTheme="minorEastAsia"/>
          <w:color w:val="000000" w:themeColor="text1"/>
          <w:lang w:eastAsia="zh-TW"/>
        </w:rPr>
        <w:t>3</w:t>
      </w:r>
      <w:r w:rsidRPr="00CF12C3">
        <w:rPr>
          <w:rFonts w:asciiTheme="minorEastAsia" w:hAnsiTheme="minorEastAsia"/>
          <w:color w:val="000000" w:themeColor="text1"/>
          <w:lang w:eastAsia="zh-TW"/>
        </w:rPr>
        <w:t>小時</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課程。這些措施證明文官教育已由自願接觸走向制度化涵蓋。</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然而，學習時數、選讀人次與工具課程只能支持明示涵蓋及初步應用；是否能處理五項</w:t>
      </w:r>
      <w:r w:rsidRPr="00CF12C3">
        <w:rPr>
          <w:rFonts w:asciiTheme="minorEastAsia" w:hAnsiTheme="minorEastAsia"/>
          <w:color w:val="000000" w:themeColor="text1"/>
          <w:lang w:eastAsia="zh-TW"/>
        </w:rPr>
        <w:t>議題，仍須檢查課程是否連結行政法、政策、組織、財政、司法與資料模型，以及受訓者能否在真實業務中重新界定問題並提出制度方案。</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因此，公務訓練的主要教育落差不是完全缺少</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訓練，而是從普遍</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素養進一步發展為職務別、問題別與跨專業的公共治理能力。三小時共同課程可作為教育入口，不能被視為已具備</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行政裁量或</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財政治理能力的證明。</w:t>
      </w:r>
    </w:p>
    <w:p w:rsidR="00A266BB" w:rsidRPr="00CF12C3" w:rsidRDefault="00FB0C44">
      <w:pPr>
        <w:pStyle w:val="a0"/>
        <w:rPr>
          <w:rFonts w:asciiTheme="minorEastAsia" w:hAnsiTheme="minorEastAsia"/>
          <w:color w:val="000000" w:themeColor="text1"/>
          <w:lang w:eastAsia="zh-TW"/>
        </w:rPr>
      </w:pPr>
      <w:r w:rsidRPr="00CF12C3">
        <w:rPr>
          <w:rFonts w:asciiTheme="minorEastAsia" w:hAnsiTheme="minorEastAsia"/>
          <w:color w:val="000000" w:themeColor="text1"/>
          <w:lang w:eastAsia="zh-TW"/>
        </w:rPr>
        <w:t>表</w:t>
      </w:r>
      <w:r w:rsidRPr="00CF12C3">
        <w:rPr>
          <w:rFonts w:asciiTheme="minorEastAsia" w:hAnsiTheme="minorEastAsia"/>
          <w:color w:val="000000" w:themeColor="text1"/>
          <w:lang w:eastAsia="zh-TW"/>
        </w:rPr>
        <w:t>6</w:t>
      </w:r>
      <w:r w:rsidRPr="00CF12C3">
        <w:rPr>
          <w:rFonts w:asciiTheme="minorEastAsia" w:hAnsiTheme="minorEastAsia"/>
          <w:color w:val="000000" w:themeColor="text1"/>
          <w:lang w:eastAsia="zh-TW"/>
        </w:rPr>
        <w:t>將國際基準、大學課程與公務訓練放在同一教育證據鏈中比較。由於部分資料只有科目表或政策說明，本文不勉強給出總分，而以「已有證據／證據不足」呈現，避免虛假的量化精確性。</w:t>
      </w:r>
    </w:p>
    <w:p w:rsidR="00A266BB" w:rsidRPr="00CF12C3" w:rsidRDefault="00FB0C44">
      <w:pPr>
        <w:pStyle w:val="a0"/>
        <w:rPr>
          <w:rFonts w:asciiTheme="minorEastAsia" w:hAnsiTheme="minorEastAsia"/>
          <w:color w:val="000000" w:themeColor="text1"/>
          <w:lang w:eastAsia="zh-TW"/>
        </w:rPr>
      </w:pPr>
      <w:r w:rsidRPr="00CF12C3">
        <w:rPr>
          <w:rFonts w:asciiTheme="minorEastAsia" w:hAnsiTheme="minorEastAsia"/>
          <w:color w:val="000000" w:themeColor="text1"/>
          <w:lang w:eastAsia="zh-TW"/>
        </w:rPr>
        <w:lastRenderedPageBreak/>
        <w:t>表</w:t>
      </w:r>
      <w:r w:rsidRPr="00CF12C3">
        <w:rPr>
          <w:rFonts w:asciiTheme="minorEastAsia" w:hAnsiTheme="minorEastAsia"/>
          <w:color w:val="000000" w:themeColor="text1"/>
          <w:lang w:eastAsia="zh-TW"/>
        </w:rPr>
        <w:t>6</w:t>
      </w:r>
      <w:r w:rsidRPr="00CF12C3">
        <w:rPr>
          <w:rFonts w:asciiTheme="minorEastAsia" w:hAnsiTheme="minorEastAsia"/>
          <w:color w:val="000000" w:themeColor="text1"/>
          <w:lang w:eastAsia="zh-TW"/>
        </w:rPr>
        <w:t xml:space="preserve">　公共行政</w:t>
      </w:r>
      <w:r w:rsidRPr="00CF12C3">
        <w:rPr>
          <w:rFonts w:asciiTheme="minorEastAsia" w:hAnsiTheme="minorEastAsia"/>
          <w:color w:val="000000" w:themeColor="text1"/>
          <w:lang w:eastAsia="zh-TW"/>
        </w:rPr>
        <w:t>教育現況的初步文件印證</w:t>
      </w:r>
    </w:p>
    <w:tbl>
      <w:tblPr>
        <w:tblStyle w:val="Table"/>
        <w:tblW w:w="8800" w:type="dxa"/>
        <w:jc w:val="center"/>
        <w:tblBorders>
          <w:top w:val="single" w:sz="5" w:space="0" w:color="7F7F7F"/>
          <w:left w:val="single" w:sz="5" w:space="0" w:color="7F7F7F"/>
          <w:bottom w:val="single" w:sz="5" w:space="0" w:color="7F7F7F"/>
          <w:right w:val="single" w:sz="5" w:space="0" w:color="7F7F7F"/>
          <w:insideH w:val="single" w:sz="5" w:space="0" w:color="7F7F7F"/>
          <w:insideV w:val="single" w:sz="5" w:space="0" w:color="7F7F7F"/>
        </w:tblBorders>
        <w:tblLayout w:type="fixed"/>
        <w:tblLook w:val="0020" w:firstRow="1" w:lastRow="0" w:firstColumn="0" w:lastColumn="0" w:noHBand="0" w:noVBand="0"/>
      </w:tblPr>
      <w:tblGrid>
        <w:gridCol w:w="1800"/>
        <w:gridCol w:w="3000"/>
        <w:gridCol w:w="2000"/>
        <w:gridCol w:w="2000"/>
      </w:tblGrid>
      <w:tr w:rsidR="00CF12C3" w:rsidRPr="00CF12C3" w:rsidTr="00A266BB">
        <w:trPr>
          <w:cnfStyle w:val="100000000000" w:firstRow="1" w:lastRow="0" w:firstColumn="0" w:lastColumn="0" w:oddVBand="0" w:evenVBand="0" w:oddHBand="0" w:evenHBand="0" w:firstRowFirstColumn="0" w:firstRowLastColumn="0" w:lastRowFirstColumn="0" w:lastRowLastColumn="0"/>
          <w:tblHeader/>
          <w:jc w:val="center"/>
        </w:trPr>
        <w:tc>
          <w:tcPr>
            <w:tcW w:w="1800" w:type="dxa"/>
            <w:shd w:val="clear" w:color="auto" w:fill="D9E2F3"/>
            <w:tcMar>
              <w:top w:w="80" w:type="dxa"/>
              <w:left w:w="90" w:type="dxa"/>
              <w:bottom w:w="80" w:type="dxa"/>
              <w:right w:w="90" w:type="dxa"/>
            </w:tcMar>
            <w:vAlign w:val="center"/>
          </w:tcPr>
          <w:p w:rsidR="00A266BB" w:rsidRPr="00CF12C3" w:rsidRDefault="00FB0C44">
            <w:pPr>
              <w:pStyle w:val="Compact"/>
              <w:spacing w:after="40" w:line="276" w:lineRule="auto"/>
              <w:jc w:val="center"/>
              <w:rPr>
                <w:rFonts w:asciiTheme="minorEastAsia" w:hAnsiTheme="minorEastAsia"/>
                <w:color w:val="000000" w:themeColor="text1"/>
              </w:rPr>
            </w:pPr>
            <w:r w:rsidRPr="00CF12C3">
              <w:rPr>
                <w:rFonts w:asciiTheme="minorEastAsia" w:hAnsiTheme="minorEastAsia"/>
                <w:b/>
                <w:color w:val="000000" w:themeColor="text1"/>
                <w:sz w:val="17"/>
              </w:rPr>
              <w:t>教育材料</w:t>
            </w:r>
          </w:p>
        </w:tc>
        <w:tc>
          <w:tcPr>
            <w:tcW w:w="3000" w:type="dxa"/>
            <w:shd w:val="clear" w:color="auto" w:fill="D9E2F3"/>
            <w:tcMar>
              <w:top w:w="80" w:type="dxa"/>
              <w:left w:w="90" w:type="dxa"/>
              <w:bottom w:w="80" w:type="dxa"/>
              <w:right w:w="90" w:type="dxa"/>
            </w:tcMar>
            <w:vAlign w:val="center"/>
          </w:tcPr>
          <w:p w:rsidR="00A266BB" w:rsidRPr="00CF12C3" w:rsidRDefault="00FB0C44">
            <w:pPr>
              <w:pStyle w:val="Compact"/>
              <w:spacing w:after="40" w:line="276" w:lineRule="auto"/>
              <w:jc w:val="center"/>
              <w:rPr>
                <w:rFonts w:asciiTheme="minorEastAsia" w:hAnsiTheme="minorEastAsia"/>
                <w:color w:val="000000" w:themeColor="text1"/>
              </w:rPr>
            </w:pPr>
            <w:r w:rsidRPr="00CF12C3">
              <w:rPr>
                <w:rFonts w:asciiTheme="minorEastAsia" w:hAnsiTheme="minorEastAsia"/>
                <w:b/>
                <w:color w:val="000000" w:themeColor="text1"/>
                <w:sz w:val="17"/>
              </w:rPr>
              <w:t>可直接印證的內容</w:t>
            </w:r>
          </w:p>
        </w:tc>
        <w:tc>
          <w:tcPr>
            <w:tcW w:w="2000" w:type="dxa"/>
            <w:shd w:val="clear" w:color="auto" w:fill="D9E2F3"/>
            <w:tcMar>
              <w:top w:w="80" w:type="dxa"/>
              <w:left w:w="90" w:type="dxa"/>
              <w:bottom w:w="80" w:type="dxa"/>
              <w:right w:w="90" w:type="dxa"/>
            </w:tcMar>
            <w:vAlign w:val="center"/>
          </w:tcPr>
          <w:p w:rsidR="00A266BB" w:rsidRPr="00CF12C3" w:rsidRDefault="00FB0C44">
            <w:pPr>
              <w:pStyle w:val="Compact"/>
              <w:spacing w:after="40" w:line="276" w:lineRule="auto"/>
              <w:jc w:val="center"/>
              <w:rPr>
                <w:rFonts w:asciiTheme="minorEastAsia" w:hAnsiTheme="minorEastAsia"/>
                <w:color w:val="000000" w:themeColor="text1"/>
              </w:rPr>
            </w:pPr>
            <w:r w:rsidRPr="00CF12C3">
              <w:rPr>
                <w:rFonts w:asciiTheme="minorEastAsia" w:hAnsiTheme="minorEastAsia"/>
                <w:b/>
                <w:color w:val="000000" w:themeColor="text1"/>
                <w:sz w:val="17"/>
              </w:rPr>
              <w:t>仍不足以印證的內容</w:t>
            </w:r>
          </w:p>
        </w:tc>
        <w:tc>
          <w:tcPr>
            <w:tcW w:w="2000" w:type="dxa"/>
            <w:shd w:val="clear" w:color="auto" w:fill="D9E2F3"/>
            <w:tcMar>
              <w:top w:w="80" w:type="dxa"/>
              <w:left w:w="90" w:type="dxa"/>
              <w:bottom w:w="80" w:type="dxa"/>
              <w:right w:w="90" w:type="dxa"/>
            </w:tcMar>
            <w:vAlign w:val="center"/>
          </w:tcPr>
          <w:p w:rsidR="00A266BB" w:rsidRPr="00CF12C3" w:rsidRDefault="00FB0C44">
            <w:pPr>
              <w:pStyle w:val="Compact"/>
              <w:spacing w:after="40" w:line="276" w:lineRule="auto"/>
              <w:jc w:val="center"/>
              <w:rPr>
                <w:rFonts w:asciiTheme="minorEastAsia" w:hAnsiTheme="minorEastAsia"/>
                <w:color w:val="000000" w:themeColor="text1"/>
              </w:rPr>
            </w:pPr>
            <w:r w:rsidRPr="00CF12C3">
              <w:rPr>
                <w:rFonts w:asciiTheme="minorEastAsia" w:hAnsiTheme="minorEastAsia"/>
                <w:b/>
                <w:color w:val="000000" w:themeColor="text1"/>
                <w:sz w:val="17"/>
              </w:rPr>
              <w:t>教育落差判斷</w:t>
            </w:r>
          </w:p>
        </w:tc>
      </w:tr>
      <w:tr w:rsidR="00CF12C3" w:rsidRPr="00CF12C3" w:rsidTr="00A266BB">
        <w:trPr>
          <w:jc w:val="center"/>
        </w:trPr>
        <w:tc>
          <w:tcPr>
            <w:tcW w:w="18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r w:rsidRPr="00CF12C3">
              <w:rPr>
                <w:rFonts w:asciiTheme="minorEastAsia" w:hAnsiTheme="minorEastAsia"/>
                <w:color w:val="000000" w:themeColor="text1"/>
                <w:sz w:val="17"/>
              </w:rPr>
              <w:t>NASPAA</w:t>
            </w:r>
            <w:r w:rsidRPr="00CF12C3">
              <w:rPr>
                <w:rFonts w:asciiTheme="minorEastAsia" w:hAnsiTheme="minorEastAsia"/>
                <w:color w:val="000000" w:themeColor="text1"/>
                <w:sz w:val="17"/>
              </w:rPr>
              <w:t>（</w:t>
            </w:r>
            <w:r w:rsidRPr="00CF12C3">
              <w:rPr>
                <w:rFonts w:asciiTheme="minorEastAsia" w:hAnsiTheme="minorEastAsia"/>
                <w:color w:val="000000" w:themeColor="text1"/>
                <w:sz w:val="17"/>
              </w:rPr>
              <w:t>2024</w:t>
            </w:r>
            <w:r w:rsidRPr="00CF12C3">
              <w:rPr>
                <w:rFonts w:asciiTheme="minorEastAsia" w:hAnsiTheme="minorEastAsia"/>
                <w:color w:val="000000" w:themeColor="text1"/>
                <w:sz w:val="17"/>
              </w:rPr>
              <w:t>）</w:t>
            </w:r>
          </w:p>
        </w:tc>
        <w:tc>
          <w:tcPr>
            <w:tcW w:w="30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公共服務、政策過程、證據分析、溝通協作等普遍能力</w:t>
            </w:r>
          </w:p>
        </w:tc>
        <w:tc>
          <w:tcPr>
            <w:tcW w:w="20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五項</w:t>
            </w:r>
            <w:r w:rsidRPr="00CF12C3">
              <w:rPr>
                <w:rFonts w:asciiTheme="minorEastAsia" w:hAnsiTheme="minorEastAsia"/>
                <w:color w:val="000000" w:themeColor="text1"/>
                <w:sz w:val="17"/>
                <w:lang w:eastAsia="zh-TW"/>
              </w:rPr>
              <w:t>AI</w:t>
            </w:r>
            <w:r w:rsidRPr="00CF12C3">
              <w:rPr>
                <w:rFonts w:asciiTheme="minorEastAsia" w:hAnsiTheme="minorEastAsia"/>
                <w:color w:val="000000" w:themeColor="text1"/>
                <w:sz w:val="17"/>
                <w:lang w:eastAsia="zh-TW"/>
              </w:rPr>
              <w:t>治理議題的具體課程涵蓋</w:t>
            </w:r>
          </w:p>
        </w:tc>
        <w:tc>
          <w:tcPr>
            <w:tcW w:w="20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提供不變的專業骨架，仍須</w:t>
            </w:r>
            <w:r w:rsidRPr="00CF12C3">
              <w:rPr>
                <w:rFonts w:asciiTheme="minorEastAsia" w:hAnsiTheme="minorEastAsia"/>
                <w:color w:val="000000" w:themeColor="text1"/>
                <w:sz w:val="17"/>
                <w:lang w:eastAsia="zh-TW"/>
              </w:rPr>
              <w:t>AI</w:t>
            </w:r>
            <w:r w:rsidRPr="00CF12C3">
              <w:rPr>
                <w:rFonts w:asciiTheme="minorEastAsia" w:hAnsiTheme="minorEastAsia"/>
                <w:color w:val="000000" w:themeColor="text1"/>
                <w:sz w:val="17"/>
                <w:lang w:eastAsia="zh-TW"/>
              </w:rPr>
              <w:t>情境化</w:t>
            </w:r>
          </w:p>
        </w:tc>
      </w:tr>
      <w:tr w:rsidR="00CF12C3" w:rsidRPr="00CF12C3" w:rsidTr="00A266BB">
        <w:trPr>
          <w:jc w:val="center"/>
        </w:trPr>
        <w:tc>
          <w:tcPr>
            <w:tcW w:w="18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rPr>
            </w:pPr>
            <w:r w:rsidRPr="00CF12C3">
              <w:rPr>
                <w:rFonts w:asciiTheme="minorEastAsia" w:hAnsiTheme="minorEastAsia"/>
                <w:color w:val="000000" w:themeColor="text1"/>
                <w:sz w:val="17"/>
              </w:rPr>
              <w:t>UNESCO</w:t>
            </w:r>
            <w:r w:rsidRPr="00CF12C3">
              <w:rPr>
                <w:rFonts w:asciiTheme="minorEastAsia" w:hAnsiTheme="minorEastAsia"/>
                <w:color w:val="000000" w:themeColor="text1"/>
                <w:sz w:val="17"/>
              </w:rPr>
              <w:t>（</w:t>
            </w:r>
            <w:r w:rsidRPr="00CF12C3">
              <w:rPr>
                <w:rFonts w:asciiTheme="minorEastAsia" w:hAnsiTheme="minorEastAsia"/>
                <w:color w:val="000000" w:themeColor="text1"/>
                <w:sz w:val="17"/>
              </w:rPr>
              <w:t>2022</w:t>
            </w:r>
            <w:r w:rsidRPr="00CF12C3">
              <w:rPr>
                <w:rFonts w:asciiTheme="minorEastAsia" w:hAnsiTheme="minorEastAsia"/>
                <w:color w:val="000000" w:themeColor="text1"/>
                <w:sz w:val="17"/>
              </w:rPr>
              <w:t>）；</w:t>
            </w:r>
            <w:r w:rsidRPr="00CF12C3">
              <w:rPr>
                <w:rFonts w:asciiTheme="minorEastAsia" w:hAnsiTheme="minorEastAsia"/>
                <w:color w:val="000000" w:themeColor="text1"/>
                <w:sz w:val="17"/>
              </w:rPr>
              <w:t>OECD</w:t>
            </w:r>
            <w:r w:rsidRPr="00CF12C3">
              <w:rPr>
                <w:rFonts w:asciiTheme="minorEastAsia" w:hAnsiTheme="minorEastAsia"/>
                <w:color w:val="000000" w:themeColor="text1"/>
                <w:sz w:val="17"/>
              </w:rPr>
              <w:t>（</w:t>
            </w:r>
            <w:r w:rsidRPr="00CF12C3">
              <w:rPr>
                <w:rFonts w:asciiTheme="minorEastAsia" w:hAnsiTheme="minorEastAsia"/>
                <w:color w:val="000000" w:themeColor="text1"/>
                <w:sz w:val="17"/>
              </w:rPr>
              <w:t>2021, 2024</w:t>
            </w:r>
            <w:r w:rsidRPr="00CF12C3">
              <w:rPr>
                <w:rFonts w:asciiTheme="minorEastAsia" w:hAnsiTheme="minorEastAsia"/>
                <w:color w:val="000000" w:themeColor="text1"/>
                <w:sz w:val="17"/>
              </w:rPr>
              <w:t>）</w:t>
            </w:r>
          </w:p>
        </w:tc>
        <w:tc>
          <w:tcPr>
            <w:tcW w:w="30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數位及</w:t>
            </w:r>
            <w:r w:rsidRPr="00CF12C3">
              <w:rPr>
                <w:rFonts w:asciiTheme="minorEastAsia" w:hAnsiTheme="minorEastAsia"/>
                <w:color w:val="000000" w:themeColor="text1"/>
                <w:sz w:val="17"/>
                <w:lang w:eastAsia="zh-TW"/>
              </w:rPr>
              <w:t>AI</w:t>
            </w:r>
            <w:r w:rsidRPr="00CF12C3">
              <w:rPr>
                <w:rFonts w:asciiTheme="minorEastAsia" w:hAnsiTheme="minorEastAsia"/>
                <w:color w:val="000000" w:themeColor="text1"/>
                <w:sz w:val="17"/>
                <w:lang w:eastAsia="zh-TW"/>
              </w:rPr>
              <w:t>能力包含知識、技能、態度、組織環境與人力發展</w:t>
            </w:r>
          </w:p>
        </w:tc>
        <w:tc>
          <w:tcPr>
            <w:tcW w:w="20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臺灣課程實際達成程度</w:t>
            </w:r>
          </w:p>
        </w:tc>
        <w:tc>
          <w:tcPr>
            <w:tcW w:w="20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支持跨域整合與應用轉移的衡量</w:t>
            </w:r>
          </w:p>
        </w:tc>
      </w:tr>
      <w:tr w:rsidR="00CF12C3" w:rsidRPr="00CF12C3" w:rsidTr="00A266BB">
        <w:trPr>
          <w:jc w:val="center"/>
        </w:trPr>
        <w:tc>
          <w:tcPr>
            <w:tcW w:w="18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政治大學公共行政學系（</w:t>
            </w:r>
            <w:r w:rsidRPr="00CF12C3">
              <w:rPr>
                <w:rFonts w:asciiTheme="minorEastAsia" w:hAnsiTheme="minorEastAsia"/>
                <w:color w:val="000000" w:themeColor="text1"/>
                <w:sz w:val="17"/>
                <w:lang w:eastAsia="zh-TW"/>
              </w:rPr>
              <w:t>113—115</w:t>
            </w:r>
            <w:r w:rsidRPr="00CF12C3">
              <w:rPr>
                <w:rFonts w:asciiTheme="minorEastAsia" w:hAnsiTheme="minorEastAsia"/>
                <w:color w:val="000000" w:themeColor="text1"/>
                <w:sz w:val="17"/>
                <w:lang w:eastAsia="zh-TW"/>
              </w:rPr>
              <w:t>學年度）</w:t>
            </w:r>
          </w:p>
        </w:tc>
        <w:tc>
          <w:tcPr>
            <w:tcW w:w="30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必修含科技與政府、人工智慧與公共治理，並保留行政學核心課程</w:t>
            </w:r>
          </w:p>
        </w:tc>
        <w:tc>
          <w:tcPr>
            <w:tcW w:w="20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五項議題是否跨課程整合及實作</w:t>
            </w:r>
          </w:p>
        </w:tc>
        <w:tc>
          <w:tcPr>
            <w:tcW w:w="20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明示涵蓋已成立，整合與轉移待證</w:t>
            </w:r>
          </w:p>
        </w:tc>
      </w:tr>
      <w:tr w:rsidR="00CF12C3" w:rsidRPr="00CF12C3" w:rsidTr="00A266BB">
        <w:trPr>
          <w:jc w:val="center"/>
        </w:trPr>
        <w:tc>
          <w:tcPr>
            <w:tcW w:w="18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國立臺北大學公共行政暨政策學系（</w:t>
            </w:r>
            <w:r w:rsidRPr="00CF12C3">
              <w:rPr>
                <w:rFonts w:asciiTheme="minorEastAsia" w:hAnsiTheme="minorEastAsia"/>
                <w:color w:val="000000" w:themeColor="text1"/>
                <w:sz w:val="17"/>
                <w:lang w:eastAsia="zh-TW"/>
              </w:rPr>
              <w:t>114</w:t>
            </w:r>
            <w:r w:rsidRPr="00CF12C3">
              <w:rPr>
                <w:rFonts w:asciiTheme="minorEastAsia" w:hAnsiTheme="minorEastAsia"/>
                <w:color w:val="000000" w:themeColor="text1"/>
                <w:sz w:val="17"/>
                <w:lang w:eastAsia="zh-TW"/>
              </w:rPr>
              <w:t>學年度／</w:t>
            </w:r>
            <w:r w:rsidRPr="00CF12C3">
              <w:rPr>
                <w:rFonts w:asciiTheme="minorEastAsia" w:hAnsiTheme="minorEastAsia"/>
                <w:color w:val="000000" w:themeColor="text1"/>
                <w:sz w:val="17"/>
                <w:lang w:eastAsia="zh-TW"/>
              </w:rPr>
              <w:t>2025</w:t>
            </w:r>
            <w:r w:rsidRPr="00CF12C3">
              <w:rPr>
                <w:rFonts w:asciiTheme="minorEastAsia" w:hAnsiTheme="minorEastAsia"/>
                <w:color w:val="000000" w:themeColor="text1"/>
                <w:sz w:val="17"/>
                <w:lang w:eastAsia="zh-TW"/>
              </w:rPr>
              <w:t>年）</w:t>
            </w:r>
          </w:p>
        </w:tc>
        <w:tc>
          <w:tcPr>
            <w:tcW w:w="30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以行政管理、公共政策、公民社會、政治經濟與政府組織學群</w:t>
            </w:r>
          </w:p>
        </w:tc>
        <w:tc>
          <w:tcPr>
            <w:tcW w:w="20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AI</w:t>
            </w:r>
            <w:r w:rsidRPr="00CF12C3">
              <w:rPr>
                <w:rFonts w:asciiTheme="minorEastAsia" w:hAnsiTheme="minorEastAsia"/>
                <w:color w:val="000000" w:themeColor="text1"/>
                <w:sz w:val="17"/>
                <w:lang w:eastAsia="zh-TW"/>
              </w:rPr>
              <w:t>是否橫向進入各學群</w:t>
            </w:r>
          </w:p>
        </w:tc>
        <w:tc>
          <w:tcPr>
            <w:tcW w:w="20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知識骨架可辨識，</w:t>
            </w:r>
            <w:r w:rsidRPr="00CF12C3">
              <w:rPr>
                <w:rFonts w:asciiTheme="minorEastAsia" w:hAnsiTheme="minorEastAsia"/>
                <w:color w:val="000000" w:themeColor="text1"/>
                <w:sz w:val="17"/>
                <w:lang w:eastAsia="zh-TW"/>
              </w:rPr>
              <w:t>AI</w:t>
            </w:r>
            <w:r w:rsidRPr="00CF12C3">
              <w:rPr>
                <w:rFonts w:asciiTheme="minorEastAsia" w:hAnsiTheme="minorEastAsia"/>
                <w:color w:val="000000" w:themeColor="text1"/>
                <w:sz w:val="17"/>
                <w:lang w:eastAsia="zh-TW"/>
              </w:rPr>
              <w:t>涵蓋證據待補</w:t>
            </w:r>
          </w:p>
        </w:tc>
      </w:tr>
      <w:tr w:rsidR="00CF12C3" w:rsidRPr="00CF12C3" w:rsidTr="00A266BB">
        <w:trPr>
          <w:jc w:val="center"/>
        </w:trPr>
        <w:tc>
          <w:tcPr>
            <w:tcW w:w="18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行政院人事行政總處（</w:t>
            </w:r>
            <w:r w:rsidRPr="00CF12C3">
              <w:rPr>
                <w:rFonts w:asciiTheme="minorEastAsia" w:hAnsiTheme="minorEastAsia"/>
                <w:color w:val="000000" w:themeColor="text1"/>
                <w:sz w:val="17"/>
                <w:lang w:eastAsia="zh-TW"/>
              </w:rPr>
              <w:t>114—115</w:t>
            </w:r>
            <w:r w:rsidRPr="00CF12C3">
              <w:rPr>
                <w:rFonts w:asciiTheme="minorEastAsia" w:hAnsiTheme="minorEastAsia"/>
                <w:color w:val="000000" w:themeColor="text1"/>
                <w:sz w:val="17"/>
                <w:lang w:eastAsia="zh-TW"/>
              </w:rPr>
              <w:t>年）</w:t>
            </w:r>
          </w:p>
        </w:tc>
        <w:tc>
          <w:tcPr>
            <w:tcW w:w="30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AI</w:t>
            </w:r>
            <w:r w:rsidRPr="00CF12C3">
              <w:rPr>
                <w:rFonts w:asciiTheme="minorEastAsia" w:hAnsiTheme="minorEastAsia"/>
                <w:color w:val="000000" w:themeColor="text1"/>
                <w:sz w:val="17"/>
                <w:lang w:eastAsia="zh-TW"/>
              </w:rPr>
              <w:t>必修時數、</w:t>
            </w:r>
            <w:r w:rsidRPr="00CF12C3">
              <w:rPr>
                <w:rFonts w:asciiTheme="minorEastAsia" w:hAnsiTheme="minorEastAsia"/>
                <w:color w:val="000000" w:themeColor="text1"/>
                <w:sz w:val="17"/>
                <w:lang w:eastAsia="zh-TW"/>
              </w:rPr>
              <w:t>AI</w:t>
            </w:r>
            <w:r w:rsidRPr="00CF12C3">
              <w:rPr>
                <w:rFonts w:asciiTheme="minorEastAsia" w:hAnsiTheme="minorEastAsia"/>
                <w:color w:val="000000" w:themeColor="text1"/>
                <w:sz w:val="17"/>
                <w:lang w:eastAsia="zh-TW"/>
              </w:rPr>
              <w:t>專區、素養與工具實作、種子人才培訓</w:t>
            </w:r>
          </w:p>
        </w:tc>
        <w:tc>
          <w:tcPr>
            <w:tcW w:w="20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職務別治理能力及真實業務轉移</w:t>
            </w:r>
          </w:p>
        </w:tc>
        <w:tc>
          <w:tcPr>
            <w:tcW w:w="2000" w:type="dxa"/>
            <w:tcMar>
              <w:top w:w="80" w:type="dxa"/>
              <w:left w:w="90" w:type="dxa"/>
              <w:bottom w:w="80" w:type="dxa"/>
              <w:right w:w="90" w:type="dxa"/>
            </w:tcMar>
            <w:vAlign w:val="center"/>
          </w:tcPr>
          <w:p w:rsidR="00A266BB" w:rsidRPr="00CF12C3" w:rsidRDefault="00FB0C44">
            <w:pPr>
              <w:pStyle w:val="Compact"/>
              <w:spacing w:after="40" w:line="276" w:lineRule="auto"/>
              <w:rPr>
                <w:rFonts w:asciiTheme="minorEastAsia" w:hAnsiTheme="minorEastAsia"/>
                <w:color w:val="000000" w:themeColor="text1"/>
                <w:lang w:eastAsia="zh-TW"/>
              </w:rPr>
            </w:pPr>
            <w:r w:rsidRPr="00CF12C3">
              <w:rPr>
                <w:rFonts w:asciiTheme="minorEastAsia" w:hAnsiTheme="minorEastAsia"/>
                <w:color w:val="000000" w:themeColor="text1"/>
                <w:sz w:val="17"/>
                <w:lang w:eastAsia="zh-TW"/>
              </w:rPr>
              <w:t>制度化涵蓋已發生，深度與轉移待證</w:t>
            </w:r>
          </w:p>
        </w:tc>
      </w:tr>
    </w:tbl>
    <w:p w:rsidR="00A266BB" w:rsidRPr="00CF12C3" w:rsidRDefault="00FB0C44">
      <w:pPr>
        <w:pStyle w:val="2"/>
        <w:rPr>
          <w:rFonts w:asciiTheme="minorEastAsia" w:eastAsiaTheme="minorEastAsia" w:hAnsiTheme="minorEastAsia"/>
          <w:color w:val="000000" w:themeColor="text1"/>
          <w:lang w:eastAsia="zh-TW"/>
        </w:rPr>
      </w:pPr>
      <w:bookmarkStart w:id="35" w:name="七三項簡化情境的教育壓力測試"/>
      <w:bookmarkEnd w:id="34"/>
      <w:r w:rsidRPr="00CF12C3">
        <w:rPr>
          <w:rFonts w:asciiTheme="minorEastAsia" w:eastAsiaTheme="minorEastAsia" w:hAnsiTheme="minorEastAsia"/>
          <w:color w:val="000000" w:themeColor="text1"/>
          <w:lang w:eastAsia="zh-TW"/>
        </w:rPr>
        <w:t>七、三項簡化情境的教育壓力測試</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AFST</w:t>
      </w:r>
      <w:r w:rsidRPr="00CF12C3">
        <w:rPr>
          <w:rFonts w:asciiTheme="minorEastAsia" w:hAnsiTheme="minorEastAsia"/>
          <w:color w:val="000000" w:themeColor="text1"/>
          <w:lang w:eastAsia="zh-TW"/>
        </w:rPr>
        <w:t>要求公共行政與社會福利教育把行政資料、風險模型、分數門檻與人工覆核連回個案裁量；</w:t>
      </w:r>
      <w:r w:rsidRPr="00CF12C3">
        <w:rPr>
          <w:rFonts w:asciiTheme="minorEastAsia" w:hAnsiTheme="minorEastAsia"/>
          <w:color w:val="000000" w:themeColor="text1"/>
          <w:lang w:eastAsia="zh-TW"/>
        </w:rPr>
        <w:t>COMPAS</w:t>
      </w:r>
      <w:r w:rsidRPr="00CF12C3">
        <w:rPr>
          <w:rFonts w:asciiTheme="minorEastAsia" w:hAnsiTheme="minorEastAsia"/>
          <w:color w:val="000000" w:themeColor="text1"/>
          <w:lang w:eastAsia="zh-TW"/>
        </w:rPr>
        <w:t>要求司法與準司法教育區分預測表現、群體誤差、證據與裁判理由；</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公共預算則要求財政及政策教育把預測、模擬與演算法配置連回預算程序、政策優先順序及跨部門資源關係。</w:t>
      </w:r>
    </w:p>
    <w:p w:rsidR="00A266BB" w:rsidRPr="00CF12C3" w:rsidRDefault="00FB0C44">
      <w:pPr>
        <w:pStyle w:val="a0"/>
        <w:spacing w:line="360" w:lineRule="auto"/>
        <w:ind w:firstLine="431"/>
        <w:rPr>
          <w:rFonts w:asciiTheme="minorEastAsia" w:hAnsiTheme="minorEastAsia"/>
          <w:color w:val="000000" w:themeColor="text1"/>
          <w:lang w:eastAsia="zh-TW"/>
        </w:rPr>
      </w:pPr>
      <w:r>
        <w:t>三項情境在本文不是治理成敗的完整個案，也不另作七項治理審計評分。其共同功能是測試課程能否跨越單一技術介紹：學生是否能定位案例、區分P1—P3權力移轉、辨識三項結構效應，並追問情境建構、權威、理由與責任四鏈及七項治理審計所要求的制度證據。若只能操作AI工具，卻無法把模型輸出放回裁量、司法或預算制度，便屬知識深度不足；若不同知識仍分散在互不連結的課程，便屬跨域整合不足；若沒有案例或實作，便屬應用轉移不足。</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這項壓力測試也說明，五項議題定位與教育衡量不可互相取代。</w:t>
      </w:r>
      <w:r w:rsidRPr="00CF12C3">
        <w:rPr>
          <w:rFonts w:asciiTheme="minorEastAsia" w:hAnsiTheme="minorEastAsia"/>
          <w:color w:val="000000" w:themeColor="text1"/>
          <w:lang w:eastAsia="zh-TW"/>
        </w:rPr>
        <w:t>25</w:t>
      </w:r>
      <w:r w:rsidRPr="00CF12C3">
        <w:rPr>
          <w:rFonts w:asciiTheme="minorEastAsia" w:hAnsiTheme="minorEastAsia"/>
          <w:color w:val="000000" w:themeColor="text1"/>
          <w:lang w:eastAsia="zh-TW"/>
        </w:rPr>
        <w:t>座標揭示要教哪些公共行政關係；教育涵蓋度規準則檢查現行教育是否已經把這些關係轉化為課程、整合及應用。</w:t>
      </w:r>
    </w:p>
    <w:p w:rsidR="00A266BB" w:rsidRPr="00CF12C3" w:rsidRDefault="00FB0C44">
      <w:pPr>
        <w:pStyle w:val="2"/>
        <w:rPr>
          <w:rFonts w:asciiTheme="minorEastAsia" w:eastAsiaTheme="minorEastAsia" w:hAnsiTheme="minorEastAsia"/>
          <w:color w:val="000000" w:themeColor="text1"/>
          <w:lang w:eastAsia="zh-TW"/>
        </w:rPr>
      </w:pPr>
      <w:bookmarkStart w:id="36" w:name="八印證結果教育落差位於整合與轉移"/>
      <w:bookmarkEnd w:id="35"/>
      <w:r w:rsidRPr="00CF12C3">
        <w:rPr>
          <w:rFonts w:asciiTheme="minorEastAsia" w:eastAsiaTheme="minorEastAsia" w:hAnsiTheme="minorEastAsia"/>
          <w:color w:val="000000" w:themeColor="text1"/>
          <w:lang w:eastAsia="zh-TW"/>
        </w:rPr>
        <w:lastRenderedPageBreak/>
        <w:t>八、印證結果：教育落差位於整合與轉移</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第一，臺灣公共行政研究已在議題層次回應</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，臺灣大學課程及公務訓練也已出現</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的明示涵蓋，不能再概括為公共行政學界或教育完全忽視</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。第二，現有公開資料較能證明議題研究、科目設置、素養課程及工具應用，較難證明技術生命週期已進入跨專業共同研究，或五項議題已在政策、制度、組織、管理、法律與財政課程間形成整合。</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第三，</w:t>
      </w:r>
      <w:r w:rsidRPr="00CF12C3">
        <w:rPr>
          <w:rFonts w:asciiTheme="minorEastAsia" w:hAnsiTheme="minorEastAsia"/>
          <w:color w:val="000000" w:themeColor="text1"/>
          <w:lang w:eastAsia="zh-TW"/>
        </w:rPr>
        <w:t>NASPAA</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UNESCO</w:t>
      </w:r>
      <w:r w:rsidRPr="00CF12C3">
        <w:rPr>
          <w:rFonts w:asciiTheme="minorEastAsia" w:hAnsiTheme="minorEastAsia"/>
          <w:color w:val="000000" w:themeColor="text1"/>
          <w:lang w:eastAsia="zh-TW"/>
        </w:rPr>
        <w:t>與</w:t>
      </w:r>
      <w:r w:rsidRPr="00CF12C3">
        <w:rPr>
          <w:rFonts w:asciiTheme="minorEastAsia" w:hAnsiTheme="minorEastAsia"/>
          <w:color w:val="000000" w:themeColor="text1"/>
          <w:lang w:eastAsia="zh-TW"/>
        </w:rPr>
        <w:t>OECD</w:t>
      </w:r>
      <w:r w:rsidRPr="00CF12C3">
        <w:rPr>
          <w:rFonts w:asciiTheme="minorEastAsia" w:hAnsiTheme="minorEastAsia"/>
          <w:color w:val="000000" w:themeColor="text1"/>
          <w:lang w:eastAsia="zh-TW"/>
        </w:rPr>
        <w:t>文件均支持教育不能停留在工具使用，而須連結證據判斷、公共服務、組織環境及實務能力。這使本文所辨識的教育落差集中於知識深度、跨域整合與應用轉移，而不是治理倫理或一般</w:t>
      </w:r>
      <w:r w:rsidRPr="00CF12C3">
        <w:rPr>
          <w:rFonts w:asciiTheme="minorEastAsia" w:hAnsiTheme="minorEastAsia"/>
          <w:color w:val="000000" w:themeColor="text1"/>
          <w:lang w:eastAsia="zh-TW"/>
        </w:rPr>
        <w:t>性的技術落差。</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第四，公共行政的知識骨架仍有定位與整合功能；真正需要改變的是各課程納入</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治理的深度、課程間的橫向連結，以及把知識轉移到真實公共問題的教學設計。這項結果構成下一章教育建議的直接依據。</w:t>
      </w:r>
    </w:p>
    <w:p w:rsidR="00A266BB" w:rsidRPr="00CF12C3" w:rsidRDefault="00FB0C44">
      <w:pPr>
        <w:pStyle w:val="1"/>
        <w:rPr>
          <w:rFonts w:asciiTheme="minorEastAsia" w:eastAsiaTheme="minorEastAsia" w:hAnsiTheme="minorEastAsia"/>
          <w:color w:val="000000" w:themeColor="text1"/>
          <w:lang w:eastAsia="zh-TW"/>
        </w:rPr>
      </w:pPr>
      <w:bookmarkStart w:id="37" w:name="陸研究結果與建議公共行政教育的變與不變"/>
      <w:bookmarkEnd w:id="25"/>
      <w:bookmarkEnd w:id="36"/>
      <w:r w:rsidRPr="00CF12C3">
        <w:rPr>
          <w:rFonts w:asciiTheme="minorEastAsia" w:eastAsiaTheme="minorEastAsia" w:hAnsiTheme="minorEastAsia"/>
          <w:color w:val="000000" w:themeColor="text1"/>
          <w:lang w:eastAsia="zh-TW"/>
        </w:rPr>
        <w:t>陸、研究結果與建議：公共行政教育的變與不變</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以下研究結果與建議，是奠基於前述有限文件（兩校課程規劃表、公務人員訓練政策說明及國際能力基準）所作的初步診斷，而非對臺灣大學公共行政教育或公務人員訓練整體現況的代表性結論。本文以下仍使用「大學教育」「公務人員訓練」等概括性用語，是為行文簡潔，其實質意涵應理解為「就本文所檢視文件顯示之現況」。讀者於援引本文建議時，宜將其視為概念性診斷與改革方向的起點，而非已獲充分樣本支持的全國性實證發現；證據強度上的此一限制，也構成後續研究最優先的補強項目。</w:t>
      </w:r>
    </w:p>
    <w:p w:rsidR="00A266BB" w:rsidRPr="00CF12C3" w:rsidRDefault="00FB0C44">
      <w:pPr>
        <w:pStyle w:val="2"/>
        <w:rPr>
          <w:rFonts w:asciiTheme="minorEastAsia" w:eastAsiaTheme="minorEastAsia" w:hAnsiTheme="minorEastAsia"/>
          <w:color w:val="000000" w:themeColor="text1"/>
          <w:lang w:eastAsia="zh-TW"/>
        </w:rPr>
      </w:pPr>
      <w:bookmarkStart w:id="38" w:name="一研究結果公共行政教育的知識骨架不變"/>
      <w:r w:rsidRPr="00CF12C3">
        <w:rPr>
          <w:rFonts w:asciiTheme="minorEastAsia" w:eastAsiaTheme="minorEastAsia" w:hAnsiTheme="minorEastAsia"/>
          <w:color w:val="000000" w:themeColor="text1"/>
          <w:lang w:eastAsia="zh-TW"/>
        </w:rPr>
        <w:t>一、研究結果：公共行政教育的知識骨架不變</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研究結果首先顯示，</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w:t>
      </w:r>
      <w:r w:rsidRPr="00CF12C3">
        <w:rPr>
          <w:rFonts w:asciiTheme="minorEastAsia" w:hAnsiTheme="minorEastAsia"/>
          <w:color w:val="000000" w:themeColor="text1"/>
          <w:lang w:eastAsia="zh-TW"/>
        </w:rPr>
        <w:t>理沒有使公共行政的五個理論層次與五個分析單位失去作用。哲學與價值、制度分工、政策體系、組織設計及管理運作，仍然構成公共行政理解政府問題的知識骨架；個人、團體、組織、社會與國際也仍是不可省略的分析單位。公共行政教育不應因</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出現而以技術課程取代這套基本架構。</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lastRenderedPageBreak/>
        <w:t>不變的不是每一門課的內容或名稱，而是公共行政必須跨層次、跨單位理解政府活動。</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治理反而證明，若教育只剩工具操作或單一組織管理，便無法辨識技術如何由管理運作上移至政策、制度及社會層次。</w:t>
      </w:r>
    </w:p>
    <w:p w:rsidR="00A266BB" w:rsidRPr="00CF12C3" w:rsidRDefault="00FB0C44">
      <w:pPr>
        <w:pStyle w:val="2"/>
        <w:rPr>
          <w:rFonts w:asciiTheme="minorEastAsia" w:eastAsiaTheme="minorEastAsia" w:hAnsiTheme="minorEastAsia"/>
          <w:color w:val="000000" w:themeColor="text1"/>
          <w:lang w:eastAsia="zh-TW"/>
        </w:rPr>
      </w:pPr>
      <w:bookmarkStart w:id="39" w:name="二研究結果知識內容連結與教育分工必須改變"/>
      <w:bookmarkEnd w:id="38"/>
      <w:r w:rsidRPr="00CF12C3">
        <w:rPr>
          <w:rFonts w:asciiTheme="minorEastAsia" w:eastAsiaTheme="minorEastAsia" w:hAnsiTheme="minorEastAsia"/>
          <w:color w:val="000000" w:themeColor="text1"/>
          <w:lang w:eastAsia="zh-TW"/>
        </w:rPr>
        <w:t>二、研究結果：知識內容、連結與教育分工必須改變</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表</w:t>
      </w:r>
      <w:r w:rsidRPr="00CF12C3">
        <w:rPr>
          <w:rFonts w:asciiTheme="minorEastAsia" w:hAnsiTheme="minorEastAsia"/>
          <w:color w:val="000000" w:themeColor="text1"/>
          <w:lang w:eastAsia="zh-TW"/>
        </w:rPr>
        <w:t>4</w:t>
      </w:r>
      <w:r w:rsidRPr="00CF12C3">
        <w:rPr>
          <w:rFonts w:asciiTheme="minorEastAsia" w:hAnsiTheme="minorEastAsia"/>
          <w:color w:val="000000" w:themeColor="text1"/>
          <w:lang w:eastAsia="zh-TW"/>
        </w:rPr>
        <w:t>與肆章三節已由知</w:t>
      </w:r>
      <w:r w:rsidRPr="00CF12C3">
        <w:rPr>
          <w:rFonts w:asciiTheme="minorEastAsia" w:hAnsiTheme="minorEastAsia"/>
          <w:color w:val="000000" w:themeColor="text1"/>
          <w:lang w:eastAsia="zh-TW"/>
        </w:rPr>
        <w:t>識骨架、問題界定、證據、專業分工與課程結構五個面向辯證變與不變；以下不重複該項論證，而是將其轉為四項可操作的教育設計重點。必須改變的第一部分是各格知識內容。行政學須納入</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條件；政策教育須理解資料與模型如何參與問題形成與選項分析；組織與管理教育須處理人機組織、平台、無人流程及技術委外；財政與公共法相關教育則須納入演算法配置、數位貨幣、信用與可程式化給付。</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必須改變的第二部分是課程連結。五項議題都跨越兩個以上位格，現有按學科、教師及考試科目分割的課程安排，難以呈現其移動路徑。系所應以共同案例、跨課程模組及</w:t>
      </w:r>
      <w:r w:rsidRPr="00CF12C3">
        <w:rPr>
          <w:rFonts w:asciiTheme="minorEastAsia" w:hAnsiTheme="minorEastAsia"/>
          <w:color w:val="000000" w:themeColor="text1"/>
          <w:lang w:eastAsia="zh-TW"/>
        </w:rPr>
        <w:t>聯合專題，使學生同時運用政策、組織、管理、法律、財政與資料知識。</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必須改變的第三部分是學科分工。公共行政學生需要足以理解資料、模型、系統與資安的技術素養，但不以培養初階程式設計者為目標；資訊科技學生則須理解政府制度、政策過程、組織及分析單位，避免把已形式化的技術問題誤認為完整的公共問題。</w:t>
      </w:r>
    </w:p>
    <w:p w:rsidR="00A266BB" w:rsidRPr="00CF12C3" w:rsidRDefault="00FB0C44">
      <w:pPr>
        <w:pStyle w:val="a0"/>
        <w:spacing w:line="360" w:lineRule="auto"/>
        <w:ind w:firstLine="431"/>
        <w:rPr>
          <w:rFonts w:asciiTheme="minorEastAsia" w:hAnsiTheme="minorEastAsia"/>
          <w:color w:val="000000" w:themeColor="text1"/>
          <w:lang w:eastAsia="zh-TW"/>
        </w:rPr>
      </w:pPr>
      <w:r>
        <w:t>必須改變的第四部分是教學方式。除理論講授外，應增加25座標定位、P1—P3權力移轉辨識、跨格路徑圖、四鏈追蹤、七項治理審計提問、案例比較、模型文件閱讀及跨域團隊工作，使學生能在AI治理條件下重新組合既有公共行政知識。這些母架構元素不是新增八套課程，而是同一案例由定位、機制、制度結果到治理證據的連續分析程序。</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教育涵蓋度編碼可作為課程盤點工具，但不宜把四項維度另設為四門課。系所應以五項議題檢查既有課程：哪些只達明示涵蓋、哪些已有知識深度、哪些建立跨域整合，以及哪些具備案例、模擬或實作的應用轉移。</w:t>
      </w:r>
    </w:p>
    <w:p w:rsidR="00A266BB" w:rsidRPr="00CF12C3" w:rsidRDefault="00FB0C44">
      <w:pPr>
        <w:pStyle w:val="2"/>
        <w:rPr>
          <w:rFonts w:asciiTheme="minorEastAsia" w:eastAsiaTheme="minorEastAsia" w:hAnsiTheme="minorEastAsia"/>
          <w:color w:val="000000" w:themeColor="text1"/>
          <w:lang w:eastAsia="zh-TW"/>
        </w:rPr>
      </w:pPr>
      <w:bookmarkStart w:id="40" w:name="三大學公共行政教育的改革方向"/>
      <w:bookmarkEnd w:id="39"/>
      <w:r w:rsidRPr="00CF12C3">
        <w:rPr>
          <w:rFonts w:asciiTheme="minorEastAsia" w:eastAsiaTheme="minorEastAsia" w:hAnsiTheme="minorEastAsia"/>
          <w:color w:val="000000" w:themeColor="text1"/>
          <w:lang w:eastAsia="zh-TW"/>
        </w:rPr>
        <w:lastRenderedPageBreak/>
        <w:t>三、大學公共行政教育的改革方向</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大學公共行政教育改革不能等同於增設一門</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工具課，也不宜另造一套與行政學分離的能力清單。較可行的方式，是以</w:t>
      </w:r>
      <w:r w:rsidRPr="00CF12C3">
        <w:rPr>
          <w:rFonts w:asciiTheme="minorEastAsia" w:hAnsiTheme="minorEastAsia"/>
          <w:color w:val="000000" w:themeColor="text1"/>
          <w:lang w:eastAsia="zh-TW"/>
        </w:rPr>
        <w:t>5×5</w:t>
      </w:r>
      <w:r w:rsidRPr="00CF12C3">
        <w:rPr>
          <w:rFonts w:asciiTheme="minorEastAsia" w:hAnsiTheme="minorEastAsia"/>
          <w:color w:val="000000" w:themeColor="text1"/>
          <w:lang w:eastAsia="zh-TW"/>
        </w:rPr>
        <w:t>知識座標盤點既有課程，判斷各格哪些內容應保留、哪些須納入</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治理、哪些須建立跨格與跨系合作</w:t>
      </w:r>
      <w:r w:rsidRPr="00CF12C3">
        <w:rPr>
          <w:rFonts w:asciiTheme="minorEastAsia" w:hAnsiTheme="minorEastAsia"/>
          <w:color w:val="000000" w:themeColor="text1"/>
          <w:lang w:eastAsia="zh-TW"/>
        </w:rPr>
        <w:t>。</w:t>
      </w:r>
    </w:p>
    <w:p w:rsidR="00A266BB" w:rsidRPr="00CF12C3" w:rsidRDefault="00FB0C44">
      <w:pPr>
        <w:pStyle w:val="Compact"/>
        <w:numPr>
          <w:ilvl w:val="0"/>
          <w:numId w:val="3"/>
        </w:numPr>
        <w:rPr>
          <w:rFonts w:asciiTheme="minorEastAsia" w:hAnsiTheme="minorEastAsia"/>
          <w:color w:val="000000" w:themeColor="text1"/>
          <w:lang w:eastAsia="zh-TW"/>
        </w:rPr>
      </w:pPr>
      <w:r w:rsidRPr="00CF12C3">
        <w:rPr>
          <w:rFonts w:asciiTheme="minorEastAsia" w:hAnsiTheme="minorEastAsia"/>
          <w:color w:val="000000" w:themeColor="text1"/>
          <w:lang w:eastAsia="zh-TW"/>
        </w:rPr>
        <w:t>在基礎行政學中保留五層次與五分析單位，並以五項議題範圍訓練定位，使學生先知道</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治理問題發生在哪裡，而不是先學工具。</w:t>
      </w:r>
    </w:p>
    <w:p w:rsidR="00A266BB" w:rsidRPr="00CF12C3" w:rsidRDefault="00FB0C44">
      <w:pPr>
        <w:pStyle w:val="Compact"/>
        <w:numPr>
          <w:ilvl w:val="0"/>
          <w:numId w:val="3"/>
        </w:numPr>
        <w:rPr>
          <w:rFonts w:asciiTheme="minorEastAsia" w:hAnsiTheme="minorEastAsia"/>
          <w:color w:val="000000" w:themeColor="text1"/>
          <w:lang w:eastAsia="zh-TW"/>
        </w:rPr>
      </w:pPr>
      <w:r w:rsidRPr="00CF12C3">
        <w:rPr>
          <w:rFonts w:asciiTheme="minorEastAsia" w:hAnsiTheme="minorEastAsia"/>
          <w:color w:val="000000" w:themeColor="text1"/>
          <w:lang w:eastAsia="zh-TW"/>
        </w:rPr>
        <w:t>在公共政策、組織、管理、行政法與財政課程中共用案例，要求學生追蹤同一議題如何跨座標移動，避免每門課只處理自己的一段。</w:t>
      </w:r>
    </w:p>
    <w:p w:rsidR="00A266BB" w:rsidRPr="00CF12C3" w:rsidRDefault="00FB0C44">
      <w:pPr>
        <w:pStyle w:val="Compact"/>
        <w:numPr>
          <w:ilvl w:val="0"/>
          <w:numId w:val="3"/>
        </w:numPr>
        <w:rPr>
          <w:rFonts w:asciiTheme="minorEastAsia" w:hAnsiTheme="minorEastAsia"/>
          <w:color w:val="000000" w:themeColor="text1"/>
          <w:lang w:eastAsia="zh-TW"/>
        </w:rPr>
      </w:pPr>
      <w:r w:rsidRPr="00CF12C3">
        <w:rPr>
          <w:rFonts w:asciiTheme="minorEastAsia" w:hAnsiTheme="minorEastAsia"/>
          <w:color w:val="000000" w:themeColor="text1"/>
          <w:lang w:eastAsia="zh-TW"/>
        </w:rPr>
        <w:t>增設跨域方法模組，內容包括資料來源、模型基本概念、統計與生成式輸出的限制、系統與平台架構，以及如何把技術資訊轉回公共行政問題。</w:t>
      </w:r>
    </w:p>
    <w:p w:rsidR="00A266BB" w:rsidRPr="00CF12C3" w:rsidRDefault="00FB0C44">
      <w:pPr>
        <w:pStyle w:val="Compact"/>
        <w:numPr>
          <w:ilvl w:val="0"/>
          <w:numId w:val="3"/>
        </w:numPr>
        <w:rPr>
          <w:rFonts w:asciiTheme="minorEastAsia" w:hAnsiTheme="minorEastAsia"/>
          <w:color w:val="000000" w:themeColor="text1"/>
          <w:lang w:eastAsia="zh-TW"/>
        </w:rPr>
      </w:pPr>
      <w:r w:rsidRPr="00CF12C3">
        <w:rPr>
          <w:rFonts w:asciiTheme="minorEastAsia" w:hAnsiTheme="minorEastAsia"/>
          <w:color w:val="000000" w:themeColor="text1"/>
          <w:lang w:eastAsia="zh-TW"/>
        </w:rPr>
        <w:t>建立公共行政與資訊科技教師共同授課或協同工作坊，但由公共行政系所維持課程統整，確保技術內容能連回制度、政策、組織與管理。</w:t>
      </w:r>
    </w:p>
    <w:p w:rsidR="00A266BB" w:rsidRPr="00CF12C3" w:rsidRDefault="00FB0C44">
      <w:pPr>
        <w:pStyle w:val="Compact"/>
        <w:numPr>
          <w:ilvl w:val="0"/>
          <w:numId w:val="3"/>
        </w:numPr>
        <w:rPr>
          <w:rFonts w:asciiTheme="minorEastAsia" w:hAnsiTheme="minorEastAsia"/>
          <w:color w:val="000000" w:themeColor="text1"/>
          <w:lang w:eastAsia="zh-TW"/>
        </w:rPr>
      </w:pPr>
      <w:r w:rsidRPr="00CF12C3">
        <w:rPr>
          <w:rFonts w:asciiTheme="minorEastAsia" w:hAnsiTheme="minorEastAsia"/>
          <w:color w:val="000000" w:themeColor="text1"/>
          <w:lang w:eastAsia="zh-TW"/>
        </w:rPr>
        <w:t>以議題範圍與制度案例取代</w:t>
      </w:r>
      <w:r w:rsidRPr="00CF12C3">
        <w:rPr>
          <w:rFonts w:asciiTheme="minorEastAsia" w:hAnsiTheme="minorEastAsia"/>
          <w:color w:val="000000" w:themeColor="text1"/>
          <w:lang w:eastAsia="zh-TW"/>
        </w:rPr>
        <w:t>純粹的軟體操作作業，要求學生提出座標定位、知識變動、學科分工及教育缺口，而非只評量工具使用速度。</w:t>
      </w:r>
    </w:p>
    <w:p w:rsidR="00A266BB" w:rsidRPr="00CF12C3" w:rsidRDefault="00FB0C44">
      <w:pPr>
        <w:pStyle w:val="Compact"/>
        <w:numPr>
          <w:ilvl w:val="0"/>
          <w:numId w:val="3"/>
        </w:numPr>
        <w:rPr>
          <w:rFonts w:asciiTheme="minorEastAsia" w:hAnsiTheme="minorEastAsia"/>
          <w:color w:val="000000" w:themeColor="text1"/>
          <w:lang w:eastAsia="zh-TW"/>
        </w:rPr>
      </w:pPr>
      <w:r w:rsidRPr="00CF12C3">
        <w:rPr>
          <w:rFonts w:asciiTheme="minorEastAsia" w:hAnsiTheme="minorEastAsia"/>
          <w:color w:val="000000" w:themeColor="text1"/>
          <w:lang w:eastAsia="zh-TW"/>
        </w:rPr>
        <w:t>教師發展亦須同步進行。公共行政教師需要更新</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治理與技術理解，資訊科技教師需要接觸公共制度與政策問題；系所則須建立可持續更新的共同案例與教材。</w:t>
      </w:r>
    </w:p>
    <w:p w:rsidR="00A266BB" w:rsidRPr="00CF12C3" w:rsidRDefault="00FB0C44">
      <w:pPr>
        <w:pStyle w:val="Compact"/>
        <w:numPr>
          <w:ilvl w:val="0"/>
          <w:numId w:val="3"/>
        </w:numPr>
        <w:rPr>
          <w:rFonts w:asciiTheme="minorEastAsia" w:hAnsiTheme="minorEastAsia"/>
          <w:color w:val="000000" w:themeColor="text1"/>
          <w:lang w:eastAsia="zh-TW"/>
        </w:rPr>
      </w:pPr>
      <w:r w:rsidRPr="00CF12C3">
        <w:rPr>
          <w:rFonts w:asciiTheme="minorEastAsia" w:hAnsiTheme="minorEastAsia"/>
          <w:color w:val="000000" w:themeColor="text1"/>
          <w:lang w:eastAsia="zh-TW"/>
        </w:rPr>
        <w:t>課程改革可採分階段方式：先在既有課程加入</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治理單元，再建立跨課程共同案例，最後形成公共行政與資訊科技的跨系模組；不必一開始即全面重編課程或增設新學程。</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大學教育的變與不變可概括為：保留公共行政知識骨架，更新各格內容；保留學科專業，增加跨域連結；保留理論訓練，增加定位、</w:t>
      </w:r>
      <w:r w:rsidRPr="00CF12C3">
        <w:rPr>
          <w:rFonts w:asciiTheme="minorEastAsia" w:hAnsiTheme="minorEastAsia"/>
          <w:color w:val="000000" w:themeColor="text1"/>
          <w:lang w:eastAsia="zh-TW"/>
        </w:rPr>
        <w:t>案例與整合性教學。</w:t>
      </w:r>
    </w:p>
    <w:p w:rsidR="00A266BB" w:rsidRPr="00CF12C3" w:rsidRDefault="00FB0C44">
      <w:pPr>
        <w:pStyle w:val="2"/>
        <w:rPr>
          <w:rFonts w:asciiTheme="minorEastAsia" w:eastAsiaTheme="minorEastAsia" w:hAnsiTheme="minorEastAsia"/>
          <w:color w:val="000000" w:themeColor="text1"/>
          <w:lang w:eastAsia="zh-TW"/>
        </w:rPr>
      </w:pPr>
      <w:bookmarkStart w:id="41" w:name="四公務人員教育訓練與機關能力"/>
      <w:bookmarkEnd w:id="40"/>
      <w:r w:rsidRPr="00CF12C3">
        <w:rPr>
          <w:rFonts w:asciiTheme="minorEastAsia" w:eastAsiaTheme="minorEastAsia" w:hAnsiTheme="minorEastAsia"/>
          <w:color w:val="000000" w:themeColor="text1"/>
          <w:lang w:eastAsia="zh-TW"/>
        </w:rPr>
        <w:t>四、公務人員教育訓練與機關能力</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現職公務人員訓練不能只教提示詞、生成式</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操作或資安注意事項，而應依職務與議題範圍分層。所有人員須具備基本</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與資料判讀能力；承辦與主管須理解</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如何跨越管理、政策與制度位格；採購、資訊、法制、主計及政風人員則須共同處理模型文件、資料治理、契約、組織學習與系統變更。</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教育改革的單位不能只停留在個人。機關須保有資料字典、模型清冊、版本紀錄、事件學習及獨立理解系統的能力；若所有知識均集中在外部廠商，公務人員即使完成工具訓練，政府仍無法累積</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治理知識。</w:t>
      </w:r>
    </w:p>
    <w:p w:rsidR="00A266BB" w:rsidRPr="00CF12C3" w:rsidRDefault="00FB0C44">
      <w:pPr>
        <w:pStyle w:val="a0"/>
        <w:spacing w:line="360" w:lineRule="auto"/>
        <w:ind w:firstLine="431"/>
        <w:rPr>
          <w:rFonts w:asciiTheme="minorEastAsia" w:hAnsiTheme="minorEastAsia"/>
          <w:color w:val="000000" w:themeColor="text1"/>
          <w:lang w:eastAsia="zh-TW"/>
        </w:rPr>
      </w:pPr>
      <w:r>
        <w:t>培訓應採議題範圍定位與案例比較，而不是一次性講習。虛擬政府用來分析平台與數位身分；無人行政用來分析人機分工、組織記憶與流程自動化；無人政府則作為壓力測試，檢驗責任主體、人工覆核與停止機制是否仍可運作；AFST分析行政裁量與資料模型；COMPAS分析司法預測與制度判斷；AI財政治理分析預算、信用與可程式化給付。訓練成果應以能否完成25座標定位、區分P1—P3功能性移轉、說明三項結構效應、追蹤四條治理鏈並提出七項審計問題，以及區分無人行政與無人政府的不同風險層級加以評量。</w:t>
      </w:r>
    </w:p>
    <w:p w:rsidR="00A266BB" w:rsidRPr="00CF12C3" w:rsidRDefault="00FB0C44">
      <w:pPr>
        <w:pStyle w:val="2"/>
        <w:rPr>
          <w:rFonts w:asciiTheme="minorEastAsia" w:eastAsiaTheme="minorEastAsia" w:hAnsiTheme="minorEastAsia"/>
          <w:color w:val="000000" w:themeColor="text1"/>
          <w:lang w:eastAsia="zh-TW"/>
        </w:rPr>
      </w:pPr>
      <w:bookmarkStart w:id="42" w:name="五公共行政教育不能把知識重構外包"/>
      <w:bookmarkEnd w:id="41"/>
      <w:r w:rsidRPr="00CF12C3">
        <w:rPr>
          <w:rFonts w:asciiTheme="minorEastAsia" w:eastAsiaTheme="minorEastAsia" w:hAnsiTheme="minorEastAsia"/>
          <w:color w:val="000000" w:themeColor="text1"/>
          <w:lang w:eastAsia="zh-TW"/>
        </w:rPr>
        <w:t>五、公共行政教育不能把知識重構外包</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公共行政不能因教師或公務人員尚未具備技術知識，便把</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治理教育完全交由資訊科技單位、廠商或短期講師。技術內容可以協同教學，但課程如何連結制度、政策、組織、管理及五分析單位，仍須由公共行政教育負責統整。</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同樣地，資訊科技教育也不能只把公共行政縮減為倫理注意事項。跨域教育必須讓資訊學生理解技術問題如何進入政府制度與政策過程，讓公共行政學生理解資料與模型如何形成實際治理活動，並保留兩個學科互相質疑與修正的空間。</w:t>
      </w:r>
    </w:p>
    <w:p w:rsidR="00A266BB" w:rsidRPr="00CF12C3" w:rsidRDefault="00FB0C44">
      <w:pPr>
        <w:pStyle w:val="1"/>
        <w:rPr>
          <w:rFonts w:asciiTheme="minorEastAsia" w:eastAsiaTheme="minorEastAsia" w:hAnsiTheme="minorEastAsia"/>
          <w:color w:val="000000" w:themeColor="text1"/>
          <w:lang w:eastAsia="zh-TW"/>
        </w:rPr>
      </w:pPr>
      <w:bookmarkStart w:id="43" w:name="柒結論ai治理下公共行政教育的變與不變"/>
      <w:bookmarkEnd w:id="37"/>
      <w:bookmarkEnd w:id="42"/>
      <w:r w:rsidRPr="00CF12C3">
        <w:rPr>
          <w:rFonts w:asciiTheme="minorEastAsia" w:eastAsiaTheme="minorEastAsia" w:hAnsiTheme="minorEastAsia"/>
          <w:color w:val="000000" w:themeColor="text1"/>
          <w:lang w:eastAsia="zh-TW"/>
        </w:rPr>
        <w:t>柒、結論：</w:t>
      </w:r>
      <w:r w:rsidRPr="00CF12C3">
        <w:rPr>
          <w:rFonts w:asciiTheme="minorEastAsia" w:eastAsiaTheme="minorEastAsia" w:hAnsiTheme="minorEastAsia"/>
          <w:color w:val="000000" w:themeColor="text1"/>
          <w:lang w:eastAsia="zh-TW"/>
        </w:rPr>
        <w:t>AI</w:t>
      </w:r>
      <w:r w:rsidRPr="00CF12C3">
        <w:rPr>
          <w:rFonts w:asciiTheme="minorEastAsia" w:eastAsiaTheme="minorEastAsia" w:hAnsiTheme="minorEastAsia"/>
          <w:color w:val="000000" w:themeColor="text1"/>
          <w:lang w:eastAsia="zh-TW"/>
        </w:rPr>
        <w:t>治理下公共行政教育的變與不變</w:t>
      </w:r>
    </w:p>
    <w:p w:rsidR="00A266BB" w:rsidRPr="00CF12C3" w:rsidRDefault="00FB0C44">
      <w:pPr>
        <w:pStyle w:val="2"/>
        <w:rPr>
          <w:rFonts w:asciiTheme="minorEastAsia" w:eastAsiaTheme="minorEastAsia" w:hAnsiTheme="minorEastAsia"/>
          <w:color w:val="000000" w:themeColor="text1"/>
          <w:lang w:eastAsia="zh-TW"/>
        </w:rPr>
      </w:pPr>
      <w:bookmarkStart w:id="44" w:name="一研究總結"/>
      <w:r w:rsidRPr="00CF12C3">
        <w:rPr>
          <w:rFonts w:asciiTheme="minorEastAsia" w:eastAsiaTheme="minorEastAsia" w:hAnsiTheme="minorEastAsia"/>
          <w:color w:val="000000" w:themeColor="text1"/>
          <w:lang w:eastAsia="zh-TW"/>
        </w:rPr>
        <w:t>一、研究總結</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t>本文將AI治理設定為既定條件，以五項非窮盡議題範圍，依辨識、討論、辯證、印證與建議五階段展開分析。辨識即定位，25座標標定議題位置；三種行政權力功能性移轉解釋AI如何改變行政，三項結構效應描述制度結果；四條治理鏈與七項治理審計則轉化為案例教學應能追問的正當性關係與制度證據。印證階段另由大學課程、國際能力基準與公務人員訓練文件檢查教育涵蓋程度，不把治理風險與教育落差混成同一量表。</w:t>
      </w:r>
    </w:p>
    <w:p w:rsidR="00A266BB" w:rsidRPr="00CF12C3" w:rsidRDefault="00FB0C44">
      <w:pPr>
        <w:pStyle w:val="2"/>
        <w:rPr>
          <w:rFonts w:asciiTheme="minorEastAsia" w:eastAsiaTheme="minorEastAsia" w:hAnsiTheme="minorEastAsia"/>
          <w:color w:val="000000" w:themeColor="text1"/>
          <w:lang w:eastAsia="zh-TW"/>
        </w:rPr>
      </w:pPr>
      <w:bookmarkStart w:id="45" w:name="二學術貢獻"/>
      <w:bookmarkEnd w:id="44"/>
      <w:r w:rsidRPr="00CF12C3">
        <w:rPr>
          <w:rFonts w:asciiTheme="minorEastAsia" w:eastAsiaTheme="minorEastAsia" w:hAnsiTheme="minorEastAsia"/>
          <w:color w:val="000000" w:themeColor="text1"/>
          <w:lang w:eastAsia="zh-TW"/>
        </w:rPr>
        <w:t>二、學術貢獻</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本文的學術與制度貢獻可歸納為四點：</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lastRenderedPageBreak/>
        <w:t>第一，本文把五項尚未被公共行政教育完整處理的議題範圍定位於</w:t>
      </w:r>
      <w:r w:rsidRPr="00CF12C3">
        <w:rPr>
          <w:rFonts w:asciiTheme="minorEastAsia" w:hAnsiTheme="minorEastAsia"/>
          <w:color w:val="000000" w:themeColor="text1"/>
          <w:lang w:eastAsia="zh-TW"/>
        </w:rPr>
        <w:t>25</w:t>
      </w:r>
      <w:r w:rsidRPr="00CF12C3">
        <w:rPr>
          <w:rFonts w:asciiTheme="minorEastAsia" w:hAnsiTheme="minorEastAsia"/>
          <w:color w:val="000000" w:themeColor="text1"/>
          <w:lang w:eastAsia="zh-TW"/>
        </w:rPr>
        <w:t>座標，並加入</w:t>
      </w:r>
      <w:r w:rsidRPr="00CF12C3">
        <w:rPr>
          <w:rFonts w:asciiTheme="minorEastAsia" w:hAnsiTheme="minorEastAsia"/>
          <w:color w:val="000000" w:themeColor="text1"/>
          <w:lang w:eastAsia="zh-TW"/>
        </w:rPr>
        <w:t>P1—P3</w:t>
      </w:r>
      <w:r w:rsidRPr="00CF12C3">
        <w:rPr>
          <w:rFonts w:asciiTheme="minorEastAsia" w:hAnsiTheme="minorEastAsia"/>
          <w:color w:val="000000" w:themeColor="text1"/>
          <w:lang w:eastAsia="zh-TW"/>
        </w:rPr>
        <w:t>三種行政權力功能性移轉作為機制層，使「</w:t>
      </w:r>
      <w:r w:rsidRPr="00CF12C3">
        <w:rPr>
          <w:rFonts w:asciiTheme="minorEastAsia" w:hAnsiTheme="minorEastAsia"/>
          <w:color w:val="000000" w:themeColor="text1"/>
          <w:lang w:eastAsia="zh-TW"/>
        </w:rPr>
        <w:t>A</w:t>
      </w:r>
      <w:r w:rsidRPr="00CF12C3">
        <w:rPr>
          <w:rFonts w:asciiTheme="minorEastAsia" w:hAnsiTheme="minorEastAsia"/>
          <w:color w:val="000000" w:themeColor="text1"/>
          <w:lang w:eastAsia="zh-TW"/>
        </w:rPr>
        <w:t>I</w:t>
      </w:r>
      <w:r w:rsidRPr="00CF12C3">
        <w:rPr>
          <w:rFonts w:asciiTheme="minorEastAsia" w:hAnsiTheme="minorEastAsia"/>
          <w:color w:val="000000" w:themeColor="text1"/>
          <w:lang w:eastAsia="zh-TW"/>
        </w:rPr>
        <w:t>如何由技術工具取得治理影響力」與「跨座標移動、邊界消解及權威重構造成何種制度結果」得到明確區分。</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第二，跨議題與案例比較辨識三項相對固定模式：知識跨格、專業邊界重組，以及公共行政知識骨架不變而內容與連結改變。</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第三，本文辨識公共行政與資訊科技教育的相容及不可互換處：兩者須共同處理資料、模型、制度與組織問題，但仍應保留不同的知識核心與互相質疑能力。</w:t>
      </w:r>
    </w:p>
    <w:p w:rsidR="00A266BB" w:rsidRPr="00CF12C3" w:rsidRDefault="00FB0C44">
      <w:pPr>
        <w:pStyle w:val="a0"/>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第四，本文以明示涵蓋、知識深度、跨域整合與應用轉移四項文件編碼，就所檢視材料初步印證</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已進入公共行政課程與文官訓練，但教育落差主要仍位於跨課程整合及真實公共問題</w:t>
      </w:r>
      <w:r w:rsidRPr="00CF12C3">
        <w:rPr>
          <w:rFonts w:asciiTheme="minorEastAsia" w:hAnsiTheme="minorEastAsia"/>
          <w:color w:val="000000" w:themeColor="text1"/>
          <w:lang w:eastAsia="zh-TW"/>
        </w:rPr>
        <w:t>的應用轉移；此判斷受樣本範圍限制，尚待更多課綱與學習成果檢驗。</w:t>
      </w:r>
    </w:p>
    <w:p w:rsidR="00A266BB" w:rsidRPr="00CF12C3" w:rsidRDefault="00FB0C44">
      <w:pPr>
        <w:pStyle w:val="2"/>
        <w:rPr>
          <w:rFonts w:asciiTheme="minorEastAsia" w:eastAsiaTheme="minorEastAsia" w:hAnsiTheme="minorEastAsia"/>
          <w:color w:val="000000" w:themeColor="text1"/>
          <w:lang w:eastAsia="zh-TW"/>
        </w:rPr>
      </w:pPr>
      <w:bookmarkStart w:id="46" w:name="三實務與教育意涵"/>
      <w:bookmarkEnd w:id="45"/>
      <w:r w:rsidRPr="00CF12C3">
        <w:rPr>
          <w:rFonts w:asciiTheme="minorEastAsia" w:eastAsiaTheme="minorEastAsia" w:hAnsiTheme="minorEastAsia"/>
          <w:color w:val="000000" w:themeColor="text1"/>
          <w:lang w:eastAsia="zh-TW"/>
        </w:rPr>
        <w:t>三、實務與教育意涵</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本文的教育意涵不是增設一門</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工具課，也不是全面取代傳統行政學。大學教育應保留五層次與五分析單位，更新各格內容並建立跨課程、跨系所連結；公務人員培訓則應由工具操作轉向議題定位、跨格分析、案例比較與組織知識累積。</w:t>
      </w:r>
    </w:p>
    <w:p w:rsidR="00A266BB" w:rsidRPr="00CF12C3" w:rsidRDefault="00FB0C44">
      <w:pPr>
        <w:pStyle w:val="2"/>
        <w:rPr>
          <w:rFonts w:asciiTheme="minorEastAsia" w:eastAsiaTheme="minorEastAsia" w:hAnsiTheme="minorEastAsia"/>
          <w:color w:val="000000" w:themeColor="text1"/>
          <w:lang w:eastAsia="zh-TW"/>
        </w:rPr>
      </w:pPr>
      <w:bookmarkStart w:id="47" w:name="四研究限制與未來方向"/>
      <w:bookmarkEnd w:id="46"/>
      <w:r w:rsidRPr="00CF12C3">
        <w:rPr>
          <w:rFonts w:asciiTheme="minorEastAsia" w:eastAsiaTheme="minorEastAsia" w:hAnsiTheme="minorEastAsia"/>
          <w:color w:val="000000" w:themeColor="text1"/>
          <w:lang w:eastAsia="zh-TW"/>
        </w:rPr>
        <w:t>四、研究限制與未來方向</w:t>
      </w:r>
    </w:p>
    <w:p w:rsidR="00A266BB" w:rsidRPr="00CF12C3" w:rsidRDefault="00FB0C44">
      <w:pPr>
        <w:pStyle w:val="FirstParagraph"/>
        <w:spacing w:line="360" w:lineRule="auto"/>
        <w:ind w:firstLine="431"/>
        <w:rPr>
          <w:rFonts w:asciiTheme="minorEastAsia" w:hAnsiTheme="minorEastAsia"/>
          <w:color w:val="000000" w:themeColor="text1"/>
          <w:lang w:eastAsia="zh-TW"/>
        </w:rPr>
      </w:pPr>
      <w:r w:rsidRPr="00CF12C3">
        <w:rPr>
          <w:rFonts w:asciiTheme="minorEastAsia" w:hAnsiTheme="minorEastAsia"/>
          <w:color w:val="000000" w:themeColor="text1"/>
          <w:lang w:eastAsia="zh-TW"/>
        </w:rPr>
        <w:t>本文的五項議題範圍採目的性選取，教育文件與代表性研究亦只是初步理論取樣，不能代表全部國家、學校、教師、學者或訓練機關。本文印證階段實際檢視之材料僅限於政治大學與國立臺北大學兩校公共行政系所之課</w:t>
      </w:r>
      <w:r w:rsidRPr="00CF12C3">
        <w:rPr>
          <w:rFonts w:asciiTheme="minorEastAsia" w:hAnsiTheme="minorEastAsia"/>
          <w:color w:val="000000" w:themeColor="text1"/>
          <w:lang w:eastAsia="zh-TW"/>
        </w:rPr>
        <w:t>程規劃表，以及行政院人事行政總處之文官培訓政策說明，屬初步取樣印證，而非全臺灣公共行政系所及訓練機關之普查。據此，本文對教育落差的判斷應被理解為「就所檢視文件可觀察的涵蓋程度」，而非對全國教學實務或訓練成效的推論；讀者援引本文結論時，應避免將此一有限樣本之發現過度概括為全國性現況。部分材料只有科目名稱或政策說明，故本文不以推測給予完整量化分數；大學演講與博碩士論文因尚未完成母體</w:t>
      </w:r>
      <w:r w:rsidRPr="00CF12C3">
        <w:rPr>
          <w:rFonts w:asciiTheme="minorEastAsia" w:hAnsiTheme="minorEastAsia"/>
          <w:color w:val="000000" w:themeColor="text1"/>
          <w:lang w:eastAsia="zh-TW"/>
        </w:rPr>
        <w:lastRenderedPageBreak/>
        <w:t>界定及系統編碼，也不作數量或全國性結論。未來研究可蒐集</w:t>
      </w:r>
      <w:r w:rsidRPr="00CF12C3">
        <w:rPr>
          <w:rFonts w:asciiTheme="minorEastAsia" w:hAnsiTheme="minorEastAsia"/>
          <w:color w:val="000000" w:themeColor="text1"/>
          <w:lang w:eastAsia="zh-TW"/>
        </w:rPr>
        <w:t>2020</w:t>
      </w:r>
      <w:r w:rsidRPr="00CF12C3">
        <w:rPr>
          <w:rFonts w:asciiTheme="minorEastAsia" w:hAnsiTheme="minorEastAsia"/>
          <w:color w:val="000000" w:themeColor="text1"/>
          <w:lang w:eastAsia="zh-TW"/>
        </w:rPr>
        <w:t>年以後多校完整課綱、公開演講、博碩士論文、作業評量與學習成果，建立講者</w:t>
      </w:r>
      <w:r w:rsidRPr="00CF12C3">
        <w:rPr>
          <w:rFonts w:asciiTheme="minorEastAsia" w:hAnsiTheme="minorEastAsia"/>
          <w:color w:val="000000" w:themeColor="text1"/>
          <w:lang w:eastAsia="zh-TW"/>
        </w:rPr>
        <w:t>背景、技術深度、跨域合作及教育轉化的編碼規則。就表</w:t>
      </w:r>
      <w:r w:rsidRPr="00CF12C3">
        <w:rPr>
          <w:rFonts w:asciiTheme="minorEastAsia" w:hAnsiTheme="minorEastAsia"/>
          <w:color w:val="000000" w:themeColor="text1"/>
          <w:lang w:eastAsia="zh-TW"/>
        </w:rPr>
        <w:t>5</w:t>
      </w:r>
      <w:r w:rsidRPr="00CF12C3">
        <w:rPr>
          <w:rFonts w:asciiTheme="minorEastAsia" w:hAnsiTheme="minorEastAsia"/>
          <w:color w:val="000000" w:themeColor="text1"/>
          <w:lang w:eastAsia="zh-TW"/>
        </w:rPr>
        <w:t>而言，本研究尚未完成獨立試編碼，因此不主張其已具編碼者間信度。後續研究應先由作者與至少一位研究生或同儕，抽取</w:t>
      </w:r>
      <w:r w:rsidRPr="00CF12C3">
        <w:rPr>
          <w:rFonts w:asciiTheme="minorEastAsia" w:hAnsiTheme="minorEastAsia"/>
          <w:color w:val="000000" w:themeColor="text1"/>
          <w:lang w:eastAsia="zh-TW"/>
        </w:rPr>
        <w:t>20%</w:t>
      </w:r>
      <w:r w:rsidRPr="00CF12C3">
        <w:rPr>
          <w:rFonts w:asciiTheme="minorEastAsia" w:hAnsiTheme="minorEastAsia"/>
          <w:color w:val="000000" w:themeColor="text1"/>
          <w:lang w:eastAsia="zh-TW"/>
        </w:rPr>
        <w:t>至</w:t>
      </w:r>
      <w:r w:rsidRPr="00CF12C3">
        <w:rPr>
          <w:rFonts w:asciiTheme="minorEastAsia" w:hAnsiTheme="minorEastAsia"/>
          <w:color w:val="000000" w:themeColor="text1"/>
          <w:lang w:eastAsia="zh-TW"/>
        </w:rPr>
        <w:t>30%</w:t>
      </w:r>
      <w:r w:rsidRPr="00CF12C3">
        <w:rPr>
          <w:rFonts w:asciiTheme="minorEastAsia" w:hAnsiTheme="minorEastAsia"/>
          <w:color w:val="000000" w:themeColor="text1"/>
          <w:lang w:eastAsia="zh-TW"/>
        </w:rPr>
        <w:t>文件進行試編碼與規準校準，再依定稿規準獨立重編全體文件；兩位編碼者可報告加權</w:t>
      </w:r>
      <w:r w:rsidRPr="00CF12C3">
        <w:rPr>
          <w:rFonts w:asciiTheme="minorEastAsia" w:hAnsiTheme="minorEastAsia"/>
          <w:color w:val="000000" w:themeColor="text1"/>
          <w:lang w:eastAsia="zh-TW"/>
        </w:rPr>
        <w:t>Cohen’s Kappa</w:t>
      </w:r>
      <w:r w:rsidRPr="00CF12C3">
        <w:rPr>
          <w:rFonts w:asciiTheme="minorEastAsia" w:hAnsiTheme="minorEastAsia"/>
          <w:color w:val="000000" w:themeColor="text1"/>
          <w:lang w:eastAsia="zh-TW"/>
        </w:rPr>
        <w:t>，三位以上則可採</w:t>
      </w:r>
      <w:r w:rsidRPr="00CF12C3">
        <w:rPr>
          <w:rFonts w:asciiTheme="minorEastAsia" w:hAnsiTheme="minorEastAsia"/>
          <w:color w:val="000000" w:themeColor="text1"/>
          <w:lang w:eastAsia="zh-TW"/>
        </w:rPr>
        <w:t>Krippendorff’s Alpha</w:t>
      </w:r>
      <w:r w:rsidRPr="00CF12C3">
        <w:rPr>
          <w:rFonts w:asciiTheme="minorEastAsia" w:hAnsiTheme="minorEastAsia"/>
          <w:color w:val="000000" w:themeColor="text1"/>
          <w:lang w:eastAsia="zh-TW"/>
        </w:rPr>
        <w:t>，並同時揭露各維度分布與歧異處理程序。如此方能判斷表</w:t>
      </w:r>
      <w:r w:rsidRPr="00CF12C3">
        <w:rPr>
          <w:rFonts w:asciiTheme="minorEastAsia" w:hAnsiTheme="minorEastAsia"/>
          <w:color w:val="000000" w:themeColor="text1"/>
          <w:lang w:eastAsia="zh-TW"/>
        </w:rPr>
        <w:t>5</w:t>
      </w:r>
      <w:r w:rsidRPr="00CF12C3">
        <w:rPr>
          <w:rFonts w:asciiTheme="minorEastAsia" w:hAnsiTheme="minorEastAsia"/>
          <w:color w:val="000000" w:themeColor="text1"/>
          <w:lang w:eastAsia="zh-TW"/>
        </w:rPr>
        <w:t>是否足以由概念性分析規準進一步發展為可重複使用的課程盤點工具。</w:t>
      </w:r>
    </w:p>
    <w:p w:rsidR="00A266BB" w:rsidRPr="00CF12C3" w:rsidRDefault="00FB0C44">
      <w:pPr>
        <w:pStyle w:val="1"/>
        <w:rPr>
          <w:rFonts w:asciiTheme="minorEastAsia" w:eastAsiaTheme="minorEastAsia" w:hAnsiTheme="minorEastAsia"/>
          <w:color w:val="000000" w:themeColor="text1"/>
          <w:lang w:eastAsia="zh-TW"/>
        </w:rPr>
      </w:pPr>
      <w:bookmarkStart w:id="48" w:name="參考文獻"/>
      <w:bookmarkEnd w:id="43"/>
      <w:bookmarkEnd w:id="47"/>
      <w:r w:rsidRPr="00CF12C3">
        <w:rPr>
          <w:rFonts w:asciiTheme="minorEastAsia" w:eastAsiaTheme="minorEastAsia" w:hAnsiTheme="minorEastAsia"/>
          <w:color w:val="000000" w:themeColor="text1"/>
          <w:lang w:eastAsia="zh-TW"/>
        </w:rPr>
        <w:t>參考文獻</w:t>
      </w:r>
    </w:p>
    <w:p w:rsidR="00A266BB" w:rsidRPr="00CF12C3" w:rsidRDefault="00FB0C44">
      <w:pPr>
        <w:pStyle w:val="FirstParagraph"/>
        <w:spacing w:line="360" w:lineRule="auto"/>
        <w:ind w:firstLine="431"/>
        <w:rPr>
          <w:rFonts w:asciiTheme="minorEastAsia" w:hAnsiTheme="minorEastAsia"/>
          <w:color w:val="000000" w:themeColor="text1"/>
        </w:rPr>
      </w:pPr>
      <w:r w:rsidRPr="00CF12C3">
        <w:rPr>
          <w:rFonts w:asciiTheme="minorEastAsia" w:hAnsiTheme="minorEastAsia"/>
          <w:color w:val="000000" w:themeColor="text1"/>
          <w:lang w:eastAsia="zh-TW"/>
        </w:rPr>
        <w:t>行政院（</w:t>
      </w:r>
      <w:r w:rsidRPr="00CF12C3">
        <w:rPr>
          <w:rFonts w:asciiTheme="minorEastAsia" w:hAnsiTheme="minorEastAsia"/>
          <w:color w:val="000000" w:themeColor="text1"/>
          <w:lang w:eastAsia="zh-TW"/>
        </w:rPr>
        <w:t>2023</w:t>
      </w:r>
      <w:r w:rsidRPr="00CF12C3">
        <w:rPr>
          <w:rFonts w:asciiTheme="minorEastAsia" w:hAnsiTheme="minorEastAsia"/>
          <w:color w:val="000000" w:themeColor="text1"/>
          <w:lang w:eastAsia="zh-TW"/>
        </w:rPr>
        <w:t>）。行政院及所屬機關（構）使用生成式</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參考指引。</w:t>
      </w:r>
      <w:r w:rsidRPr="00CF12C3">
        <w:rPr>
          <w:rFonts w:asciiTheme="minorEastAsia" w:hAnsiTheme="minorEastAsia"/>
          <w:color w:val="000000" w:themeColor="text1"/>
        </w:rPr>
        <w:t>https://www.ey.gov.tw/Page/448DE008087A1971/40c1a925-121d-4b6b-8f40-7e9e1a5401f2 [Executive Yuan. (2023). Guidelines for the use of generative AI by the Executive Yuan and its subordinate agencies.]</w:t>
      </w:r>
    </w:p>
    <w:p w:rsidR="00A266BB" w:rsidRPr="00CF12C3" w:rsidRDefault="00FB0C44">
      <w:pPr>
        <w:pStyle w:val="a0"/>
        <w:rPr>
          <w:rFonts w:asciiTheme="minorEastAsia" w:hAnsiTheme="minorEastAsia"/>
          <w:color w:val="000000" w:themeColor="text1"/>
          <w:lang w:eastAsia="zh-TW"/>
        </w:rPr>
      </w:pPr>
      <w:bookmarkStart w:id="49" w:name="X51989ab8f9b2f2c1765f4335d89a17c7e54bd22"/>
      <w:bookmarkEnd w:id="48"/>
      <w:r w:rsidRPr="00CF12C3">
        <w:rPr>
          <w:rFonts w:asciiTheme="minorEastAsia" w:hAnsiTheme="minorEastAsia"/>
          <w:color w:val="000000" w:themeColor="text1"/>
          <w:lang w:eastAsia="zh-TW"/>
        </w:rPr>
        <w:t>行政院人事行政總處（</w:t>
      </w:r>
      <w:r w:rsidRPr="00CF12C3">
        <w:rPr>
          <w:rFonts w:asciiTheme="minorEastAsia" w:hAnsiTheme="minorEastAsia"/>
          <w:color w:val="000000" w:themeColor="text1"/>
          <w:lang w:eastAsia="zh-TW"/>
        </w:rPr>
        <w:t>2026</w:t>
      </w:r>
      <w:r w:rsidRPr="00CF12C3">
        <w:rPr>
          <w:rFonts w:asciiTheme="minorEastAsia" w:hAnsiTheme="minorEastAsia"/>
          <w:color w:val="000000" w:themeColor="text1"/>
          <w:lang w:eastAsia="zh-TW"/>
        </w:rPr>
        <w:t>）。有關公務人員每人每年最低學習時數及業務相關學習時數規定。</w:t>
      </w:r>
      <w:r w:rsidRPr="00CF12C3">
        <w:rPr>
          <w:rFonts w:asciiTheme="minorEastAsia" w:hAnsiTheme="minorEastAsia"/>
          <w:color w:val="000000" w:themeColor="text1"/>
          <w:lang w:eastAsia="zh-TW"/>
        </w:rPr>
        <w:t>https:</w:t>
      </w:r>
      <w:r w:rsidRPr="00CF12C3">
        <w:rPr>
          <w:rFonts w:asciiTheme="minorEastAsia" w:hAnsiTheme="minorEastAsia"/>
          <w:color w:val="000000" w:themeColor="text1"/>
          <w:lang w:eastAsia="zh-TW"/>
        </w:rPr>
        <w:t>//www.dgpa.gov.tw/information?pid=12839&amp;uid=104</w:t>
      </w:r>
    </w:p>
    <w:p w:rsidR="00A266BB" w:rsidRPr="00CF12C3" w:rsidRDefault="00FB0C44">
      <w:pPr>
        <w:pStyle w:val="a0"/>
        <w:rPr>
          <w:rFonts w:asciiTheme="minorEastAsia" w:hAnsiTheme="minorEastAsia"/>
          <w:color w:val="000000" w:themeColor="text1"/>
          <w:lang w:eastAsia="zh-TW"/>
        </w:rPr>
      </w:pPr>
      <w:bookmarkStart w:id="50" w:name="X93c3b30fa0cfa06312cd95231e6edc18b77d320"/>
      <w:bookmarkEnd w:id="49"/>
      <w:r w:rsidRPr="00CF12C3">
        <w:rPr>
          <w:rFonts w:asciiTheme="minorEastAsia" w:hAnsiTheme="minorEastAsia"/>
          <w:color w:val="000000" w:themeColor="text1"/>
          <w:lang w:eastAsia="zh-TW"/>
        </w:rPr>
        <w:t>行政院人事行政總處（</w:t>
      </w:r>
      <w:r w:rsidRPr="00CF12C3">
        <w:rPr>
          <w:rFonts w:asciiTheme="minorEastAsia" w:hAnsiTheme="minorEastAsia"/>
          <w:color w:val="000000" w:themeColor="text1"/>
          <w:lang w:eastAsia="zh-TW"/>
        </w:rPr>
        <w:t>2026</w:t>
      </w:r>
      <w:r w:rsidRPr="00CF12C3">
        <w:rPr>
          <w:rFonts w:asciiTheme="minorEastAsia" w:hAnsiTheme="minorEastAsia"/>
          <w:color w:val="000000" w:themeColor="text1"/>
          <w:lang w:eastAsia="zh-TW"/>
        </w:rPr>
        <w:t>）。打造</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公務人才生態系，以</w:t>
      </w:r>
      <w:r w:rsidRPr="00CF12C3">
        <w:rPr>
          <w:rFonts w:asciiTheme="minorEastAsia" w:hAnsiTheme="minorEastAsia"/>
          <w:color w:val="000000" w:themeColor="text1"/>
          <w:lang w:eastAsia="zh-TW"/>
        </w:rPr>
        <w:t>AI</w:t>
      </w:r>
      <w:r w:rsidRPr="00CF12C3">
        <w:rPr>
          <w:rFonts w:asciiTheme="minorEastAsia" w:hAnsiTheme="minorEastAsia"/>
          <w:color w:val="000000" w:themeColor="text1"/>
          <w:lang w:eastAsia="zh-TW"/>
        </w:rPr>
        <w:t>加速培育領航人才。</w:t>
      </w:r>
      <w:r w:rsidRPr="00CF12C3">
        <w:rPr>
          <w:rFonts w:asciiTheme="minorEastAsia" w:hAnsiTheme="minorEastAsia"/>
          <w:color w:val="000000" w:themeColor="text1"/>
          <w:lang w:eastAsia="zh-TW"/>
        </w:rPr>
        <w:t>https://www.dgpa.gov.tw/information?pid=12667&amp;uid=82</w:t>
      </w:r>
    </w:p>
    <w:p w:rsidR="00A266BB" w:rsidRPr="00CF12C3" w:rsidRDefault="00FB0C44">
      <w:pPr>
        <w:pStyle w:val="a0"/>
        <w:rPr>
          <w:rFonts w:asciiTheme="minorEastAsia" w:hAnsiTheme="minorEastAsia"/>
          <w:color w:val="000000" w:themeColor="text1"/>
          <w:lang w:eastAsia="zh-TW"/>
        </w:rPr>
      </w:pPr>
      <w:bookmarkStart w:id="51" w:name="Xb645c3abd43b34bc72a7b7bb5046cdee4241b2c"/>
      <w:bookmarkEnd w:id="50"/>
      <w:r w:rsidRPr="00CF12C3">
        <w:rPr>
          <w:rFonts w:asciiTheme="minorEastAsia" w:hAnsiTheme="minorEastAsia"/>
          <w:color w:val="000000" w:themeColor="text1"/>
          <w:lang w:eastAsia="zh-TW"/>
        </w:rPr>
        <w:t>國立政治大學公共行政學系（</w:t>
      </w:r>
      <w:r w:rsidRPr="00CF12C3">
        <w:rPr>
          <w:rFonts w:asciiTheme="minorEastAsia" w:hAnsiTheme="minorEastAsia"/>
          <w:color w:val="000000" w:themeColor="text1"/>
          <w:lang w:eastAsia="zh-TW"/>
        </w:rPr>
        <w:t>2024</w:t>
      </w:r>
      <w:r w:rsidRPr="00CF12C3">
        <w:rPr>
          <w:rFonts w:asciiTheme="minorEastAsia" w:hAnsiTheme="minorEastAsia"/>
          <w:color w:val="000000" w:themeColor="text1"/>
          <w:lang w:eastAsia="zh-TW"/>
        </w:rPr>
        <w:t>）。學士班專業必修科目表（</w:t>
      </w:r>
      <w:r w:rsidRPr="00CF12C3">
        <w:rPr>
          <w:rFonts w:asciiTheme="minorEastAsia" w:hAnsiTheme="minorEastAsia"/>
          <w:color w:val="000000" w:themeColor="text1"/>
          <w:lang w:eastAsia="zh-TW"/>
        </w:rPr>
        <w:t>113—115</w:t>
      </w:r>
      <w:r w:rsidRPr="00CF12C3">
        <w:rPr>
          <w:rFonts w:asciiTheme="minorEastAsia" w:hAnsiTheme="minorEastAsia"/>
          <w:color w:val="000000" w:themeColor="text1"/>
          <w:lang w:eastAsia="zh-TW"/>
        </w:rPr>
        <w:t>學年度入學學生適用）。</w:t>
      </w:r>
    </w:p>
    <w:p w:rsidR="00A266BB" w:rsidRPr="00CF12C3" w:rsidRDefault="00FB0C44">
      <w:pPr>
        <w:pStyle w:val="a0"/>
        <w:rPr>
          <w:rFonts w:asciiTheme="minorEastAsia" w:hAnsiTheme="minorEastAsia"/>
          <w:color w:val="000000" w:themeColor="text1"/>
          <w:lang w:eastAsia="zh-TW"/>
        </w:rPr>
      </w:pPr>
      <w:bookmarkStart w:id="52" w:name="國立臺北大學公共行政暨政策學系2025114學年度課程規劃與課程地圖"/>
      <w:bookmarkEnd w:id="51"/>
      <w:r w:rsidRPr="00CF12C3">
        <w:rPr>
          <w:rFonts w:asciiTheme="minorEastAsia" w:hAnsiTheme="minorEastAsia"/>
          <w:color w:val="000000" w:themeColor="text1"/>
          <w:lang w:eastAsia="zh-TW"/>
        </w:rPr>
        <w:t>國立臺北大學公共行政暨政策學系（</w:t>
      </w:r>
      <w:r w:rsidRPr="00CF12C3">
        <w:rPr>
          <w:rFonts w:asciiTheme="minorEastAsia" w:hAnsiTheme="minorEastAsia"/>
          <w:color w:val="000000" w:themeColor="text1"/>
          <w:lang w:eastAsia="zh-TW"/>
        </w:rPr>
        <w:t>2025</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114</w:t>
      </w:r>
      <w:r w:rsidRPr="00CF12C3">
        <w:rPr>
          <w:rFonts w:asciiTheme="minorEastAsia" w:hAnsiTheme="minorEastAsia"/>
          <w:color w:val="000000" w:themeColor="text1"/>
          <w:lang w:eastAsia="zh-TW"/>
        </w:rPr>
        <w:t>學年度課程規劃與課程地圖。</w:t>
      </w:r>
    </w:p>
    <w:p w:rsidR="00A266BB" w:rsidRPr="00CF12C3" w:rsidRDefault="00FB0C44">
      <w:pPr>
        <w:pStyle w:val="FirstParagraph"/>
        <w:spacing w:line="360" w:lineRule="auto"/>
        <w:ind w:firstLine="431"/>
        <w:rPr>
          <w:rFonts w:asciiTheme="minorEastAsia" w:hAnsiTheme="minorEastAsia"/>
          <w:color w:val="000000" w:themeColor="text1"/>
        </w:rPr>
      </w:pPr>
      <w:r w:rsidRPr="00CF12C3">
        <w:rPr>
          <w:rFonts w:asciiTheme="minorEastAsia" w:hAnsiTheme="minorEastAsia"/>
          <w:color w:val="000000" w:themeColor="text1"/>
          <w:lang w:eastAsia="zh-TW"/>
        </w:rPr>
        <w:t>盧建旭（1996a）。公共行政學的文獻回顧架構。空大行政學報，5，177–210。 [Lu, J.-S. (1996a). A framework for reviewing the public administration literature. Open Public Administration Journal, 5, 177–210.]</w:t>
      </w:r>
      <w:r w:rsidRPr="00CF12C3">
        <w:rPr>
          <w:rFonts w:asciiTheme="minorEastAsia" w:hAnsiTheme="minorEastAsia"/>
          <w:color w:val="000000" w:themeColor="text1"/>
          <w:lang w:eastAsia="zh-TW"/>
        </w:rPr>
      </w:r>
      <w:r w:rsidRPr="00CF12C3">
        <w:rPr>
          <w:rFonts w:asciiTheme="minorEastAsia" w:hAnsiTheme="minorEastAsia"/>
          <w:color w:val="000000" w:themeColor="text1"/>
          <w:lang w:eastAsia="zh-TW"/>
        </w:rPr>
      </w:r>
      <w:r w:rsidRPr="00CF12C3">
        <w:rPr>
          <w:rFonts w:asciiTheme="minorEastAsia" w:hAnsiTheme="minorEastAsia"/>
          <w:color w:val="000000" w:themeColor="text1"/>
          <w:lang w:eastAsia="zh-TW"/>
        </w:rPr>
      </w:r>
      <w:r w:rsidRPr="00CF12C3">
        <w:rPr>
          <w:rFonts w:asciiTheme="minorEastAsia" w:hAnsiTheme="minorEastAsia"/>
          <w:color w:val="000000" w:themeColor="text1"/>
          <w:lang w:eastAsia="zh-TW"/>
        </w:rPr>
      </w:r>
      <w:r w:rsidRPr="00CF12C3">
        <w:rPr>
          <w:rFonts w:asciiTheme="minorEastAsia" w:hAnsiTheme="minorEastAsia"/>
          <w:color w:val="000000" w:themeColor="text1"/>
          <w:lang w:eastAsia="zh-TW"/>
        </w:rPr>
      </w:r>
      <w:r w:rsidRPr="00CF12C3">
        <w:rPr>
          <w:rFonts w:asciiTheme="minorEastAsia" w:hAnsiTheme="minorEastAsia"/>
          <w:color w:val="000000" w:themeColor="text1"/>
          <w:lang w:eastAsia="zh-TW"/>
        </w:rPr>
      </w:r>
      <w:r w:rsidRPr="00CF12C3">
        <w:rPr>
          <w:rFonts w:asciiTheme="minorEastAsia" w:hAnsiTheme="minorEastAsia"/>
          <w:color w:val="000000" w:themeColor="text1"/>
          <w:lang w:eastAsia="zh-TW"/>
        </w:rPr>
      </w:r>
      <w:r w:rsidRPr="00CF12C3">
        <w:rPr>
          <w:rFonts w:asciiTheme="minorEastAsia" w:hAnsiTheme="minorEastAsia"/>
          <w:color w:val="000000" w:themeColor="text1"/>
        </w:rPr>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盧建旭（1996b）。資訊社會中公共行政的新議題。政治科學論叢，7，231–256。 [Lu, J.-S. (1996b). New issues in public administration in the information society. Taiwanese Journal of Political Science, 7, 231–256.]</w:t>
      </w:r>
      <w:r w:rsidRPr="00CF12C3">
        <w:rPr>
          <w:rFonts w:asciiTheme="minorEastAsia" w:hAnsiTheme="minorEastAsia"/>
          <w:color w:val="000000" w:themeColor="text1"/>
        </w:rPr>
      </w:r>
      <w:r w:rsidRPr="00CF12C3">
        <w:rPr>
          <w:rFonts w:asciiTheme="minorEastAsia" w:hAnsiTheme="minorEastAsia"/>
          <w:color w:val="000000" w:themeColor="text1"/>
        </w:rPr>
      </w:r>
      <w:r w:rsidRPr="00CF12C3">
        <w:rPr>
          <w:rFonts w:asciiTheme="minorEastAsia" w:hAnsiTheme="minorEastAsia"/>
          <w:color w:val="000000" w:themeColor="text1"/>
        </w:rPr>
      </w:r>
      <w:r w:rsidRPr="00CF12C3">
        <w:rPr>
          <w:rFonts w:asciiTheme="minorEastAsia" w:hAnsiTheme="minorEastAsia"/>
          <w:color w:val="000000" w:themeColor="text1"/>
        </w:rPr>
      </w:r>
      <w:r w:rsidRPr="00CF12C3">
        <w:rPr>
          <w:rFonts w:asciiTheme="minorEastAsia" w:hAnsiTheme="minorEastAsia"/>
          <w:color w:val="000000" w:themeColor="text1"/>
        </w:rPr>
      </w:r>
      <w:r w:rsidRPr="00CF12C3">
        <w:rPr>
          <w:rFonts w:asciiTheme="minorEastAsia" w:hAnsiTheme="minorEastAsia"/>
          <w:color w:val="000000" w:themeColor="text1"/>
        </w:rPr>
      </w:r>
      <w:r w:rsidRPr="00CF12C3">
        <w:rPr>
          <w:rFonts w:asciiTheme="minorEastAsia" w:hAnsiTheme="minorEastAsia"/>
          <w:color w:val="000000" w:themeColor="text1"/>
        </w:rPr>
      </w:r>
      <w:r w:rsidRPr="00CF12C3">
        <w:rPr>
          <w:rFonts w:asciiTheme="minorEastAsia" w:hAnsiTheme="minorEastAsia"/>
          <w:color w:val="000000" w:themeColor="text1"/>
        </w:rPr>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盧建旭（1997）。WWW上公共行政資訊的探索之研究。空大行政學報，7，41–66。</w:t>
        <w:br/>
        <w:t>[Lu, J.-S. (1997). An exploratory study of public administration information on the World Wide Web. Open Public Administration Journal, 7, 41–66.]</w:t>
      </w:r>
      <w:r w:rsidRPr="00CF12C3">
        <w:rPr>
          <w:rFonts w:asciiTheme="minorEastAsia" w:hAnsiTheme="minorEastAsia"/>
          <w:color w:val="000000" w:themeColor="text1"/>
        </w:rPr>
      </w:r>
      <w:r w:rsidRPr="00CF12C3">
        <w:rPr>
          <w:rFonts w:asciiTheme="minorEastAsia" w:hAnsiTheme="minorEastAsia"/>
          <w:color w:val="000000" w:themeColor="text1"/>
        </w:rPr>
      </w:r>
      <w:r w:rsidRPr="00CF12C3">
        <w:rPr>
          <w:rFonts w:asciiTheme="minorEastAsia" w:hAnsiTheme="minorEastAsia"/>
          <w:color w:val="000000" w:themeColor="text1"/>
        </w:rPr>
      </w:r>
      <w:r w:rsidRPr="00CF12C3">
        <w:rPr>
          <w:rFonts w:asciiTheme="minorEastAsia" w:hAnsiTheme="minorEastAsia"/>
          <w:color w:val="000000" w:themeColor="text1"/>
        </w:rPr>
      </w:r>
      <w:r w:rsidRPr="00CF12C3">
        <w:rPr>
          <w:rFonts w:asciiTheme="minorEastAsia" w:hAnsiTheme="minorEastAsia"/>
          <w:color w:val="000000" w:themeColor="text1"/>
        </w:rPr>
      </w:r>
      <w:r w:rsidRPr="00CF12C3">
        <w:rPr>
          <w:rFonts w:asciiTheme="minorEastAsia" w:hAnsiTheme="minorEastAsia"/>
          <w:color w:val="000000" w:themeColor="text1"/>
        </w:rPr>
      </w:r>
      <w:r w:rsidRPr="00CF12C3">
        <w:rPr>
          <w:rFonts w:asciiTheme="minorEastAsia" w:hAnsiTheme="minorEastAsia"/>
          <w:color w:val="000000" w:themeColor="text1"/>
        </w:rPr>
      </w:r>
      <w:r w:rsidRPr="00CF12C3">
        <w:rPr>
          <w:rFonts w:asciiTheme="minorEastAsia" w:hAnsiTheme="minorEastAsia"/>
          <w:color w:val="000000" w:themeColor="text1"/>
        </w:rPr>
      </w:r>
      <w:r w:rsidRPr="00CF12C3">
        <w:rPr>
          <w:rFonts w:asciiTheme="minorEastAsia" w:hAnsiTheme="minorEastAsia"/>
          <w:color w:val="000000" w:themeColor="text1"/>
        </w:rPr>
      </w:r>
      <w:r w:rsidRPr="00CF12C3">
        <w:rPr>
          <w:rFonts w:asciiTheme="minorEastAsia" w:hAnsiTheme="minorEastAsia"/>
          <w:color w:val="000000" w:themeColor="text1"/>
        </w:rPr>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盧建旭（2009）。公務倫理：整合公共治理的概念。文官制度季刊，考試院八十周年慶特刊，39–53。</w:t>
        <w:br/>
        <w:t>[Lu, J.-S. (2009). Public service ethics: A concept of integrated public governance. Journal of Civil Service, Special Issue for the 80th Anniversary of the Examination Yuan, 39–53.]</w:t>
      </w:r>
      <w:r w:rsidRPr="00CF12C3">
        <w:rPr>
          <w:rFonts w:asciiTheme="minorEastAsia" w:hAnsiTheme="minorEastAsia"/>
          <w:color w:val="000000" w:themeColor="text1"/>
        </w:rPr>
      </w:r>
      <w:r w:rsidRPr="00CF12C3">
        <w:rPr>
          <w:rFonts w:asciiTheme="minorEastAsia" w:hAnsiTheme="minorEastAsia"/>
          <w:color w:val="000000" w:themeColor="text1"/>
        </w:rPr>
      </w:r>
      <w:r w:rsidRPr="00CF12C3">
        <w:rPr>
          <w:rFonts w:asciiTheme="minorEastAsia" w:hAnsiTheme="minorEastAsia"/>
          <w:color w:val="000000" w:themeColor="text1"/>
        </w:rPr>
      </w:r>
      <w:r w:rsidRPr="00CF12C3">
        <w:rPr>
          <w:rFonts w:asciiTheme="minorEastAsia" w:hAnsiTheme="minorEastAsia"/>
          <w:color w:val="000000" w:themeColor="text1"/>
        </w:rPr>
      </w:r>
      <w:r w:rsidRPr="00CF12C3">
        <w:rPr>
          <w:rFonts w:asciiTheme="minorEastAsia" w:hAnsiTheme="minorEastAsia"/>
          <w:color w:val="000000" w:themeColor="text1"/>
        </w:rPr>
      </w:r>
      <w:r w:rsidRPr="00CF12C3">
        <w:rPr>
          <w:rFonts w:asciiTheme="minorEastAsia" w:hAnsiTheme="minorEastAsia"/>
          <w:color w:val="000000" w:themeColor="text1"/>
        </w:rPr>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lang w:eastAsia="zh-TW"/>
        </w:rPr>
        <w:t>盧建旭（2026）。重新概念化人工智慧治理：公共行政理論視角下的二十五治理座標、三種行政權力功能性移轉、三項結構效應、四條治理鏈與七項治理審計。個人學術網站研究稿。 [Lu, J.-S. (2026). Reconceptualizing AI governance: Twenty-five governance coordinates, three functional transfers of administrative power, three structural effects, four governance chains, and seven governance audits. Personal academic website research paper.]</w:t>
      </w:r>
      <w:r w:rsidRPr="00CF12C3">
        <w:rPr>
          <w:rFonts w:asciiTheme="minorEastAsia" w:hAnsiTheme="minorEastAsia"/>
          <w:color w:val="000000" w:themeColor="text1"/>
          <w:lang w:eastAsia="zh-TW"/>
        </w:rPr>
      </w:r>
      <w:r w:rsidRPr="00CF12C3">
        <w:rPr>
          <w:rFonts w:asciiTheme="minorEastAsia" w:hAnsiTheme="minorEastAsia"/>
          <w:color w:val="000000" w:themeColor="text1"/>
          <w:lang w:eastAsia="zh-TW"/>
        </w:rPr>
      </w:r>
      <w:r w:rsidRPr="00CF12C3">
        <w:rPr>
          <w:rFonts w:asciiTheme="minorEastAsia" w:hAnsiTheme="minorEastAsia"/>
          <w:color w:val="000000" w:themeColor="text1"/>
          <w:lang w:eastAsia="zh-TW"/>
        </w:rPr>
      </w:r>
      <w:r w:rsidRPr="00CF12C3">
        <w:rPr>
          <w:rFonts w:asciiTheme="minorEastAsia" w:hAnsiTheme="minorEastAsia"/>
          <w:color w:val="000000" w:themeColor="text1"/>
        </w:rPr>
      </w:r>
      <w:r w:rsidRPr="00CF12C3">
        <w:rPr>
          <w:rFonts w:asciiTheme="minorEastAsia" w:hAnsiTheme="minorEastAsia"/>
          <w:color w:val="000000" w:themeColor="text1"/>
        </w:rPr>
      </w:r>
    </w:p>
    <w:p w:rsidR="00A266BB" w:rsidRPr="00CF12C3" w:rsidRDefault="00FB0C44">
      <w:pPr>
        <w:pStyle w:val="a0"/>
        <w:rPr>
          <w:rFonts w:asciiTheme="minorEastAsia" w:hAnsiTheme="minorEastAsia"/>
          <w:color w:val="000000" w:themeColor="text1"/>
          <w:lang w:eastAsia="zh-TW"/>
        </w:rPr>
      </w:pPr>
      <w:r w:rsidRPr="00CF12C3">
        <w:rPr>
          <w:rFonts w:asciiTheme="minorEastAsia" w:hAnsiTheme="minorEastAsia"/>
          <w:color w:val="000000" w:themeColor="text1"/>
        </w:rPr>
        <w:t>黃心怡、曾冠球、廖洲棚、陳敦源（</w:t>
      </w:r>
      <w:r w:rsidRPr="00CF12C3">
        <w:rPr>
          <w:rFonts w:asciiTheme="minorEastAsia" w:hAnsiTheme="minorEastAsia"/>
          <w:color w:val="000000" w:themeColor="text1"/>
        </w:rPr>
        <w:t>2021</w:t>
      </w:r>
      <w:r w:rsidRPr="00CF12C3">
        <w:rPr>
          <w:rFonts w:asciiTheme="minorEastAsia" w:hAnsiTheme="minorEastAsia"/>
          <w:color w:val="000000" w:themeColor="text1"/>
        </w:rPr>
        <w:t>）。當人工智慧進入政府：公共行政理論對</w:t>
      </w:r>
      <w:r w:rsidRPr="00CF12C3">
        <w:rPr>
          <w:rFonts w:asciiTheme="minorEastAsia" w:hAnsiTheme="minorEastAsia"/>
          <w:color w:val="000000" w:themeColor="text1"/>
        </w:rPr>
        <w:t>AI</w:t>
      </w:r>
      <w:r w:rsidRPr="00CF12C3">
        <w:rPr>
          <w:rFonts w:asciiTheme="minorEastAsia" w:hAnsiTheme="minorEastAsia"/>
          <w:color w:val="000000" w:themeColor="text1"/>
        </w:rPr>
        <w:t>運用的反思。</w:t>
      </w:r>
      <w:r w:rsidRPr="00CF12C3">
        <w:rPr>
          <w:rFonts w:asciiTheme="minorEastAsia" w:hAnsiTheme="minorEastAsia"/>
          <w:color w:val="000000" w:themeColor="text1"/>
          <w:lang w:eastAsia="zh-TW"/>
        </w:rPr>
        <w:t>文官制度，</w:t>
      </w:r>
      <w:r w:rsidRPr="00CF12C3">
        <w:rPr>
          <w:rFonts w:asciiTheme="minorEastAsia" w:hAnsiTheme="minorEastAsia"/>
          <w:color w:val="000000" w:themeColor="text1"/>
          <w:lang w:eastAsia="zh-TW"/>
        </w:rPr>
        <w:t>13</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2</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91–114</w:t>
      </w:r>
      <w:r w:rsidRPr="00CF12C3">
        <w:rPr>
          <w:rFonts w:asciiTheme="minorEastAsia" w:hAnsiTheme="minorEastAsia"/>
          <w:color w:val="000000" w:themeColor="text1"/>
          <w:lang w:eastAsia="zh-TW"/>
        </w:rPr>
        <w:t>。</w:t>
      </w:r>
    </w:p>
    <w:p w:rsidR="00A266BB" w:rsidRPr="00CF12C3" w:rsidRDefault="00FB0C44">
      <w:pPr>
        <w:pStyle w:val="a0"/>
        <w:rPr>
          <w:rFonts w:asciiTheme="minorEastAsia" w:hAnsiTheme="minorEastAsia"/>
          <w:color w:val="000000" w:themeColor="text1"/>
          <w:lang w:eastAsia="zh-TW"/>
        </w:rPr>
      </w:pPr>
      <w:r w:rsidRPr="00CF12C3">
        <w:rPr>
          <w:rFonts w:asciiTheme="minorEastAsia" w:hAnsiTheme="minorEastAsia"/>
          <w:color w:val="000000" w:themeColor="text1"/>
          <w:lang w:eastAsia="zh-TW"/>
        </w:rPr>
        <w:t>黃心怡、陳敦源（</w:t>
      </w:r>
      <w:r w:rsidRPr="00CF12C3">
        <w:rPr>
          <w:rFonts w:asciiTheme="minorEastAsia" w:hAnsiTheme="minorEastAsia"/>
          <w:color w:val="000000" w:themeColor="text1"/>
          <w:lang w:eastAsia="zh-TW"/>
        </w:rPr>
        <w:t>2023</w:t>
      </w:r>
      <w:r w:rsidRPr="00CF12C3">
        <w:rPr>
          <w:rFonts w:asciiTheme="minorEastAsia" w:hAnsiTheme="minorEastAsia"/>
          <w:color w:val="000000" w:themeColor="text1"/>
          <w:lang w:eastAsia="zh-TW"/>
        </w:rPr>
        <w:t>）。人工智慧協作下的公共行政研究：對公部門組織議題的多層次反思。政治科學論叢，</w:t>
      </w:r>
      <w:r w:rsidRPr="00CF12C3">
        <w:rPr>
          <w:rFonts w:asciiTheme="minorEastAsia" w:hAnsiTheme="minorEastAsia"/>
          <w:color w:val="000000" w:themeColor="text1"/>
          <w:lang w:eastAsia="zh-TW"/>
        </w:rPr>
        <w:t>96</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139–178</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https://doi.org/10.6</w:t>
      </w:r>
      <w:r w:rsidRPr="00CF12C3">
        <w:rPr>
          <w:rFonts w:asciiTheme="minorEastAsia" w:hAnsiTheme="minorEastAsia"/>
          <w:color w:val="000000" w:themeColor="text1"/>
          <w:lang w:eastAsia="zh-TW"/>
        </w:rPr>
        <w:t>166/TJPS.202306_(96).0004</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lang w:eastAsia="zh-TW"/>
        </w:rPr>
        <w:t>廖興中（</w:t>
      </w:r>
      <w:r w:rsidRPr="00CF12C3">
        <w:rPr>
          <w:rFonts w:asciiTheme="minorEastAsia" w:hAnsiTheme="minorEastAsia"/>
          <w:color w:val="000000" w:themeColor="text1"/>
          <w:lang w:eastAsia="zh-TW"/>
        </w:rPr>
        <w:t>2024</w:t>
      </w:r>
      <w:r w:rsidRPr="00CF12C3">
        <w:rPr>
          <w:rFonts w:asciiTheme="minorEastAsia" w:hAnsiTheme="minorEastAsia"/>
          <w:color w:val="000000" w:themeColor="text1"/>
          <w:lang w:eastAsia="zh-TW"/>
        </w:rPr>
        <w:t>）。人工智慧在公共行政的機會與挑戰。文官制度，</w:t>
      </w:r>
      <w:r w:rsidRPr="00CF12C3">
        <w:rPr>
          <w:rFonts w:asciiTheme="minorEastAsia" w:hAnsiTheme="minorEastAsia"/>
          <w:color w:val="000000" w:themeColor="text1"/>
          <w:lang w:eastAsia="zh-TW"/>
        </w:rPr>
        <w:t>16</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2</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1–19</w:t>
      </w:r>
      <w:r w:rsidRPr="00CF12C3">
        <w:rPr>
          <w:rFonts w:asciiTheme="minorEastAsia" w:hAnsiTheme="minorEastAsia"/>
          <w:color w:val="000000" w:themeColor="text1"/>
          <w:lang w:eastAsia="zh-TW"/>
        </w:rPr>
        <w:t>。</w:t>
      </w:r>
      <w:r w:rsidRPr="00CF12C3">
        <w:rPr>
          <w:rFonts w:asciiTheme="minorEastAsia" w:hAnsiTheme="minorEastAsia"/>
          <w:color w:val="000000" w:themeColor="text1"/>
          <w:lang w:eastAsia="zh-TW"/>
        </w:rPr>
        <w:t xml:space="preserve"> </w:t>
      </w:r>
      <w:r w:rsidRPr="00CF12C3">
        <w:rPr>
          <w:rFonts w:asciiTheme="minorEastAsia" w:hAnsiTheme="minorEastAsia"/>
          <w:color w:val="000000" w:themeColor="text1"/>
        </w:rPr>
        <w:t>[Liao, H.-C. (2024). Opportunities and challenges of AI in public administration. Journal of Civil Service, 16(2), 1–19.]</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蕭乃沂、朱斌妤（</w:t>
      </w:r>
      <w:r w:rsidRPr="00CF12C3">
        <w:rPr>
          <w:rFonts w:asciiTheme="minorEastAsia" w:hAnsiTheme="minorEastAsia"/>
          <w:color w:val="000000" w:themeColor="text1"/>
        </w:rPr>
        <w:t>2022</w:t>
      </w:r>
      <w:r w:rsidRPr="00CF12C3">
        <w:rPr>
          <w:rFonts w:asciiTheme="minorEastAsia" w:hAnsiTheme="minorEastAsia"/>
          <w:color w:val="000000" w:themeColor="text1"/>
        </w:rPr>
        <w:t>）。數位發展與文官制度調適：以資料治理為例。文官制度，</w:t>
      </w:r>
      <w:r w:rsidRPr="00CF12C3">
        <w:rPr>
          <w:rFonts w:asciiTheme="minorEastAsia" w:hAnsiTheme="minorEastAsia"/>
          <w:color w:val="000000" w:themeColor="text1"/>
        </w:rPr>
        <w:t>14</w:t>
      </w:r>
      <w:r w:rsidRPr="00CF12C3">
        <w:rPr>
          <w:rFonts w:asciiTheme="minorEastAsia" w:hAnsiTheme="minorEastAsia"/>
          <w:color w:val="000000" w:themeColor="text1"/>
        </w:rPr>
        <w:t>（</w:t>
      </w:r>
      <w:r w:rsidRPr="00CF12C3">
        <w:rPr>
          <w:rFonts w:asciiTheme="minorEastAsia" w:hAnsiTheme="minorEastAsia"/>
          <w:color w:val="000000" w:themeColor="text1"/>
        </w:rPr>
        <w:t>1</w:t>
      </w:r>
      <w:r w:rsidRPr="00CF12C3">
        <w:rPr>
          <w:rFonts w:asciiTheme="minorEastAsia" w:hAnsiTheme="minorEastAsia"/>
          <w:color w:val="000000" w:themeColor="text1"/>
        </w:rPr>
        <w:t>），</w:t>
      </w:r>
      <w:r w:rsidRPr="00CF12C3">
        <w:rPr>
          <w:rFonts w:asciiTheme="minorEastAsia" w:hAnsiTheme="minorEastAsia"/>
          <w:color w:val="000000" w:themeColor="text1"/>
        </w:rPr>
        <w:t>1–24</w:t>
      </w:r>
      <w:r w:rsidRPr="00CF12C3">
        <w:rPr>
          <w:rFonts w:asciiTheme="minorEastAsia" w:hAnsiTheme="minorEastAsia"/>
          <w:color w:val="000000" w:themeColor="text1"/>
        </w:rPr>
        <w:t>。</w:t>
      </w:r>
      <w:r w:rsidRPr="00CF12C3">
        <w:rPr>
          <w:rFonts w:asciiTheme="minorEastAsia" w:hAnsiTheme="minorEastAsia"/>
          <w:color w:val="000000" w:themeColor="text1"/>
        </w:rPr>
        <w:t xml:space="preserve"> [Hsiao, N., &amp; </w:t>
      </w:r>
      <w:r w:rsidRPr="00CF12C3">
        <w:rPr>
          <w:rFonts w:asciiTheme="minorEastAsia" w:hAnsiTheme="minorEastAsia"/>
          <w:color w:val="000000" w:themeColor="text1"/>
        </w:rPr>
        <w:t>Chu, P.-Y. (2022). Digital development and civil service system adjustment: A case study on data governance. Journal of Civil Service, 14(1), 1–24.]</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Allegheny County Department of Human Services. (2017). Developing predictive risk models to support child m</w:t>
      </w:r>
      <w:r w:rsidRPr="00CF12C3">
        <w:rPr>
          <w:rFonts w:asciiTheme="minorEastAsia" w:hAnsiTheme="minorEastAsia"/>
          <w:color w:val="000000" w:themeColor="text1"/>
        </w:rPr>
        <w:t>altreatment hotline screening decisions. https://analytics.alleghenycounty.us/wp-content/uploads/2017/04/Developing-Predictive-Risk-Models-package-with-cover-1-to-post-1.pdf</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 xml:space="preserve">Allegheny County Department of Human Services. (2018). Allegheny Family Screening </w:t>
      </w:r>
      <w:r w:rsidRPr="00CF12C3">
        <w:rPr>
          <w:rFonts w:asciiTheme="minorEastAsia" w:hAnsiTheme="minorEastAsia"/>
          <w:color w:val="000000" w:themeColor="text1"/>
        </w:rPr>
        <w:t>Tool: Frequently asked questions. https://analytics.alleghenycounty.us/wp-content/uploads/2018/10/17-ACDHS-11_AFST_102518.pdf</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Angwin, J., Larson, J., Mattu, S., &amp; Kirchner, L. (2016). Machine bias: There’s software used across the country to predict future</w:t>
      </w:r>
      <w:r w:rsidRPr="00CF12C3">
        <w:rPr>
          <w:rFonts w:asciiTheme="minorEastAsia" w:hAnsiTheme="minorEastAsia"/>
          <w:color w:val="000000" w:themeColor="text1"/>
        </w:rPr>
        <w:t xml:space="preserve"> criminals. And it’s biased against blacks. ProPublica. https://www.propublica.org/article/machine-bias-risk-assessments-in-criminal-sentencing</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lastRenderedPageBreak/>
        <w:t>Bovens, M., &amp; Zouridis, S. (2002). From street-level to system-level bureaucracies: How information technology i</w:t>
      </w:r>
      <w:r w:rsidRPr="00CF12C3">
        <w:rPr>
          <w:rFonts w:asciiTheme="minorEastAsia" w:hAnsiTheme="minorEastAsia"/>
          <w:color w:val="000000" w:themeColor="text1"/>
        </w:rPr>
        <w:t>s transforming administrative discretion. Public Administration Review, 62(2), 174–184.</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Busuioc, M. (2021). Accountable artificial intelligence: Holding algorithms to account in public administration. Public Administration Review, 81(5), 825–836.</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Cleveland</w:t>
      </w:r>
      <w:r w:rsidRPr="00CF12C3">
        <w:rPr>
          <w:rFonts w:asciiTheme="minorEastAsia" w:hAnsiTheme="minorEastAsia"/>
          <w:color w:val="000000" w:themeColor="text1"/>
        </w:rPr>
        <w:t>, H. (1985). The twilight of hierarchy: Speculations on the global information society. Public Administration Review, 45(1), 185–195.</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Cobbe, J., Lee, M. S. A., &amp; Singh, J. (2021). Reviewable automated decision-making: A framework for accountable algorithmi</w:t>
      </w:r>
      <w:r w:rsidRPr="00CF12C3">
        <w:rPr>
          <w:rFonts w:asciiTheme="minorEastAsia" w:hAnsiTheme="minorEastAsia"/>
          <w:color w:val="000000" w:themeColor="text1"/>
        </w:rPr>
        <w:t>c systems. Proceedings of the 2021 ACM Conference on Fairness, Accountability, and Transparency, 598–609. https://doi.org/10.1145/3442188.3445921</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Cobbe, J., Veale, M., &amp; Singh, J. (2023). Understanding accountability in algorithmic supply chains. Proceedin</w:t>
      </w:r>
      <w:r w:rsidRPr="00CF12C3">
        <w:rPr>
          <w:rFonts w:asciiTheme="minorEastAsia" w:hAnsiTheme="minorEastAsia"/>
          <w:color w:val="000000" w:themeColor="text1"/>
        </w:rPr>
        <w:t>gs of the 2023 ACM Conference on Fairness, Accountability, and Transparency, 1186–1197. https://doi.org/10.1145/3593013.3594073</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 xml:space="preserve">Dressel, J., &amp; Farid, H. (2018). The accuracy, fairness, and limits of predicting recidivism. Science Advances, 4(1), eaao5580. </w:t>
      </w:r>
      <w:r w:rsidRPr="00CF12C3">
        <w:rPr>
          <w:rFonts w:asciiTheme="minorEastAsia" w:hAnsiTheme="minorEastAsia"/>
          <w:color w:val="000000" w:themeColor="text1"/>
        </w:rPr>
        <w:t>https://doi.org/10.1126/sciadv.aao5580</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Dunleavy, P., &amp; Margetts, H. (2023). Data science, artificial intelligence and the third wave of digital era governance. Public Policy and Administration, 40(2), 185–214. https://doi.org/10.1177/09520767231198737</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Euro</w:t>
      </w:r>
      <w:r w:rsidRPr="00CF12C3">
        <w:rPr>
          <w:rFonts w:asciiTheme="minorEastAsia" w:hAnsiTheme="minorEastAsia"/>
          <w:color w:val="000000" w:themeColor="text1"/>
        </w:rPr>
        <w:t>pean Union. (2024). Regulation (EU) 2024/1689 of the European Parliament and of the Council of 13 June 2024 laying down harmonised rules on artificial intelligence (Artificial Intelligence Act). Official Journal of the European Union. https://eur-lex.europ</w:t>
      </w:r>
      <w:r w:rsidRPr="00CF12C3">
        <w:rPr>
          <w:rFonts w:asciiTheme="minorEastAsia" w:hAnsiTheme="minorEastAsia"/>
          <w:color w:val="000000" w:themeColor="text1"/>
        </w:rPr>
        <w:t>a.eu/eli/reg/2024/1689/oj</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Gasser, U., &amp; Almeida, V. A. F. (2017). A layered model for AI governance. IEEE Internet Computing, 21(6), 58–62. https://doi.org/10.1109/MIC.2017.4180835</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Grimmelikhuijsen, S., &amp; Meijer, A. (2022). Legitimacy of algorithmic decisi</w:t>
      </w:r>
      <w:r w:rsidRPr="00CF12C3">
        <w:rPr>
          <w:rFonts w:asciiTheme="minorEastAsia" w:hAnsiTheme="minorEastAsia"/>
          <w:color w:val="000000" w:themeColor="text1"/>
        </w:rPr>
        <w:t>on-making: Six threats and the need for a calibrated institutional response. Perspectives on Public Management and Governance, 5(3), 232–242. https://doi.org/10.1093/ppmgov/gvac008</w:t>
      </w:r>
    </w:p>
    <w:p w:rsidR="00A266BB" w:rsidRPr="00CF12C3" w:rsidRDefault="00FB0C44">
      <w:pPr>
        <w:pStyle w:val="a0"/>
        <w:rPr>
          <w:rFonts w:asciiTheme="minorEastAsia" w:hAnsiTheme="minorEastAsia"/>
          <w:color w:val="000000" w:themeColor="text1"/>
        </w:rPr>
      </w:pPr>
      <w:bookmarkStart w:id="53" w:name="X8400c1de7b3215c535af02f1dc6a3e7c28c6cc0"/>
      <w:bookmarkEnd w:id="52"/>
      <w:r w:rsidRPr="00CF12C3">
        <w:rPr>
          <w:rFonts w:asciiTheme="minorEastAsia" w:hAnsiTheme="minorEastAsia"/>
          <w:color w:val="000000" w:themeColor="text1"/>
        </w:rPr>
        <w:t>Huang, H., Chen, D.-Y., &amp; Chen, Y.-H. (2025). Can digital governance traini</w:t>
      </w:r>
      <w:r w:rsidRPr="00CF12C3">
        <w:rPr>
          <w:rFonts w:asciiTheme="minorEastAsia" w:hAnsiTheme="minorEastAsia"/>
          <w:color w:val="000000" w:themeColor="text1"/>
        </w:rPr>
        <w:t>ng harmonize civil servants’ perceptions of AI decision-making? A pre- and post-test design. Information Polity. Advance online publication. https://doi.org/10.1177/15701255251375826</w:t>
      </w:r>
    </w:p>
    <w:p w:rsidR="00A266BB" w:rsidRPr="00CF12C3" w:rsidRDefault="00FB0C44">
      <w:pPr>
        <w:pStyle w:val="FirstParagraph"/>
        <w:spacing w:line="360" w:lineRule="auto"/>
        <w:ind w:firstLine="431"/>
        <w:rPr>
          <w:rFonts w:asciiTheme="minorEastAsia" w:hAnsiTheme="minorEastAsia"/>
          <w:color w:val="000000" w:themeColor="text1"/>
        </w:rPr>
      </w:pPr>
      <w:r w:rsidRPr="00CF12C3">
        <w:rPr>
          <w:rFonts w:asciiTheme="minorEastAsia" w:hAnsiTheme="minorEastAsia"/>
          <w:color w:val="000000" w:themeColor="text1"/>
        </w:rPr>
        <w:t>Janssen, M. (2025). Responsible governance of generative AI: Conceptualiz</w:t>
      </w:r>
      <w:r w:rsidRPr="00CF12C3">
        <w:rPr>
          <w:rFonts w:asciiTheme="minorEastAsia" w:hAnsiTheme="minorEastAsia"/>
          <w:color w:val="000000" w:themeColor="text1"/>
        </w:rPr>
        <w:t>ing GenAI as complex adaptive systems. Policy and Society, 44(1), 38–51. https://doi.org/10.1093/polsoc/puae040</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lastRenderedPageBreak/>
        <w:t>Lipsky, M. (1980). Street-level bureaucracy: Dilemmas of the individual in public services. Russell Sage Foundation.</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 xml:space="preserve">Mökander, J., Schuett, J., </w:t>
      </w:r>
      <w:r w:rsidRPr="00CF12C3">
        <w:rPr>
          <w:rFonts w:asciiTheme="minorEastAsia" w:hAnsiTheme="minorEastAsia"/>
          <w:color w:val="000000" w:themeColor="text1"/>
        </w:rPr>
        <w:t>Kirk, H. R., &amp; Floridi, L. (2024). Auditing large language models: A three-layered approach. AI and Ethics, 4, 1085–1115. https://doi.org/10.1007/s43681-023-00289-2</w:t>
      </w:r>
    </w:p>
    <w:p w:rsidR="00A266BB" w:rsidRPr="00CF12C3" w:rsidRDefault="00FB0C44">
      <w:pPr>
        <w:pStyle w:val="a0"/>
        <w:rPr>
          <w:rFonts w:asciiTheme="minorEastAsia" w:hAnsiTheme="minorEastAsia"/>
          <w:color w:val="000000" w:themeColor="text1"/>
        </w:rPr>
      </w:pPr>
      <w:bookmarkStart w:id="54" w:name="X28465eef896962101272aa66c67f347b97b8d59"/>
      <w:bookmarkEnd w:id="53"/>
      <w:r w:rsidRPr="00CF12C3">
        <w:rPr>
          <w:rFonts w:asciiTheme="minorEastAsia" w:hAnsiTheme="minorEastAsia"/>
          <w:color w:val="000000" w:themeColor="text1"/>
        </w:rPr>
        <w:t>Network of Schools of Public Policy, Affairs, and Administration. (2024). Accreditation sta</w:t>
      </w:r>
      <w:r w:rsidRPr="00CF12C3">
        <w:rPr>
          <w:rFonts w:asciiTheme="minorEastAsia" w:hAnsiTheme="minorEastAsia"/>
          <w:color w:val="000000" w:themeColor="text1"/>
        </w:rPr>
        <w:t>ndards for professional master’s degree programs in public affairs, policy, and administration.</w:t>
      </w:r>
    </w:p>
    <w:p w:rsidR="00A266BB" w:rsidRPr="00CF12C3" w:rsidRDefault="00FB0C44">
      <w:pPr>
        <w:pStyle w:val="a0"/>
        <w:rPr>
          <w:rFonts w:asciiTheme="minorEastAsia" w:hAnsiTheme="minorEastAsia"/>
          <w:color w:val="000000" w:themeColor="text1"/>
        </w:rPr>
      </w:pPr>
      <w:bookmarkStart w:id="55" w:name="Xec0d411a3bbff5d893a71ba5816ddcc485ae1b2"/>
      <w:bookmarkEnd w:id="54"/>
      <w:r w:rsidRPr="00CF12C3">
        <w:rPr>
          <w:rFonts w:asciiTheme="minorEastAsia" w:hAnsiTheme="minorEastAsia"/>
          <w:color w:val="000000" w:themeColor="text1"/>
        </w:rPr>
        <w:t>NIST. (2023). Artificial intelligence risk management framework (AI RMF 1.0) (NIST AI 100-1). National Institute of Standards and Technology. https://doi.org/10</w:t>
      </w:r>
      <w:r w:rsidRPr="00CF12C3">
        <w:rPr>
          <w:rFonts w:asciiTheme="minorEastAsia" w:hAnsiTheme="minorEastAsia"/>
          <w:color w:val="000000" w:themeColor="text1"/>
        </w:rPr>
        <w:t>.6028/NIST.AI.100-1</w:t>
      </w:r>
    </w:p>
    <w:p w:rsidR="00A266BB" w:rsidRPr="00CF12C3" w:rsidRDefault="00FB0C44">
      <w:pPr>
        <w:pStyle w:val="a0"/>
        <w:rPr>
          <w:rFonts w:asciiTheme="minorEastAsia" w:hAnsiTheme="minorEastAsia"/>
          <w:color w:val="000000" w:themeColor="text1"/>
        </w:rPr>
      </w:pPr>
      <w:bookmarkStart w:id="56" w:name="X0176b99c1adaeb7665b99ac27daed86d08ba5ec"/>
      <w:bookmarkEnd w:id="55"/>
      <w:r w:rsidRPr="00CF12C3">
        <w:rPr>
          <w:rFonts w:asciiTheme="minorEastAsia" w:hAnsiTheme="minorEastAsia"/>
          <w:color w:val="000000" w:themeColor="text1"/>
        </w:rPr>
        <w:t>NIST. (2024). Artificial intelligence risk management framework: Generative artificial intelligence profile (NIST AI 600-1). National Institute of Standards and Technology. https://doi.org/10.6028/NIST.AI.600-1</w:t>
      </w:r>
    </w:p>
    <w:p w:rsidR="00A266BB" w:rsidRPr="00CF12C3" w:rsidRDefault="00FB0C44">
      <w:pPr>
        <w:pStyle w:val="FirstParagraph"/>
        <w:spacing w:line="360" w:lineRule="auto"/>
        <w:ind w:firstLine="431"/>
        <w:rPr>
          <w:rFonts w:asciiTheme="minorEastAsia" w:hAnsiTheme="minorEastAsia"/>
          <w:color w:val="000000" w:themeColor="text1"/>
        </w:rPr>
      </w:pPr>
      <w:r w:rsidRPr="00CF12C3">
        <w:rPr>
          <w:rFonts w:asciiTheme="minorEastAsia" w:hAnsiTheme="minorEastAsia"/>
          <w:color w:val="000000" w:themeColor="text1"/>
        </w:rPr>
        <w:t>OECD. (2025). AI in publi</w:t>
      </w:r>
      <w:r w:rsidRPr="00CF12C3">
        <w:rPr>
          <w:rFonts w:asciiTheme="minorEastAsia" w:hAnsiTheme="minorEastAsia"/>
          <w:color w:val="000000" w:themeColor="text1"/>
        </w:rPr>
        <w:t>c financial management: Governing with artificial intelligence. OECD Publishing. https://www.oecd.org/en/publications/2025/06/governing-with-artificial-intelligence_398fa287/full-report/ai-in-public-financial-management_8089f818.html</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O’Neil, C. (2016). Wea</w:t>
      </w:r>
      <w:r w:rsidRPr="00CF12C3">
        <w:rPr>
          <w:rFonts w:asciiTheme="minorEastAsia" w:hAnsiTheme="minorEastAsia"/>
          <w:color w:val="000000" w:themeColor="text1"/>
        </w:rPr>
        <w:t>pons of math destruction: How big data increases inequality and threatens democracy. Crown Publishing.</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Raji, I. D., Smart, A., White, R. N., Mitchell, M., Gebru, T., Hutchinson, B., Smith-Loud, J., Theron, D., &amp; Barnes, P. (2020). Closing the AI accountabi</w:t>
      </w:r>
      <w:r w:rsidRPr="00CF12C3">
        <w:rPr>
          <w:rFonts w:asciiTheme="minorEastAsia" w:hAnsiTheme="minorEastAsia"/>
          <w:color w:val="000000" w:themeColor="text1"/>
        </w:rPr>
        <w:t>lity gap: Defining an end-to-end framework for internal algorithmic auditing. Proceedings of the 2020 Conference on Fairness, Accountability, and Transparency, 33–44. https://doi.org/10.1145/3351095.3372873</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Romzek, B. S., &amp; Dubnick, M. J. (1987). Accountability in the public sector: Lessons from the Challenger tragedy. Public Administration Review, 47(3), 227–238.</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Selbst, A. D., boyd, d., Friedler, S. A., Venkatasubramanian, S., &amp; Vertesi, J. (2019). Fairness</w:t>
      </w:r>
      <w:r w:rsidRPr="00CF12C3">
        <w:rPr>
          <w:rFonts w:asciiTheme="minorEastAsia" w:hAnsiTheme="minorEastAsia"/>
          <w:color w:val="000000" w:themeColor="text1"/>
        </w:rPr>
        <w:t xml:space="preserve"> and abstraction in sociotechnical systems. Proceedings of the Conference on Fairness, Accountability, and Transparency, 59–68. https://doi.org/10.1145/3287560.3287598</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Teece, D. J., Pisano, G., &amp; Shuen, A. (1997). Dynamic capabilities and strategic managem</w:t>
      </w:r>
      <w:r w:rsidRPr="00CF12C3">
        <w:rPr>
          <w:rFonts w:asciiTheme="minorEastAsia" w:hAnsiTheme="minorEastAsia"/>
          <w:color w:val="000000" w:themeColor="text1"/>
        </w:rPr>
        <w:t>ent. Strategic Management Journal, 18(7), 509–533.</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UNESCO. (2022). Artificial intelligence and digital transformation: Competencies for civil servants. UNESCO Publishing. https://unesdoc.unesco.org/ark:/48223/pf0000381864</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lastRenderedPageBreak/>
        <w:t>Valle-Cruz, D., Criado, J. I., San</w:t>
      </w:r>
      <w:r w:rsidRPr="00CF12C3">
        <w:rPr>
          <w:rFonts w:asciiTheme="minorEastAsia" w:hAnsiTheme="minorEastAsia"/>
          <w:color w:val="000000" w:themeColor="text1"/>
        </w:rPr>
        <w:t>doval-Almazán, R., &amp; Ruvalcaba-Gomez, E. A. (2020). Assessing the public policy-cycle framework in the age of artificial intelligence: From agenda-setting to policy evaluation. Government Information Quarterly, 37(4), 101509. https://doi.org/10.1016/j.giq.</w:t>
      </w:r>
      <w:r w:rsidRPr="00CF12C3">
        <w:rPr>
          <w:rFonts w:asciiTheme="minorEastAsia" w:hAnsiTheme="minorEastAsia"/>
          <w:color w:val="000000" w:themeColor="text1"/>
        </w:rPr>
        <w:t>2020.101509</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Wirtz, B. W., Weyerer, J. C., &amp; Sturm, B. J. (2020). The dark sides of artificial intelligence: An integrated AI governance framework for public administration. International Journal of Public Administration, 43(9), 818–829. https://doi.org/10.</w:t>
      </w:r>
      <w:r w:rsidRPr="00CF12C3">
        <w:rPr>
          <w:rFonts w:asciiTheme="minorEastAsia" w:hAnsiTheme="minorEastAsia"/>
          <w:color w:val="000000" w:themeColor="text1"/>
        </w:rPr>
        <w:t>1080/01900692.2020.1749851</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Yeung, K. (2018). Algorithmic regulation: A critical interrogation. Regulation &amp; Governance, 12(4), 505–523.</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Young, M. M., Bullock, J. B., &amp; Lecy, J. D. (2019). Artificial discretion as a tool of governance: A framework for under</w:t>
      </w:r>
      <w:r w:rsidRPr="00CF12C3">
        <w:rPr>
          <w:rFonts w:asciiTheme="minorEastAsia" w:hAnsiTheme="minorEastAsia"/>
          <w:color w:val="000000" w:themeColor="text1"/>
        </w:rPr>
        <w:t>standing the impact of artificial intelligence on public administration. Perspectives on Public Management and Governance, 2(4), 301–313. https://doi.org/10.1093/ppmgov/gvz014</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Zhu, X. (2026). Public administration with, of, and through AI: Toward a new par</w:t>
      </w:r>
      <w:r w:rsidRPr="00CF12C3">
        <w:rPr>
          <w:rFonts w:asciiTheme="minorEastAsia" w:hAnsiTheme="minorEastAsia"/>
          <w:color w:val="000000" w:themeColor="text1"/>
        </w:rPr>
        <w:t>adigm in the era of intelligence. Journal of Chinese Governance, 11(1), 30–57. https://doi.org/10.1080/23812346.2025.2578589</w:t>
      </w:r>
    </w:p>
    <w:p w:rsidR="00A266BB" w:rsidRPr="00CF12C3" w:rsidRDefault="00FB0C44">
      <w:pPr>
        <w:pStyle w:val="a0"/>
        <w:rPr>
          <w:rFonts w:asciiTheme="minorEastAsia" w:hAnsiTheme="minorEastAsia"/>
          <w:color w:val="000000" w:themeColor="text1"/>
        </w:rPr>
      </w:pPr>
      <w:bookmarkStart w:id="57" w:name="X0b95f9b83633df86a5f6045301e71fd39cf8fa7"/>
      <w:bookmarkEnd w:id="56"/>
      <w:r w:rsidRPr="00CF12C3">
        <w:rPr>
          <w:rFonts w:asciiTheme="minorEastAsia" w:hAnsiTheme="minorEastAsia"/>
          <w:color w:val="000000" w:themeColor="text1"/>
        </w:rPr>
        <w:t>Zuiderwijk, A., Chen, Y.-C., &amp; Salem, F. (2021). Implications of the use of artificial intelligence in public governance: A systema</w:t>
      </w:r>
      <w:r w:rsidRPr="00CF12C3">
        <w:rPr>
          <w:rFonts w:asciiTheme="minorEastAsia" w:hAnsiTheme="minorEastAsia"/>
          <w:color w:val="000000" w:themeColor="text1"/>
        </w:rPr>
        <w:t>tic literature review and a research agenda. Government Information Quarterly, 38(3), 101577. https://doi.org/10.1016/j.giq.2021.101577</w:t>
      </w:r>
    </w:p>
    <w:p w:rsidR="00A266BB" w:rsidRPr="00CF12C3" w:rsidRDefault="00FB0C44">
      <w:pPr>
        <w:pStyle w:val="FirstParagraph"/>
        <w:spacing w:line="360" w:lineRule="auto"/>
        <w:ind w:firstLine="431"/>
        <w:rPr>
          <w:rFonts w:asciiTheme="minorEastAsia" w:hAnsiTheme="minorEastAsia"/>
          <w:color w:val="000000" w:themeColor="text1"/>
        </w:rPr>
      </w:pPr>
      <w:r w:rsidRPr="00CF12C3">
        <w:rPr>
          <w:rFonts w:asciiTheme="minorEastAsia" w:hAnsiTheme="minorEastAsia"/>
          <w:color w:val="000000" w:themeColor="text1"/>
        </w:rPr>
        <w:t xml:space="preserve">Knowledge Gaps and Capability Reconstruction in Public Administration Education under AI Governance: Five Issue Domains </w:t>
      </w:r>
      <w:r w:rsidRPr="00CF12C3">
        <w:rPr>
          <w:rFonts w:asciiTheme="minorEastAsia" w:hAnsiTheme="minorEastAsia"/>
          <w:color w:val="000000" w:themeColor="text1"/>
        </w:rPr>
        <w:t>and a 5×5 Knowledge-Coordinate Framework</w:t>
      </w:r>
    </w:p>
    <w:p w:rsidR="00A266BB" w:rsidRPr="00CF12C3" w:rsidRDefault="00FB0C44">
      <w:pPr>
        <w:pStyle w:val="1"/>
        <w:rPr>
          <w:rFonts w:asciiTheme="minorEastAsia" w:eastAsiaTheme="minorEastAsia" w:hAnsiTheme="minorEastAsia"/>
          <w:color w:val="000000" w:themeColor="text1"/>
        </w:rPr>
      </w:pPr>
      <w:bookmarkStart w:id="58" w:name="abstract"/>
      <w:bookmarkEnd w:id="57"/>
      <w:r w:rsidRPr="00CF12C3">
        <w:rPr>
          <w:rFonts w:asciiTheme="minorEastAsia" w:eastAsiaTheme="minorEastAsia" w:hAnsiTheme="minorEastAsia"/>
          <w:color w:val="000000" w:themeColor="text1"/>
        </w:rPr>
        <w:t>Abstract</w:t>
      </w:r>
    </w:p>
    <w:p w:rsidR="00A266BB" w:rsidRPr="00CF12C3" w:rsidRDefault="00FB0C44">
      <w:pPr>
        <w:pStyle w:val="FirstParagraph"/>
        <w:spacing w:line="360" w:lineRule="auto"/>
        <w:ind w:firstLine="431"/>
        <w:rPr>
          <w:rFonts w:asciiTheme="minorEastAsia" w:hAnsiTheme="minorEastAsia"/>
          <w:color w:val="000000" w:themeColor="text1"/>
        </w:rPr>
      </w:pPr>
      <w:r w:rsidRPr="00CF12C3">
        <w:rPr>
          <w:rFonts w:asciiTheme="minorEastAsia" w:hAnsiTheme="minorEastAsia"/>
          <w:color w:val="000000" w:themeColor="text1"/>
        </w:rPr>
        <w:t>This article treats AI governance as a predetermined analytical condition and asks what should change and what should remain unchanged in public administration education. It purposively selects five non-exh</w:t>
      </w:r>
      <w:r w:rsidRPr="00CF12C3">
        <w:rPr>
          <w:rFonts w:asciiTheme="minorEastAsia" w:hAnsiTheme="minorEastAsia"/>
          <w:color w:val="000000" w:themeColor="text1"/>
        </w:rPr>
        <w:t>austive issue domains: virtual government; unmanned government and administration; AI administrative discretion; AI judicial and quasi-judicial judgment; and AI public finance, credit points, and programmable benefits. The article aligns these domains with</w:t>
      </w:r>
      <w:r w:rsidRPr="00CF12C3">
        <w:rPr>
          <w:rFonts w:asciiTheme="minorEastAsia" w:hAnsiTheme="minorEastAsia"/>
          <w:color w:val="000000" w:themeColor="text1"/>
        </w:rPr>
        <w:t xml:space="preserve"> a shared 25—3—3—4—7 framework. The twenty-five coordinates locate AI intervention; three functional transfers of administrative power explain how AI shapes situation construction and fact recognition, administrative discretion and value judgment, and </w:t>
      </w:r>
      <w:r w:rsidRPr="00CF12C3">
        <w:rPr>
          <w:rFonts w:asciiTheme="minorEastAsia" w:hAnsiTheme="minorEastAsia"/>
          <w:color w:val="000000" w:themeColor="text1"/>
        </w:rPr>
        <w:lastRenderedPageBreak/>
        <w:t xml:space="preserve">the </w:t>
      </w:r>
      <w:r w:rsidRPr="00CF12C3">
        <w:rPr>
          <w:rFonts w:asciiTheme="minorEastAsia" w:hAnsiTheme="minorEastAsia"/>
          <w:color w:val="000000" w:themeColor="text1"/>
        </w:rPr>
        <w:t>substantive effects of public decisions; and three structural effects identify cross-coordinate movement, boundary erosion, and authority reconstruction. Four governance chains and seven governance audits are retained as curricular objects of understanding</w:t>
      </w:r>
      <w:r w:rsidRPr="00CF12C3">
        <w:rPr>
          <w:rFonts w:asciiTheme="minorEastAsia" w:hAnsiTheme="minorEastAsia"/>
          <w:color w:val="000000" w:themeColor="text1"/>
        </w:rPr>
        <w:t xml:space="preserve"> rather than converted into a new governance scale.</w:t>
      </w:r>
    </w:p>
    <w:p w:rsidR="00A266BB" w:rsidRPr="00CF12C3" w:rsidRDefault="00FB0C44">
      <w:pPr>
        <w:pStyle w:val="a0"/>
        <w:spacing w:line="360" w:lineRule="auto"/>
        <w:ind w:firstLine="431"/>
        <w:rPr>
          <w:rFonts w:asciiTheme="minorEastAsia" w:hAnsiTheme="minorEastAsia"/>
          <w:color w:val="000000" w:themeColor="text1"/>
        </w:rPr>
      </w:pPr>
      <w:r w:rsidRPr="00CF12C3">
        <w:rPr>
          <w:rFonts w:asciiTheme="minorEastAsia" w:hAnsiTheme="minorEastAsia"/>
          <w:color w:val="000000" w:themeColor="text1"/>
        </w:rPr>
        <w:t>The analysis proceeds through identification, discussion, dialectical comparison, corroboration, and recommendations. Educational gaps are assessed separately through a four-dimensional document-coding ru</w:t>
      </w:r>
      <w:r w:rsidRPr="00CF12C3">
        <w:rPr>
          <w:rFonts w:asciiTheme="minorEastAsia" w:hAnsiTheme="minorEastAsia"/>
          <w:color w:val="000000" w:themeColor="text1"/>
        </w:rPr>
        <w:t>bric: explicit coverage, depth of knowledge, interdisciplinary integration, and application transfer. Evidence is drawn from university curricula, NASPAA standards, UNESCO and OECD competency frameworks, and Taiwan’s civil-service AI training documents; AF</w:t>
      </w:r>
      <w:r w:rsidRPr="00CF12C3">
        <w:rPr>
          <w:rFonts w:asciiTheme="minorEastAsia" w:hAnsiTheme="minorEastAsia"/>
          <w:color w:val="000000" w:themeColor="text1"/>
        </w:rPr>
        <w:t>ST, COMPAS, and AI-supported public budgeting serve only as concise educational stress scenarios. The findings indicate that AI has entered formal curricula and training, but the available evidence supports explicit coverage and tool use more strongly than</w:t>
      </w:r>
      <w:r w:rsidRPr="00CF12C3">
        <w:rPr>
          <w:rFonts w:asciiTheme="minorEastAsia" w:hAnsiTheme="minorEastAsia"/>
          <w:color w:val="000000" w:themeColor="text1"/>
        </w:rPr>
        <w:t xml:space="preserve"> cross-curricular integration or transfer to real public problems. Reform should therefore preserve the public administration knowledge structure while reorganizing content, disciplinary links, and applied teaching.</w:t>
      </w:r>
    </w:p>
    <w:p w:rsidR="00A266BB" w:rsidRPr="00CF12C3" w:rsidRDefault="00FB0C44">
      <w:pPr>
        <w:pStyle w:val="a0"/>
        <w:rPr>
          <w:rFonts w:asciiTheme="minorEastAsia" w:hAnsiTheme="minorEastAsia"/>
          <w:color w:val="000000" w:themeColor="text1"/>
        </w:rPr>
      </w:pPr>
      <w:r w:rsidRPr="00CF12C3">
        <w:rPr>
          <w:rFonts w:asciiTheme="minorEastAsia" w:hAnsiTheme="minorEastAsia"/>
          <w:color w:val="000000" w:themeColor="text1"/>
        </w:rPr>
        <w:t>Keywords: AI governance, public administ</w:t>
      </w:r>
      <w:r w:rsidRPr="00CF12C3">
        <w:rPr>
          <w:rFonts w:asciiTheme="minorEastAsia" w:hAnsiTheme="minorEastAsia"/>
          <w:color w:val="000000" w:themeColor="text1"/>
        </w:rPr>
        <w:t>ration education, 5×5 Knowledge-Coordinate Framework, interdisciplinary education, capability reconstruction</w:t>
      </w:r>
      <w:bookmarkEnd w:id="58"/>
    </w:p>
    <w:sectPr w:rsidR="00A266BB" w:rsidRPr="00CF12C3">
      <w:headerReference w:type="default" r:id="rId11"/>
      <w:footerReference w:type="default" r:id="rId12"/>
      <w:pgSz w:w="11906" w:h="16838"/>
      <w:pgMar w:top="1247" w:right="1417" w:bottom="124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0C44" w:rsidRDefault="00FB0C44">
      <w:pPr>
        <w:spacing w:after="0"/>
      </w:pPr>
      <w:r>
        <w:separator/>
      </w:r>
    </w:p>
  </w:endnote>
  <w:endnote w:type="continuationSeparator" w:id="0">
    <w:p w:rsidR="00FB0C44" w:rsidRDefault="00FB0C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0C44" w:rsidRDefault="00FB0C44">
      <w:r>
        <w:separator/>
      </w:r>
    </w:p>
  </w:footnote>
  <w:footnote w:type="continuationSeparator" w:id="0">
    <w:p w:rsidR="00FB0C44" w:rsidRDefault="00FB0C44">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A990"/>
    <w:multiLevelType w:val="multilevel"/>
    <w:tmpl w:val="180245A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A99411"/>
    <w:multiLevelType w:val="multilevel"/>
    <w:tmpl w:val="933AC66E"/>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266BB"/>
    <w:rsid w:val="00A266BB"/>
    <w:rsid w:val="00CF12C3"/>
    <w:rsid w:val="00FB0C44"/>
  </w:rsids>
  <m:mathPr>
    <m:mathFont m:val="Cambria Math"/>
    <m:brkBin m:val="before"/>
    <m:brkBinSub m:val="--"/>
    <m:smallFrac m:val="0"/>
    <m:dispDef/>
    <m:lMargin m:val="0"/>
    <m:rMargin m:val="0"/>
    <m:defJc m:val="centerGroup"/>
    <m:wrapRight/>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BD0D02-040C-45E6-B7DD-1A17523A4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spacing w:line="324" w:lineRule="auto" w:after="0"/>
    </w:pPr>
  </w:style>
  <w:style w:type="paragraph" w:styleId="1">
    <w:name w:val="heading 1"/>
    <w:basedOn w:val="a"/>
    <w:next w:val="a0"/>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2">
    <w:name w:val="heading 2"/>
    <w:basedOn w:val="a"/>
    <w:next w:val="a0"/>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3">
    <w:name w:val="heading 3"/>
    <w:basedOn w:val="a"/>
    <w:next w:val="a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0"/>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5">
    <w:name w:val="heading 5"/>
    <w:basedOn w:val="a"/>
    <w:next w:val="a0"/>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6">
    <w:name w:val="heading 6"/>
    <w:basedOn w:val="a"/>
    <w:next w:val="a0"/>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7">
    <w:name w:val="heading 7"/>
    <w:basedOn w:val="a"/>
    <w:next w:val="a0"/>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8">
    <w:name w:val="heading 8"/>
    <w:basedOn w:val="a"/>
    <w:next w:val="a0"/>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9">
    <w:name w:val="heading 9"/>
    <w:basedOn w:val="a"/>
    <w:next w:val="a0"/>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5">
    <w:name w:val="Subtitle"/>
    <w:basedOn w:val="a4"/>
    <w:next w:val="a0"/>
    <w:qFormat/>
    <w:pPr>
      <w:spacing w:before="240"/>
    </w:pPr>
    <w:rPr>
      <w:sz w:val="30"/>
      <w:szCs w:val="30"/>
    </w:rPr>
  </w:style>
  <w:style w:type="paragraph" w:customStyle="1" w:styleId="Author">
    <w:name w:val="Author"/>
    <w:next w:val="a0"/>
    <w:qFormat/>
    <w:pPr>
      <w:keepNext/>
      <w:keepLines/>
      <w:jc w:val="center"/>
    </w:pPr>
  </w:style>
  <w:style w:type="paragraph" w:styleId="a6">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color w:val="345A8A"/>
      <w:sz w:val="20"/>
      <w:szCs w:val="20"/>
    </w:rPr>
  </w:style>
  <w:style w:type="paragraph" w:customStyle="1" w:styleId="Abstract">
    <w:name w:val="Abstract"/>
    <w:basedOn w:val="a"/>
    <w:next w:val="a0"/>
    <w:qFormat/>
    <w:pPr>
      <w:keepNext/>
      <w:keepLines/>
      <w:spacing w:before="100" w:after="300"/>
    </w:pPr>
    <w:rPr>
      <w:sz w:val="20"/>
      <w:szCs w:val="20"/>
    </w:rPr>
  </w:style>
  <w:style w:type="paragraph" w:styleId="a7">
    <w:name w:val="Bibliography"/>
    <w:basedOn w:val="a"/>
    <w:qFormat/>
  </w:style>
  <w:style w:type="paragraph" w:styleId="a8">
    <w:name w:val="Block Text"/>
    <w:basedOn w:val="a0"/>
    <w:next w:val="a0"/>
    <w:uiPriority w:val="9"/>
    <w:unhideWhenUsed/>
    <w:qFormat/>
    <w:pPr>
      <w:spacing w:before="100" w:after="100"/>
      <w:ind w:left="480" w:right="480"/>
    </w:pPr>
  </w:style>
  <w:style w:type="paragraph" w:styleId="a9">
    <w:name w:val="footnote text"/>
    <w:basedOn w:val="a"/>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a">
    <w:name w:val="caption"/>
    <w:basedOn w:val="a"/>
    <w:link w:val="ab"/>
    <w:pPr>
      <w:spacing w:after="120"/>
    </w:pPr>
    <w:rPr>
      <w:i/>
    </w:rPr>
  </w:style>
  <w:style w:type="paragraph" w:customStyle="1" w:styleId="TableCaption">
    <w:name w:val="Table Caption"/>
    <w:basedOn w:val="aa"/>
    <w:pPr>
      <w:keepNext/>
    </w:pPr>
  </w:style>
  <w:style w:type="paragraph" w:customStyle="1" w:styleId="ImageCaption">
    <w:name w:val="Image Caption"/>
    <w:basedOn w:val="aa"/>
  </w:style>
  <w:style w:type="paragraph" w:customStyle="1" w:styleId="Figure">
    <w:name w:val="Figure"/>
    <w:basedOn w:val="a"/>
  </w:style>
  <w:style w:type="paragraph" w:customStyle="1" w:styleId="CaptionedFigure">
    <w:name w:val="Captioned Figure"/>
    <w:basedOn w:val="Figure"/>
    <w:pPr>
      <w:keepNext/>
    </w:pPr>
  </w:style>
  <w:style w:type="character" w:customStyle="1" w:styleId="ab">
    <w:name w:val="標號 字元"/>
    <w:basedOn w:val="a1"/>
    <w:link w:val="aa"/>
  </w:style>
  <w:style w:type="character" w:customStyle="1" w:styleId="VerbatimChar">
    <w:name w:val="Verbatim Char"/>
    <w:basedOn w:val="ab"/>
    <w:link w:val="SourceCode"/>
    <w:rPr>
      <w:rFonts w:ascii="Consolas" w:hAnsi="Consolas"/>
      <w:sz w:val="22"/>
    </w:rPr>
  </w:style>
  <w:style w:type="character" w:customStyle="1" w:styleId="SectionNumber">
    <w:name w:val="Section Number"/>
    <w:basedOn w:val="ab"/>
  </w:style>
  <w:style w:type="character" w:styleId="ac">
    <w:name w:val="footnote reference"/>
    <w:basedOn w:val="ab"/>
    <w:rPr>
      <w:vertAlign w:val="superscript"/>
    </w:rPr>
  </w:style>
  <w:style w:type="character" w:styleId="ad">
    <w:name w:val="Hyperlink"/>
    <w:basedOn w:val="ab"/>
    <w:rPr>
      <w:color w:val="4F81BD" w:themeColor="accent1"/>
    </w:rPr>
  </w:style>
  <w:style w:type="paragraph" w:styleId="ae">
    <w:name w:val="TOC Heading"/>
    <w:basedOn w:val="1"/>
    <w:next w:val="a0"/>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1" Type="http://schemas.openxmlformats.org/officeDocument/2006/relationships/header" Target="header1.xml"/><Relationship Id="rId1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34</Pages>
  <Words>4959</Words>
  <Characters>28270</Characters>
  <Application>Microsoft Office Word</Application>
  <DocSecurity>0</DocSecurity>
  <Lines>235</Lines>
  <Paragraphs>66</Paragraphs>
  <ScaleCrop>false</ScaleCrop>
  <Company/>
  <LinksUpToDate>false</LinksUpToDate>
  <CharactersWithSpaces>33163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AI治理下公共行政教育的知識落差與能力重構</dc:title>
  <dc:subject>Working Paper—minor revision aligned with the 25—3—3—4—7 framework</dc:subject>
  <dc:creator/>
  <cp:keywords/>
  <cp:lastModifiedBy>User</cp:lastModifiedBy>
  <cp:revision>2</cp:revision>
  <dcterms:created xsi:type="dcterms:W3CDTF">2026-07-29T12:27:00Z</dcterms:created>
  <dcterms:modified xsi:type="dcterms:W3CDTF">2026-08-01T12:18:00Z</dcterms:modified>
</cp:coreProperties>
</file>