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sz w:val="40"/>
        </w:rPr>
        <w:t>Democratic Preconditions for AI Governance: Transfer of Situation-Construction Power, Two-Stage Measurement, and Cross-Case Illustration</w:t>
      </w:r>
    </w:p>
    <w:p>
      <w:pPr>
        <w:jc w:val="center"/>
      </w:pPr>
      <w:r>
        <w:t>Working Paper | August 2026</w:t>
      </w:r>
    </w:p>
    <w:p>
      <w:pPr>
        <w:jc w:val="center"/>
      </w:pPr>
      <w:r>
        <w:t>Lancelot Lu, Doctor of Public Administration, University of Southern California</w:t>
      </w:r>
    </w:p>
    <w:p>
      <w:pPr>
        <w:jc w:val="center"/>
      </w:pPr>
      <w:r>
        <w:t>This article was produced in collaboration with AI. AI assisted with text organization and argument verification; conceptual design and final judgment remain the author’s responsibility.</w:t>
      </w:r>
    </w:p>
    <w:p>
      <w:pPr>
        <w:pStyle w:val="Heading1"/>
      </w:pPr>
      <w:r>
        <w:t>Abstract</w:t>
      </w:r>
    </w:p>
    <w:p>
      <w:r>
        <w:t>The democratic legitimacy of artificial intelligence in public administration may be compromised before a formal administrative decision is made. Data selection, classification, prompts, and thresholds can pre-structure which facts are visible, which groups are marked, and which options enter later discretion. Formal human sign-off does not necessarily restore democratic control when the technical framing has already narrowed what decision-makers can see.</w:t>
      </w:r>
    </w:p>
    <w:p>
      <w:r>
        <w:t>This paper develops the P1–C1 measurement blueprint within the shared 25-3-3-4-7 framework: twenty-five governance coordinates, three functional transfers of administrative power, three structural effects, four governance chains, and seven governance audits. It concentrates on P1—the functional transfer of situation-construction and fact-recognition power—and treats the context-construction chain as the democratic precondition for subsequent authority, reasoning, and responsibility.</w:t>
      </w:r>
    </w:p>
    <w:p>
      <w:r>
        <w:t>The design separates two non-substitutable objects of measurement. Stage 1 uses five P1 exposure indicators to assess how strongly AI shapes the construction of a public problem. Stage 2 uses twelve C1 indicators across four dimensions—traceability, inclusion and exclusion of data, reconstructability of framing logic, and democratic review and correction—to assess the integrity of the context-construction chain. Descriptive aggregation, coverage rates, and normative thresholds are reported side by side; a high mean may not compensate for the absence of a channel through which framing can be contested. Demonstration recoding of AFST, SyRI, and Robodebt shows that all three cases combine substantial exposure with material deficits in democratic integrity.</w:t>
      </w:r>
    </w:p>
    <w:p>
      <w:r>
        <w:t>Keywords: AI governance; democratic legitimacy; context-construction chain; power transfer; formative measurement; algorithmic administration</w:t>
      </w:r>
    </w:p>
    <w:p>
      <w:pPr>
        <w:pStyle w:val="Heading1"/>
      </w:pPr>
      <w:r>
        <w:t>1. The Democratic Problem Arises before the Decision</w:t>
      </w:r>
    </w:p>
    <w:p>
      <w:r>
        <w:t>The central question is not simply whether an administrative decision generated with AI can be explained after the fact. It is whether the public problem reaching that decision has already been technically framed. When a system determines the relevant data, labels, proxy variables, prompts, and thresholds, it performs a function that was previously more visibly distributed among public officials, law, professional judgment, and democratic institutions.</w:t>
      </w:r>
    </w:p>
    <w:p>
      <w:r>
        <w:t>This paper therefore asks: under what conditions does AI obtain situation-construction influence; what institutional safeguards make that influence democratically reviewable; and how can these questions be compared across heterogeneous public-sector cases? The purpose is not to declare all technical classification illegitimate. It is to make visible the prior institutional choices that classification often hides.</w:t>
      </w:r>
    </w:p>
    <w:p>
      <w:pPr>
        <w:pStyle w:val="Heading1"/>
      </w:pPr>
      <w:r>
        <w:t>2. Shared Framework: 25-3-3-4-7</w:t>
      </w:r>
    </w:p>
    <w:p>
      <w:r>
        <w:t>The twenty-five coordinates locate where AI intervenes; the three functional transfers explain how it changes administration; the three structural effects identify its institutional consequences; the four governance chains trace continuity of legitimacy; and the seven governance audits provide supplementary evidence. This paper does not score every part of that architecture. It uses the rest as context and concentrates its formal measurement on P1 and C1.</w:t>
      </w:r>
    </w:p>
    <w:p>
      <w:r>
        <w:rPr>
          <w:b/>
        </w:rPr>
        <w:t>Table 1. Twenty-Five Governance Coordinates Used in This Paper</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cantSplit/>
        </w:trPr>
        <w:tc>
          <w:tcPr>
            <w:tcW w:type="dxa" w:w="1872"/>
            <w:vAlign w:val="center"/>
          </w:tcPr>
          <w:p>
            <w:pPr>
              <w:spacing w:after="0"/>
            </w:pPr>
            <w:r>
              <w:rPr>
                <w:b/>
                <w:sz w:val="16"/>
              </w:rPr>
              <w:t>Analytical level \ unit</w:t>
            </w:r>
          </w:p>
        </w:tc>
        <w:tc>
          <w:tcPr>
            <w:tcW w:type="dxa" w:w="1498"/>
            <w:vAlign w:val="center"/>
          </w:tcPr>
          <w:p>
            <w:pPr>
              <w:spacing w:after="0"/>
            </w:pPr>
            <w:r>
              <w:rPr>
                <w:b/>
                <w:sz w:val="16"/>
              </w:rPr>
              <w:t>Individual</w:t>
            </w:r>
          </w:p>
        </w:tc>
        <w:tc>
          <w:tcPr>
            <w:tcW w:type="dxa" w:w="1498"/>
            <w:vAlign w:val="center"/>
          </w:tcPr>
          <w:p>
            <w:pPr>
              <w:spacing w:after="0"/>
            </w:pPr>
            <w:r>
              <w:rPr>
                <w:b/>
                <w:sz w:val="16"/>
              </w:rPr>
              <w:t>Group</w:t>
            </w:r>
          </w:p>
        </w:tc>
        <w:tc>
          <w:tcPr>
            <w:tcW w:type="dxa" w:w="1498"/>
            <w:vAlign w:val="center"/>
          </w:tcPr>
          <w:p>
            <w:pPr>
              <w:spacing w:after="0"/>
            </w:pPr>
            <w:r>
              <w:rPr>
                <w:b/>
                <w:sz w:val="16"/>
              </w:rPr>
              <w:t>Organization</w:t>
            </w:r>
          </w:p>
        </w:tc>
        <w:tc>
          <w:tcPr>
            <w:tcW w:type="dxa" w:w="1498"/>
            <w:vAlign w:val="center"/>
          </w:tcPr>
          <w:p>
            <w:pPr>
              <w:spacing w:after="0"/>
            </w:pPr>
            <w:r>
              <w:rPr>
                <w:b/>
                <w:sz w:val="16"/>
              </w:rPr>
              <w:t>Society</w:t>
            </w:r>
          </w:p>
        </w:tc>
        <w:tc>
          <w:tcPr>
            <w:tcW w:type="dxa" w:w="1498"/>
            <w:vAlign w:val="center"/>
          </w:tcPr>
          <w:p>
            <w:pPr>
              <w:spacing w:after="0"/>
            </w:pPr>
            <w:r>
              <w:rPr>
                <w:b/>
                <w:sz w:val="16"/>
              </w:rPr>
              <w:t>International</w:t>
            </w:r>
          </w:p>
        </w:tc>
      </w:tr>
      <w:tr>
        <w:trPr>
          <w:cantSplit/>
        </w:trPr>
        <w:tc>
          <w:tcPr>
            <w:tcW w:type="dxa" w:w="1872"/>
            <w:vAlign w:val="center"/>
          </w:tcPr>
          <w:p>
            <w:pPr>
              <w:spacing w:after="0"/>
            </w:pPr>
            <w:r>
              <w:rPr>
                <w:sz w:val="16"/>
              </w:rPr>
              <w:t>Philosophy &amp; values</w:t>
            </w:r>
          </w:p>
        </w:tc>
        <w:tc>
          <w:tcPr>
            <w:tcW w:type="dxa" w:w="1498"/>
            <w:vAlign w:val="center"/>
          </w:tcPr>
          <w:p>
            <w:pPr>
              <w:spacing w:after="0"/>
            </w:pPr>
            <w:r>
              <w:rPr>
                <w:sz w:val="16"/>
              </w:rPr>
              <w:t>Dignity, equality</w:t>
            </w:r>
          </w:p>
        </w:tc>
        <w:tc>
          <w:tcPr>
            <w:tcW w:type="dxa" w:w="1498"/>
            <w:vAlign w:val="center"/>
          </w:tcPr>
          <w:p>
            <w:pPr>
              <w:spacing w:after="0"/>
            </w:pPr>
            <w:r>
              <w:rPr>
                <w:sz w:val="16"/>
              </w:rPr>
              <w:t>Group justice, representation</w:t>
            </w:r>
          </w:p>
        </w:tc>
        <w:tc>
          <w:tcPr>
            <w:tcW w:type="dxa" w:w="1498"/>
            <w:vAlign w:val="center"/>
          </w:tcPr>
          <w:p>
            <w:pPr>
              <w:spacing w:after="0"/>
            </w:pPr>
            <w:r>
              <w:rPr>
                <w:sz w:val="16"/>
              </w:rPr>
              <w:t>Organizational ethics</w:t>
            </w:r>
          </w:p>
        </w:tc>
        <w:tc>
          <w:tcPr>
            <w:tcW w:type="dxa" w:w="1498"/>
            <w:vAlign w:val="center"/>
          </w:tcPr>
          <w:p>
            <w:pPr>
              <w:spacing w:after="0"/>
            </w:pPr>
            <w:r>
              <w:rPr>
                <w:sz w:val="16"/>
              </w:rPr>
              <w:t>Public values, democratic legitimacy</w:t>
            </w:r>
          </w:p>
        </w:tc>
        <w:tc>
          <w:tcPr>
            <w:tcW w:type="dxa" w:w="1498"/>
            <w:vAlign w:val="center"/>
          </w:tcPr>
          <w:p>
            <w:pPr>
              <w:spacing w:after="0"/>
            </w:pPr>
            <w:r>
              <w:rPr>
                <w:sz w:val="16"/>
              </w:rPr>
              <w:t>Human rights and global norms</w:t>
            </w:r>
          </w:p>
        </w:tc>
      </w:tr>
      <w:tr>
        <w:trPr>
          <w:cantSplit/>
        </w:trPr>
        <w:tc>
          <w:tcPr>
            <w:tcW w:type="dxa" w:w="1872"/>
            <w:vAlign w:val="center"/>
          </w:tcPr>
          <w:p>
            <w:pPr>
              <w:spacing w:after="0"/>
            </w:pPr>
            <w:r>
              <w:rPr>
                <w:sz w:val="16"/>
              </w:rPr>
              <w:t>Institutional division of labor</w:t>
            </w:r>
          </w:p>
        </w:tc>
        <w:tc>
          <w:tcPr>
            <w:tcW w:type="dxa" w:w="1498"/>
            <w:vAlign w:val="center"/>
          </w:tcPr>
          <w:p>
            <w:pPr>
              <w:spacing w:after="0"/>
            </w:pPr>
            <w:r>
              <w:rPr>
                <w:sz w:val="16"/>
              </w:rPr>
              <w:t>Rights and remedies</w:t>
            </w:r>
          </w:p>
        </w:tc>
        <w:tc>
          <w:tcPr>
            <w:tcW w:type="dxa" w:w="1498"/>
            <w:vAlign w:val="center"/>
          </w:tcPr>
          <w:p>
            <w:pPr>
              <w:spacing w:after="0"/>
            </w:pPr>
            <w:r>
              <w:rPr>
                <w:sz w:val="16"/>
              </w:rPr>
              <w:t>Participation and representation</w:t>
            </w:r>
          </w:p>
        </w:tc>
        <w:tc>
          <w:tcPr>
            <w:tcW w:type="dxa" w:w="1498"/>
            <w:vAlign w:val="center"/>
          </w:tcPr>
          <w:p>
            <w:pPr>
              <w:spacing w:after="0"/>
            </w:pPr>
            <w:r>
              <w:rPr>
                <w:sz w:val="16"/>
              </w:rPr>
              <w:t>Agency authority, outsourcing</w:t>
            </w:r>
          </w:p>
        </w:tc>
        <w:tc>
          <w:tcPr>
            <w:tcW w:type="dxa" w:w="1498"/>
            <w:vAlign w:val="center"/>
          </w:tcPr>
          <w:p>
            <w:pPr>
              <w:spacing w:after="0"/>
            </w:pPr>
            <w:r>
              <w:rPr>
                <w:sz w:val="16"/>
              </w:rPr>
              <w:t>State–society power allocation</w:t>
            </w:r>
          </w:p>
        </w:tc>
        <w:tc>
          <w:tcPr>
            <w:tcW w:type="dxa" w:w="1498"/>
            <w:vAlign w:val="center"/>
          </w:tcPr>
          <w:p>
            <w:pPr>
              <w:spacing w:after="0"/>
            </w:pPr>
            <w:r>
              <w:rPr>
                <w:sz w:val="16"/>
              </w:rPr>
              <w:t>Cross-border institutions and standards</w:t>
            </w:r>
          </w:p>
        </w:tc>
      </w:tr>
      <w:tr>
        <w:trPr>
          <w:cantSplit/>
        </w:trPr>
        <w:tc>
          <w:tcPr>
            <w:tcW w:type="dxa" w:w="1872"/>
            <w:vAlign w:val="center"/>
          </w:tcPr>
          <w:p>
            <w:pPr>
              <w:spacing w:after="0"/>
            </w:pPr>
            <w:r>
              <w:rPr>
                <w:sz w:val="16"/>
              </w:rPr>
              <w:t>Policy system</w:t>
            </w:r>
          </w:p>
        </w:tc>
        <w:tc>
          <w:tcPr>
            <w:tcW w:type="dxa" w:w="1498"/>
            <w:vAlign w:val="center"/>
          </w:tcPr>
          <w:p>
            <w:pPr>
              <w:spacing w:after="0"/>
            </w:pPr>
            <w:r>
              <w:rPr>
                <w:sz w:val="16"/>
              </w:rPr>
              <w:t>Eligibility and policy effects</w:t>
            </w:r>
          </w:p>
        </w:tc>
        <w:tc>
          <w:tcPr>
            <w:tcW w:type="dxa" w:w="1498"/>
            <w:vAlign w:val="center"/>
          </w:tcPr>
          <w:p>
            <w:pPr>
              <w:spacing w:after="0"/>
            </w:pPr>
            <w:r>
              <w:rPr>
                <w:sz w:val="16"/>
              </w:rPr>
              <w:t>Target-group construction</w:t>
            </w:r>
          </w:p>
        </w:tc>
        <w:tc>
          <w:tcPr>
            <w:tcW w:type="dxa" w:w="1498"/>
            <w:vAlign w:val="center"/>
          </w:tcPr>
          <w:p>
            <w:pPr>
              <w:spacing w:after="0"/>
            </w:pPr>
            <w:r>
              <w:rPr>
                <w:sz w:val="16"/>
              </w:rPr>
              <w:t>Interorganizational policy coordination</w:t>
            </w:r>
          </w:p>
        </w:tc>
        <w:tc>
          <w:tcPr>
            <w:tcW w:type="dxa" w:w="1498"/>
            <w:vAlign w:val="center"/>
          </w:tcPr>
          <w:p>
            <w:pPr>
              <w:spacing w:after="0"/>
            </w:pPr>
            <w:r>
              <w:rPr>
                <w:sz w:val="16"/>
              </w:rPr>
              <w:t>Problem definition, resource allocation</w:t>
            </w:r>
          </w:p>
        </w:tc>
        <w:tc>
          <w:tcPr>
            <w:tcW w:type="dxa" w:w="1498"/>
            <w:vAlign w:val="center"/>
          </w:tcPr>
          <w:p>
            <w:pPr>
              <w:spacing w:after="0"/>
            </w:pPr>
            <w:r>
              <w:rPr>
                <w:sz w:val="16"/>
              </w:rPr>
              <w:t>Transnational policy diffusion</w:t>
            </w:r>
          </w:p>
        </w:tc>
      </w:tr>
      <w:tr>
        <w:trPr>
          <w:cantSplit/>
        </w:trPr>
        <w:tc>
          <w:tcPr>
            <w:tcW w:type="dxa" w:w="1872"/>
            <w:vAlign w:val="center"/>
          </w:tcPr>
          <w:p>
            <w:pPr>
              <w:spacing w:after="0"/>
            </w:pPr>
            <w:r>
              <w:rPr>
                <w:sz w:val="16"/>
              </w:rPr>
              <w:t>Organizational design</w:t>
            </w:r>
          </w:p>
        </w:tc>
        <w:tc>
          <w:tcPr>
            <w:tcW w:type="dxa" w:w="1498"/>
            <w:vAlign w:val="center"/>
          </w:tcPr>
          <w:p>
            <w:pPr>
              <w:spacing w:after="0"/>
            </w:pPr>
            <w:r>
              <w:rPr>
                <w:sz w:val="16"/>
              </w:rPr>
              <w:t>Human–AI task allocation</w:t>
            </w:r>
          </w:p>
        </w:tc>
        <w:tc>
          <w:tcPr>
            <w:tcW w:type="dxa" w:w="1498"/>
            <w:vAlign w:val="center"/>
          </w:tcPr>
          <w:p>
            <w:pPr>
              <w:spacing w:after="0"/>
            </w:pPr>
            <w:r>
              <w:rPr>
                <w:sz w:val="16"/>
              </w:rPr>
              <w:t>Professional teams</w:t>
            </w:r>
          </w:p>
        </w:tc>
        <w:tc>
          <w:tcPr>
            <w:tcW w:type="dxa" w:w="1498"/>
            <w:vAlign w:val="center"/>
          </w:tcPr>
          <w:p>
            <w:pPr>
              <w:spacing w:after="0"/>
            </w:pPr>
            <w:r>
              <w:rPr>
                <w:sz w:val="16"/>
              </w:rPr>
              <w:t>Authority, process, capability</w:t>
            </w:r>
          </w:p>
        </w:tc>
        <w:tc>
          <w:tcPr>
            <w:tcW w:type="dxa" w:w="1498"/>
            <w:vAlign w:val="center"/>
          </w:tcPr>
          <w:p>
            <w:pPr>
              <w:spacing w:after="0"/>
            </w:pPr>
            <w:r>
              <w:rPr>
                <w:sz w:val="16"/>
              </w:rPr>
              <w:t>Organizational networks</w:t>
            </w:r>
          </w:p>
        </w:tc>
        <w:tc>
          <w:tcPr>
            <w:tcW w:type="dxa" w:w="1498"/>
            <w:vAlign w:val="center"/>
          </w:tcPr>
          <w:p>
            <w:pPr>
              <w:spacing w:after="0"/>
            </w:pPr>
            <w:r>
              <w:rPr>
                <w:sz w:val="16"/>
              </w:rPr>
              <w:t>Cross-border supply chains</w:t>
            </w:r>
          </w:p>
        </w:tc>
      </w:tr>
      <w:tr>
        <w:trPr>
          <w:cantSplit/>
        </w:trPr>
        <w:tc>
          <w:tcPr>
            <w:tcW w:type="dxa" w:w="1872"/>
            <w:vAlign w:val="center"/>
          </w:tcPr>
          <w:p>
            <w:pPr>
              <w:spacing w:after="0"/>
            </w:pPr>
            <w:r>
              <w:rPr>
                <w:sz w:val="16"/>
              </w:rPr>
              <w:t>Management operations</w:t>
            </w:r>
          </w:p>
        </w:tc>
        <w:tc>
          <w:tcPr>
            <w:tcW w:type="dxa" w:w="1498"/>
            <w:vAlign w:val="center"/>
          </w:tcPr>
          <w:p>
            <w:pPr>
              <w:spacing w:after="0"/>
            </w:pPr>
            <w:r>
              <w:rPr>
                <w:sz w:val="16"/>
              </w:rPr>
              <w:t>Case handling, risk scoring</w:t>
            </w:r>
          </w:p>
        </w:tc>
        <w:tc>
          <w:tcPr>
            <w:tcW w:type="dxa" w:w="1498"/>
            <w:vAlign w:val="center"/>
          </w:tcPr>
          <w:p>
            <w:pPr>
              <w:spacing w:after="0"/>
            </w:pPr>
            <w:r>
              <w:rPr>
                <w:sz w:val="16"/>
              </w:rPr>
              <w:t>Group classification</w:t>
            </w:r>
          </w:p>
        </w:tc>
        <w:tc>
          <w:tcPr>
            <w:tcW w:type="dxa" w:w="1498"/>
            <w:vAlign w:val="center"/>
          </w:tcPr>
          <w:p>
            <w:pPr>
              <w:spacing w:after="0"/>
            </w:pPr>
            <w:r>
              <w:rPr>
                <w:sz w:val="16"/>
              </w:rPr>
              <w:t>System deployment and oversight</w:t>
            </w:r>
          </w:p>
        </w:tc>
        <w:tc>
          <w:tcPr>
            <w:tcW w:type="dxa" w:w="1498"/>
            <w:vAlign w:val="center"/>
          </w:tcPr>
          <w:p>
            <w:pPr>
              <w:spacing w:after="0"/>
            </w:pPr>
            <w:r>
              <w:rPr>
                <w:sz w:val="16"/>
              </w:rPr>
              <w:t>Large-scale automated effects</w:t>
            </w:r>
          </w:p>
        </w:tc>
        <w:tc>
          <w:tcPr>
            <w:tcW w:type="dxa" w:w="1498"/>
            <w:vAlign w:val="center"/>
          </w:tcPr>
          <w:p>
            <w:pPr>
              <w:spacing w:after="0"/>
            </w:pPr>
            <w:r>
              <w:rPr>
                <w:sz w:val="16"/>
              </w:rPr>
              <w:t>Cross-border data and model services</w:t>
            </w:r>
          </w:p>
        </w:tc>
      </w:tr>
    </w:tbl>
    <w:p>
      <w:r/>
    </w:p>
    <w:p>
      <w:r>
        <w:rPr>
          <w:b/>
        </w:rPr>
        <w:t>Table 2. Context and Focus within the Shared Framework</w:t>
      </w:r>
    </w:p>
    <w:tbl>
      <w:tblPr>
        <w:tblStyle w:val="TableGrid"/>
        <w:tblW w:type="auto" w:w="0"/>
        <w:jc w:val="center"/>
        <w:tblLayout w:type="fixed"/>
        <w:tblLook w:firstColumn="1" w:firstRow="1" w:lastColumn="0" w:lastRow="0" w:noHBand="0" w:noVBand="1" w:val="04A0"/>
      </w:tblPr>
      <w:tblGrid>
        <w:gridCol w:w="3120"/>
        <w:gridCol w:w="3120"/>
        <w:gridCol w:w="3120"/>
      </w:tblGrid>
      <w:tr>
        <w:trPr>
          <w:cantSplit/>
        </w:trPr>
        <w:tc>
          <w:tcPr>
            <w:tcW w:type="dxa" w:w="2232"/>
            <w:vAlign w:val="center"/>
          </w:tcPr>
          <w:p>
            <w:pPr>
              <w:spacing w:after="0"/>
            </w:pPr>
            <w:r>
              <w:rPr>
                <w:b/>
                <w:sz w:val="16"/>
              </w:rPr>
              <w:t>Framework layer</w:t>
            </w:r>
          </w:p>
        </w:tc>
        <w:tc>
          <w:tcPr>
            <w:tcW w:type="dxa" w:w="2520"/>
            <w:vAlign w:val="center"/>
          </w:tcPr>
          <w:p>
            <w:pPr>
              <w:spacing w:after="0"/>
            </w:pPr>
            <w:r>
              <w:rPr>
                <w:b/>
                <w:sz w:val="16"/>
              </w:rPr>
              <w:t>Position in this paper</w:t>
            </w:r>
          </w:p>
        </w:tc>
        <w:tc>
          <w:tcPr>
            <w:tcW w:type="dxa" w:w="4608"/>
            <w:vAlign w:val="center"/>
          </w:tcPr>
          <w:p>
            <w:pPr>
              <w:spacing w:after="0"/>
            </w:pPr>
            <w:r>
              <w:rPr>
                <w:b/>
                <w:sz w:val="16"/>
              </w:rPr>
              <w:t>Practical use</w:t>
            </w:r>
          </w:p>
        </w:tc>
      </w:tr>
      <w:tr>
        <w:trPr>
          <w:cantSplit/>
        </w:trPr>
        <w:tc>
          <w:tcPr>
            <w:tcW w:type="dxa" w:w="2232"/>
            <w:vAlign w:val="center"/>
          </w:tcPr>
          <w:p>
            <w:pPr>
              <w:spacing w:after="0"/>
            </w:pPr>
            <w:r>
              <w:rPr>
                <w:sz w:val="16"/>
              </w:rPr>
              <w:t>Twenty-five coordinates</w:t>
            </w:r>
          </w:p>
        </w:tc>
        <w:tc>
          <w:tcPr>
            <w:tcW w:type="dxa" w:w="2520"/>
            <w:vAlign w:val="center"/>
          </w:tcPr>
          <w:p>
            <w:pPr>
              <w:spacing w:after="0"/>
            </w:pPr>
            <w:r>
              <w:rPr>
                <w:sz w:val="16"/>
              </w:rPr>
              <w:t>Context</w:t>
            </w:r>
          </w:p>
        </w:tc>
        <w:tc>
          <w:tcPr>
            <w:tcW w:type="dxa" w:w="4608"/>
            <w:vAlign w:val="center"/>
          </w:tcPr>
          <w:p>
            <w:pPr>
              <w:spacing w:after="0"/>
            </w:pPr>
            <w:r>
              <w:rPr>
                <w:sz w:val="16"/>
              </w:rPr>
              <w:t>Locate a case’s starting and extended cells; not scored.</w:t>
            </w:r>
          </w:p>
        </w:tc>
      </w:tr>
      <w:tr>
        <w:trPr>
          <w:cantSplit/>
        </w:trPr>
        <w:tc>
          <w:tcPr>
            <w:tcW w:type="dxa" w:w="2232"/>
            <w:vAlign w:val="center"/>
          </w:tcPr>
          <w:p>
            <w:pPr>
              <w:spacing w:after="0"/>
            </w:pPr>
            <w:r>
              <w:rPr>
                <w:sz w:val="16"/>
              </w:rPr>
              <w:t>Three functional transfers</w:t>
            </w:r>
          </w:p>
        </w:tc>
        <w:tc>
          <w:tcPr>
            <w:tcW w:type="dxa" w:w="2520"/>
            <w:vAlign w:val="center"/>
          </w:tcPr>
          <w:p>
            <w:pPr>
              <w:spacing w:after="0"/>
            </w:pPr>
            <w:r>
              <w:rPr>
                <w:sz w:val="16"/>
              </w:rPr>
              <w:t>P1 is Focus; P2/P3 are Context</w:t>
            </w:r>
          </w:p>
        </w:tc>
        <w:tc>
          <w:tcPr>
            <w:tcW w:type="dxa" w:w="4608"/>
            <w:vAlign w:val="center"/>
          </w:tcPr>
          <w:p>
            <w:pPr>
              <w:spacing w:after="0"/>
            </w:pPr>
            <w:r>
              <w:rPr>
                <w:sz w:val="16"/>
              </w:rPr>
              <w:t>Score P1 using five indicators; trace P2/P3 as downstream transmission.</w:t>
            </w:r>
          </w:p>
        </w:tc>
      </w:tr>
      <w:tr>
        <w:trPr>
          <w:cantSplit/>
        </w:trPr>
        <w:tc>
          <w:tcPr>
            <w:tcW w:type="dxa" w:w="2232"/>
            <w:vAlign w:val="center"/>
          </w:tcPr>
          <w:p>
            <w:pPr>
              <w:spacing w:after="0"/>
            </w:pPr>
            <w:r>
              <w:rPr>
                <w:sz w:val="16"/>
              </w:rPr>
              <w:t>Three structural effects</w:t>
            </w:r>
          </w:p>
        </w:tc>
        <w:tc>
          <w:tcPr>
            <w:tcW w:type="dxa" w:w="2520"/>
            <w:vAlign w:val="center"/>
          </w:tcPr>
          <w:p>
            <w:pPr>
              <w:spacing w:after="0"/>
            </w:pPr>
            <w:r>
              <w:rPr>
                <w:sz w:val="16"/>
              </w:rPr>
              <w:t>Context</w:t>
            </w:r>
          </w:p>
        </w:tc>
        <w:tc>
          <w:tcPr>
            <w:tcW w:type="dxa" w:w="4608"/>
            <w:vAlign w:val="center"/>
          </w:tcPr>
          <w:p>
            <w:pPr>
              <w:spacing w:after="0"/>
            </w:pPr>
            <w:r>
              <w:rPr>
                <w:sz w:val="16"/>
              </w:rPr>
              <w:t>Explain cross-cell movement, boundary dissolution, and authority reconfiguration; not scored.</w:t>
            </w:r>
          </w:p>
        </w:tc>
      </w:tr>
      <w:tr>
        <w:trPr>
          <w:cantSplit/>
        </w:trPr>
        <w:tc>
          <w:tcPr>
            <w:tcW w:type="dxa" w:w="2232"/>
            <w:vAlign w:val="center"/>
          </w:tcPr>
          <w:p>
            <w:pPr>
              <w:spacing w:after="0"/>
            </w:pPr>
            <w:r>
              <w:rPr>
                <w:sz w:val="16"/>
              </w:rPr>
              <w:t>Four governance chains</w:t>
            </w:r>
          </w:p>
        </w:tc>
        <w:tc>
          <w:tcPr>
            <w:tcW w:type="dxa" w:w="2520"/>
            <w:vAlign w:val="center"/>
          </w:tcPr>
          <w:p>
            <w:pPr>
              <w:spacing w:after="0"/>
            </w:pPr>
            <w:r>
              <w:rPr>
                <w:sz w:val="16"/>
              </w:rPr>
              <w:t>Context-construction is Focus; the other three are Context</w:t>
            </w:r>
          </w:p>
        </w:tc>
        <w:tc>
          <w:tcPr>
            <w:tcW w:type="dxa" w:w="4608"/>
            <w:vAlign w:val="center"/>
          </w:tcPr>
          <w:p>
            <w:pPr>
              <w:spacing w:after="0"/>
            </w:pPr>
            <w:r>
              <w:rPr>
                <w:sz w:val="16"/>
              </w:rPr>
              <w:t>Measure the former with twelve C1 indicators; trace the latter as outcomes.</w:t>
            </w:r>
          </w:p>
        </w:tc>
      </w:tr>
      <w:tr>
        <w:trPr>
          <w:cantSplit/>
        </w:trPr>
        <w:tc>
          <w:tcPr>
            <w:tcW w:type="dxa" w:w="2232"/>
            <w:vAlign w:val="center"/>
          </w:tcPr>
          <w:p>
            <w:pPr>
              <w:spacing w:after="0"/>
            </w:pPr>
            <w:r>
              <w:rPr>
                <w:sz w:val="16"/>
              </w:rPr>
              <w:t>Seven governance audits</w:t>
            </w:r>
          </w:p>
        </w:tc>
        <w:tc>
          <w:tcPr>
            <w:tcW w:type="dxa" w:w="2520"/>
            <w:vAlign w:val="center"/>
          </w:tcPr>
          <w:p>
            <w:pPr>
              <w:spacing w:after="0"/>
            </w:pPr>
            <w:r>
              <w:rPr>
                <w:sz w:val="16"/>
              </w:rPr>
              <w:t>Context</w:t>
            </w:r>
          </w:p>
        </w:tc>
        <w:tc>
          <w:tcPr>
            <w:tcW w:type="dxa" w:w="4608"/>
            <w:vAlign w:val="center"/>
          </w:tcPr>
          <w:p>
            <w:pPr>
              <w:spacing w:after="0"/>
            </w:pPr>
            <w:r>
              <w:rPr>
                <w:sz w:val="16"/>
              </w:rPr>
              <w:t>Used only to check evidentiary gaps; not mapped item-by-item to C1 or separately scored.</w:t>
            </w:r>
          </w:p>
        </w:tc>
      </w:tr>
    </w:tbl>
    <w:p>
      <w:r/>
    </w:p>
    <w:p>
      <w:pPr>
        <w:pStyle w:val="Heading1"/>
      </w:pPr>
      <w:r>
        <w:t>3. Why Situation-Construction Power Requires Democratization</w:t>
      </w:r>
    </w:p>
    <w:p>
      <w:r>
        <w:t>Policy problems are never simply found; they are defined. Technical systems can make this familiar fact less visible by treating categories and thresholds as neutral operational choices. The resulting efficiency can be valuable, but it may also pre-empt contestation: affected groups may be excluded before they can challenge the data, proxies, or framing through which they are represented.</w:t>
      </w:r>
    </w:p>
    <w:p>
      <w:r>
        <w:t>Three literatures meet at this point. Algorithmic-administration research shows that technical systems can displace discretion into data and design. Work on democratic friction reminds us that legitimacy requires opportunities to slow down, question, and refuse a proposed course of action. The account of rationalization warns that apparently coherent technical procedures can become difficult to identify, challenge, or correct. This paper adopts a modest position: it does not ask administration to abandon classification; it asks institutions to preserve traceability, contestability, and identifiable human responsibility.</w:t>
      </w:r>
    </w:p>
    <w:p>
      <w:r>
        <w:t>The minimum democratic requirements are: first, a framing must be traceable to identifiable choices and actors; second, affected persons and groups must have a meaningful opportunity to contest inclusion, exclusion, or categorization; and third, institutions must be able to revise the framing and record that revision.</w:t>
      </w:r>
    </w:p>
    <w:p>
      <w:r>
        <w:rPr>
          <w:b/>
        </w:rPr>
        <w:t>Table 3. Institutional Responses to Structural Challenges in the Context-Construction Chain</w:t>
      </w:r>
    </w:p>
    <w:tbl>
      <w:tblPr>
        <w:tblStyle w:val="TableGrid"/>
        <w:tblW w:type="auto" w:w="0"/>
        <w:jc w:val="center"/>
        <w:tblLayout w:type="fixed"/>
        <w:tblLook w:firstColumn="1" w:firstRow="1" w:lastColumn="0" w:lastRow="0" w:noHBand="0" w:noVBand="1" w:val="04A0"/>
      </w:tblPr>
      <w:tblGrid>
        <w:gridCol w:w="3120"/>
        <w:gridCol w:w="3120"/>
        <w:gridCol w:w="3120"/>
      </w:tblGrid>
      <w:tr>
        <w:trPr>
          <w:cantSplit/>
        </w:trPr>
        <w:tc>
          <w:tcPr>
            <w:tcW w:type="dxa" w:w="2232"/>
            <w:vAlign w:val="center"/>
          </w:tcPr>
          <w:p>
            <w:pPr>
              <w:spacing w:after="0"/>
            </w:pPr>
            <w:r>
              <w:rPr>
                <w:b/>
                <w:sz w:val="16"/>
              </w:rPr>
              <w:t>Structural challenge</w:t>
            </w:r>
          </w:p>
        </w:tc>
        <w:tc>
          <w:tcPr>
            <w:tcW w:type="dxa" w:w="4392"/>
            <w:vAlign w:val="center"/>
          </w:tcPr>
          <w:p>
            <w:pPr>
              <w:spacing w:after="0"/>
            </w:pPr>
            <w:r>
              <w:rPr>
                <w:b/>
                <w:sz w:val="16"/>
              </w:rPr>
              <w:t>Institutional response</w:t>
            </w:r>
          </w:p>
        </w:tc>
        <w:tc>
          <w:tcPr>
            <w:tcW w:type="dxa" w:w="2736"/>
            <w:vAlign w:val="center"/>
          </w:tcPr>
          <w:p>
            <w:pPr>
              <w:spacing w:after="0"/>
            </w:pPr>
            <w:r>
              <w:rPr>
                <w:b/>
                <w:sz w:val="16"/>
              </w:rPr>
              <w:t>Supplementary audit checks (not part of C1)</w:t>
            </w:r>
          </w:p>
        </w:tc>
      </w:tr>
      <w:tr>
        <w:trPr>
          <w:cantSplit/>
        </w:trPr>
        <w:tc>
          <w:tcPr>
            <w:tcW w:type="dxa" w:w="2232"/>
            <w:vAlign w:val="center"/>
          </w:tcPr>
          <w:p>
            <w:pPr>
              <w:spacing w:after="0"/>
            </w:pPr>
            <w:r>
              <w:rPr>
                <w:sz w:val="16"/>
              </w:rPr>
              <w:t>Technical opacity and professional monopoly</w:t>
            </w:r>
          </w:p>
        </w:tc>
        <w:tc>
          <w:tcPr>
            <w:tcW w:type="dxa" w:w="4392"/>
            <w:vAlign w:val="center"/>
          </w:tcPr>
          <w:p>
            <w:pPr>
              <w:spacing w:after="0"/>
            </w:pPr>
            <w:r>
              <w:rPr>
                <w:sz w:val="16"/>
              </w:rPr>
              <w:t>Preserve data dictionaries, classification rules, prompts/thresholds, and version changes; provide intelligible explanations.</w:t>
            </w:r>
          </w:p>
        </w:tc>
        <w:tc>
          <w:tcPr>
            <w:tcW w:type="dxa" w:w="2736"/>
            <w:vAlign w:val="center"/>
          </w:tcPr>
          <w:p>
            <w:pPr>
              <w:spacing w:after="0"/>
            </w:pPr>
            <w:r>
              <w:rPr>
                <w:sz w:val="16"/>
              </w:rPr>
              <w:t>Data representativeness; reason-giving; organizational capacity</w:t>
            </w:r>
          </w:p>
        </w:tc>
      </w:tr>
      <w:tr>
        <w:trPr>
          <w:cantSplit/>
        </w:trPr>
        <w:tc>
          <w:tcPr>
            <w:tcW w:type="dxa" w:w="2232"/>
            <w:vAlign w:val="center"/>
          </w:tcPr>
          <w:p>
            <w:pPr>
              <w:spacing w:after="0"/>
            </w:pPr>
            <w:r>
              <w:rPr>
                <w:sz w:val="16"/>
              </w:rPr>
              <w:t>Fragmented algorithmic supply chains</w:t>
            </w:r>
          </w:p>
        </w:tc>
        <w:tc>
          <w:tcPr>
            <w:tcW w:type="dxa" w:w="4392"/>
            <w:vAlign w:val="center"/>
          </w:tcPr>
          <w:p>
            <w:pPr>
              <w:spacing w:after="0"/>
            </w:pPr>
            <w:r>
              <w:rPr>
                <w:sz w:val="16"/>
              </w:rPr>
              <w:t>Disclose vendors and division of labor; include audit rights, record duties, and incident responsibility in contracts.</w:t>
            </w:r>
          </w:p>
        </w:tc>
        <w:tc>
          <w:tcPr>
            <w:tcW w:type="dxa" w:w="2736"/>
            <w:vAlign w:val="center"/>
          </w:tcPr>
          <w:p>
            <w:pPr>
              <w:spacing w:after="0"/>
            </w:pPr>
            <w:r>
              <w:rPr>
                <w:sz w:val="16"/>
              </w:rPr>
              <w:t>Responsibility attribution; organizational capacity; privacy and security</w:t>
            </w:r>
          </w:p>
        </w:tc>
      </w:tr>
      <w:tr>
        <w:trPr>
          <w:cantSplit/>
        </w:trPr>
        <w:tc>
          <w:tcPr>
            <w:tcW w:type="dxa" w:w="2232"/>
            <w:vAlign w:val="center"/>
          </w:tcPr>
          <w:p>
            <w:pPr>
              <w:spacing w:after="0"/>
            </w:pPr>
            <w:r>
              <w:rPr>
                <w:sz w:val="16"/>
              </w:rPr>
              <w:t>Tension between efficiency and democracy</w:t>
            </w:r>
          </w:p>
        </w:tc>
        <w:tc>
          <w:tcPr>
            <w:tcW w:type="dxa" w:w="4392"/>
            <w:vAlign w:val="center"/>
          </w:tcPr>
          <w:p>
            <w:pPr>
              <w:spacing w:after="0"/>
            </w:pPr>
            <w:r>
              <w:rPr>
                <w:sz w:val="16"/>
              </w:rPr>
              <w:t>Grade requirements by P1 exposure, discretion, and rights impact; do not require individual deliberation for every low-risk operation.</w:t>
            </w:r>
          </w:p>
        </w:tc>
        <w:tc>
          <w:tcPr>
            <w:tcW w:type="dxa" w:w="2736"/>
            <w:vAlign w:val="center"/>
          </w:tcPr>
          <w:p>
            <w:pPr>
              <w:spacing w:after="0"/>
            </w:pPr>
            <w:r>
              <w:rPr>
                <w:sz w:val="16"/>
              </w:rPr>
              <w:t>Discretion boundary; democratic accountability</w:t>
            </w:r>
          </w:p>
        </w:tc>
      </w:tr>
      <w:tr>
        <w:trPr>
          <w:cantSplit/>
        </w:trPr>
        <w:tc>
          <w:tcPr>
            <w:tcW w:type="dxa" w:w="2232"/>
            <w:vAlign w:val="center"/>
          </w:tcPr>
          <w:p>
            <w:pPr>
              <w:spacing w:after="0"/>
            </w:pPr>
            <w:r>
              <w:rPr>
                <w:sz w:val="16"/>
              </w:rPr>
              <w:t>Participation gap for vulnerable groups</w:t>
            </w:r>
          </w:p>
        </w:tc>
        <w:tc>
          <w:tcPr>
            <w:tcW w:type="dxa" w:w="4392"/>
            <w:vAlign w:val="center"/>
          </w:tcPr>
          <w:p>
            <w:pPr>
              <w:spacing w:after="0"/>
            </w:pPr>
            <w:r>
              <w:rPr>
                <w:sz w:val="16"/>
              </w:rPr>
              <w:t>Include affected groups when data, labels, and thresholds are designed; establish channels for framing objections.</w:t>
            </w:r>
          </w:p>
        </w:tc>
        <w:tc>
          <w:tcPr>
            <w:tcW w:type="dxa" w:w="2736"/>
            <w:vAlign w:val="center"/>
          </w:tcPr>
          <w:p>
            <w:pPr>
              <w:spacing w:after="0"/>
            </w:pPr>
            <w:r>
              <w:rPr>
                <w:sz w:val="16"/>
              </w:rPr>
              <w:t>Data representativeness; democratic accountability</w:t>
            </w:r>
          </w:p>
        </w:tc>
      </w:tr>
    </w:tbl>
    <w:p>
      <w:r/>
    </w:p>
    <w:p>
      <w:pPr>
        <w:pStyle w:val="Heading1"/>
      </w:pPr>
      <w:r>
        <w:t>4. Two-Stage Measurement and Coding</w:t>
      </w:r>
    </w:p>
    <w:p>
      <w:r>
        <w:t>Stage 1 measures exposure: the extent to which AI has become functionally influential in defining a problem and recognizing administrative facts. Stage 2 measures integrity: the extent to which that influence remains open to documentary reconstruction, democratic review, and correction. These are formative measures. They form a profile rather than reveal a single latent trait, and no compensatory aggregate should conceal a missing minimum safeguard.</w:t>
      </w:r>
    </w:p>
    <w:p>
      <w:r>
        <w:rPr>
          <w:b/>
        </w:rPr>
        <w:t>Table 4. P1 Exposure Indicators for the Transfer of Situation-Construction and Fact-Recognition Power</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cantSplit/>
        </w:trPr>
        <w:tc>
          <w:tcPr>
            <w:tcW w:type="dxa" w:w="936"/>
            <w:vAlign w:val="center"/>
          </w:tcPr>
          <w:p>
            <w:pPr>
              <w:spacing w:after="0"/>
            </w:pPr>
            <w:r>
              <w:rPr>
                <w:b/>
                <w:sz w:val="16"/>
              </w:rPr>
              <w:t>Code</w:t>
            </w:r>
          </w:p>
        </w:tc>
        <w:tc>
          <w:tcPr>
            <w:tcW w:type="dxa" w:w="1656"/>
            <w:vAlign w:val="center"/>
          </w:tcPr>
          <w:p>
            <w:pPr>
              <w:spacing w:after="0"/>
            </w:pPr>
            <w:r>
              <w:rPr>
                <w:b/>
                <w:sz w:val="16"/>
              </w:rPr>
              <w:t>Indicator</w:t>
            </w:r>
          </w:p>
        </w:tc>
        <w:tc>
          <w:tcPr>
            <w:tcW w:type="dxa" w:w="3096"/>
            <w:vAlign w:val="center"/>
          </w:tcPr>
          <w:p>
            <w:pPr>
              <w:spacing w:after="0"/>
            </w:pPr>
            <w:r>
              <w:rPr>
                <w:b/>
                <w:sz w:val="16"/>
              </w:rPr>
              <w:t>Core question</w:t>
            </w:r>
          </w:p>
        </w:tc>
        <w:tc>
          <w:tcPr>
            <w:tcW w:type="dxa" w:w="1800"/>
            <w:vAlign w:val="center"/>
          </w:tcPr>
          <w:p>
            <w:pPr>
              <w:spacing w:after="0"/>
            </w:pPr>
            <w:r>
              <w:rPr>
                <w:b/>
                <w:sz w:val="16"/>
              </w:rPr>
              <w:t>0 anchor</w:t>
            </w:r>
          </w:p>
        </w:tc>
        <w:tc>
          <w:tcPr>
            <w:tcW w:type="dxa" w:w="1872"/>
            <w:vAlign w:val="center"/>
          </w:tcPr>
          <w:p>
            <w:pPr>
              <w:spacing w:after="0"/>
            </w:pPr>
            <w:r>
              <w:rPr>
                <w:b/>
                <w:sz w:val="16"/>
              </w:rPr>
              <w:t>4 anchor</w:t>
            </w:r>
          </w:p>
        </w:tc>
      </w:tr>
      <w:tr>
        <w:trPr>
          <w:cantSplit/>
        </w:trPr>
        <w:tc>
          <w:tcPr>
            <w:tcW w:type="dxa" w:w="936"/>
            <w:vAlign w:val="center"/>
          </w:tcPr>
          <w:p>
            <w:pPr>
              <w:spacing w:after="0"/>
            </w:pPr>
            <w:r>
              <w:rPr>
                <w:sz w:val="16"/>
              </w:rPr>
              <w:t>P1-1</w:t>
            </w:r>
          </w:p>
        </w:tc>
        <w:tc>
          <w:tcPr>
            <w:tcW w:type="dxa" w:w="1656"/>
            <w:vAlign w:val="center"/>
          </w:tcPr>
          <w:p>
            <w:pPr>
              <w:spacing w:after="0"/>
            </w:pPr>
            <w:r>
              <w:rPr>
                <w:sz w:val="16"/>
              </w:rPr>
              <w:t>Problem-definition intervention</w:t>
            </w:r>
          </w:p>
        </w:tc>
        <w:tc>
          <w:tcPr>
            <w:tcW w:type="dxa" w:w="3096"/>
            <w:vAlign w:val="center"/>
          </w:tcPr>
          <w:p>
            <w:pPr>
              <w:spacing w:after="0"/>
            </w:pPr>
            <w:r>
              <w:rPr>
                <w:sz w:val="16"/>
              </w:rPr>
              <w:t>Does the system determine what counts as risk, violation, need, or a policy problem?</w:t>
            </w:r>
          </w:p>
        </w:tc>
        <w:tc>
          <w:tcPr>
            <w:tcW w:type="dxa" w:w="1800"/>
            <w:vAlign w:val="center"/>
          </w:tcPr>
          <w:p>
            <w:pPr>
              <w:spacing w:after="0"/>
            </w:pPr>
            <w:r>
              <w:rPr>
                <w:sz w:val="16"/>
              </w:rPr>
              <w:t>Executes only a human-specified problem</w:t>
            </w:r>
          </w:p>
        </w:tc>
        <w:tc>
          <w:tcPr>
            <w:tcW w:type="dxa" w:w="1872"/>
            <w:vAlign w:val="center"/>
          </w:tcPr>
          <w:p>
            <w:pPr>
              <w:spacing w:after="0"/>
            </w:pPr>
            <w:r>
              <w:rPr>
                <w:sz w:val="16"/>
              </w:rPr>
              <w:t>System or technical design substantively defines the problem</w:t>
            </w:r>
          </w:p>
        </w:tc>
      </w:tr>
      <w:tr>
        <w:trPr>
          <w:cantSplit/>
        </w:trPr>
        <w:tc>
          <w:tcPr>
            <w:tcW w:type="dxa" w:w="936"/>
            <w:vAlign w:val="center"/>
          </w:tcPr>
          <w:p>
            <w:pPr>
              <w:spacing w:after="0"/>
            </w:pPr>
            <w:r>
              <w:rPr>
                <w:sz w:val="16"/>
              </w:rPr>
              <w:t>P1-2</w:t>
            </w:r>
          </w:p>
        </w:tc>
        <w:tc>
          <w:tcPr>
            <w:tcW w:type="dxa" w:w="1656"/>
            <w:vAlign w:val="center"/>
          </w:tcPr>
          <w:p>
            <w:pPr>
              <w:spacing w:after="0"/>
            </w:pPr>
            <w:r>
              <w:rPr>
                <w:sz w:val="16"/>
              </w:rPr>
              <w:t>Data/classification intervention</w:t>
            </w:r>
          </w:p>
        </w:tc>
        <w:tc>
          <w:tcPr>
            <w:tcW w:type="dxa" w:w="3096"/>
            <w:vAlign w:val="center"/>
          </w:tcPr>
          <w:p>
            <w:pPr>
              <w:spacing w:after="0"/>
            </w:pPr>
            <w:r>
              <w:rPr>
                <w:sz w:val="16"/>
              </w:rPr>
              <w:t>Does the system select, integrate, exclude data, or create categories and proxy variables?</w:t>
            </w:r>
          </w:p>
        </w:tc>
        <w:tc>
          <w:tcPr>
            <w:tcW w:type="dxa" w:w="1800"/>
            <w:vAlign w:val="center"/>
          </w:tcPr>
          <w:p>
            <w:pPr>
              <w:spacing w:after="0"/>
            </w:pPr>
            <w:r>
              <w:rPr>
                <w:sz w:val="16"/>
              </w:rPr>
              <w:t>Does not affect data or classification</w:t>
            </w:r>
          </w:p>
        </w:tc>
        <w:tc>
          <w:tcPr>
            <w:tcW w:type="dxa" w:w="1872"/>
            <w:vAlign w:val="center"/>
          </w:tcPr>
          <w:p>
            <w:pPr>
              <w:spacing w:after="0"/>
            </w:pPr>
            <w:r>
              <w:rPr>
                <w:sz w:val="16"/>
              </w:rPr>
              <w:t>Determines data and classification extensively or opaquely</w:t>
            </w:r>
          </w:p>
        </w:tc>
      </w:tr>
      <w:tr>
        <w:trPr>
          <w:cantSplit/>
        </w:trPr>
        <w:tc>
          <w:tcPr>
            <w:tcW w:type="dxa" w:w="936"/>
            <w:vAlign w:val="center"/>
          </w:tcPr>
          <w:p>
            <w:pPr>
              <w:spacing w:after="0"/>
            </w:pPr>
            <w:r>
              <w:rPr>
                <w:sz w:val="16"/>
              </w:rPr>
              <w:t>P1-3</w:t>
            </w:r>
          </w:p>
        </w:tc>
        <w:tc>
          <w:tcPr>
            <w:tcW w:type="dxa" w:w="1656"/>
            <w:vAlign w:val="center"/>
          </w:tcPr>
          <w:p>
            <w:pPr>
              <w:spacing w:after="0"/>
            </w:pPr>
            <w:r>
              <w:rPr>
                <w:sz w:val="16"/>
              </w:rPr>
              <w:t>Default force</w:t>
            </w:r>
          </w:p>
        </w:tc>
        <w:tc>
          <w:tcPr>
            <w:tcW w:type="dxa" w:w="3096"/>
            <w:vAlign w:val="center"/>
          </w:tcPr>
          <w:p>
            <w:pPr>
              <w:spacing w:after="0"/>
            </w:pPr>
            <w:r>
              <w:rPr>
                <w:sz w:val="16"/>
              </w:rPr>
              <w:t>Does output become a default starting point from which later judgment rarely departs?</w:t>
            </w:r>
          </w:p>
        </w:tc>
        <w:tc>
          <w:tcPr>
            <w:tcW w:type="dxa" w:w="1800"/>
            <w:vAlign w:val="center"/>
          </w:tcPr>
          <w:p>
            <w:pPr>
              <w:spacing w:after="0"/>
            </w:pPr>
            <w:r>
              <w:rPr>
                <w:sz w:val="16"/>
              </w:rPr>
              <w:t>Purely informational reference</w:t>
            </w:r>
          </w:p>
        </w:tc>
        <w:tc>
          <w:tcPr>
            <w:tcW w:type="dxa" w:w="1872"/>
            <w:vAlign w:val="center"/>
          </w:tcPr>
          <w:p>
            <w:pPr>
              <w:spacing w:after="0"/>
            </w:pPr>
            <w:r>
              <w:rPr>
                <w:sz w:val="16"/>
              </w:rPr>
              <w:t>Substantively irreversible or automatically adopted</w:t>
            </w:r>
          </w:p>
        </w:tc>
      </w:tr>
      <w:tr>
        <w:trPr>
          <w:cantSplit/>
        </w:trPr>
        <w:tc>
          <w:tcPr>
            <w:tcW w:type="dxa" w:w="936"/>
            <w:vAlign w:val="center"/>
          </w:tcPr>
          <w:p>
            <w:pPr>
              <w:spacing w:after="0"/>
            </w:pPr>
            <w:r>
              <w:rPr>
                <w:sz w:val="16"/>
              </w:rPr>
              <w:t>P1-4</w:t>
            </w:r>
          </w:p>
        </w:tc>
        <w:tc>
          <w:tcPr>
            <w:tcW w:type="dxa" w:w="1656"/>
            <w:vAlign w:val="center"/>
          </w:tcPr>
          <w:p>
            <w:pPr>
              <w:spacing w:after="0"/>
            </w:pPr>
            <w:r>
              <w:rPr>
                <w:sz w:val="16"/>
              </w:rPr>
              <w:t>Human reversibility</w:t>
            </w:r>
          </w:p>
        </w:tc>
        <w:tc>
          <w:tcPr>
            <w:tcW w:type="dxa" w:w="3096"/>
            <w:vAlign w:val="center"/>
          </w:tcPr>
          <w:p>
            <w:pPr>
              <w:spacing w:after="0"/>
            </w:pPr>
            <w:r>
              <w:rPr>
                <w:sz w:val="16"/>
              </w:rPr>
              <w:t>Can a human understand, alter, or reject the technical framing?</w:t>
            </w:r>
          </w:p>
        </w:tc>
        <w:tc>
          <w:tcPr>
            <w:tcW w:type="dxa" w:w="1800"/>
            <w:vAlign w:val="center"/>
          </w:tcPr>
          <w:p>
            <w:pPr>
              <w:spacing w:after="0"/>
            </w:pPr>
            <w:r>
              <w:rPr>
                <w:sz w:val="16"/>
              </w:rPr>
              <w:t>Can revise freely with stated reasons</w:t>
            </w:r>
          </w:p>
        </w:tc>
        <w:tc>
          <w:tcPr>
            <w:tcW w:type="dxa" w:w="1872"/>
            <w:vAlign w:val="center"/>
          </w:tcPr>
          <w:p>
            <w:pPr>
              <w:spacing w:after="0"/>
            </w:pPr>
            <w:r>
              <w:rPr>
                <w:sz w:val="16"/>
              </w:rPr>
              <w:t>No substantive review or override is extremely difficult</w:t>
            </w:r>
          </w:p>
        </w:tc>
      </w:tr>
      <w:tr>
        <w:trPr>
          <w:cantSplit/>
        </w:trPr>
        <w:tc>
          <w:tcPr>
            <w:tcW w:type="dxa" w:w="936"/>
            <w:vAlign w:val="center"/>
          </w:tcPr>
          <w:p>
            <w:pPr>
              <w:spacing w:after="0"/>
            </w:pPr>
            <w:r>
              <w:rPr>
                <w:sz w:val="16"/>
              </w:rPr>
              <w:t>P1-5</w:t>
            </w:r>
          </w:p>
        </w:tc>
        <w:tc>
          <w:tcPr>
            <w:tcW w:type="dxa" w:w="1656"/>
            <w:vAlign w:val="center"/>
          </w:tcPr>
          <w:p>
            <w:pPr>
              <w:spacing w:after="0"/>
            </w:pPr>
            <w:r>
              <w:rPr>
                <w:sz w:val="16"/>
              </w:rPr>
              <w:t>Consequence linkage</w:t>
            </w:r>
          </w:p>
        </w:tc>
        <w:tc>
          <w:tcPr>
            <w:tcW w:type="dxa" w:w="3096"/>
            <w:vAlign w:val="center"/>
          </w:tcPr>
          <w:p>
            <w:pPr>
              <w:spacing w:after="0"/>
            </w:pPr>
            <w:r>
              <w:rPr>
                <w:sz w:val="16"/>
              </w:rPr>
              <w:t>How close is technical framing to investigation, benefits, debt, sanctions, or other rights effects?</w:t>
            </w:r>
          </w:p>
        </w:tc>
        <w:tc>
          <w:tcPr>
            <w:tcW w:type="dxa" w:w="1800"/>
            <w:vAlign w:val="center"/>
          </w:tcPr>
          <w:p>
            <w:pPr>
              <w:spacing w:after="0"/>
            </w:pPr>
            <w:r>
              <w:rPr>
                <w:sz w:val="16"/>
              </w:rPr>
              <w:t>No link to case effects</w:t>
            </w:r>
          </w:p>
        </w:tc>
        <w:tc>
          <w:tcPr>
            <w:tcW w:type="dxa" w:w="1872"/>
            <w:vAlign w:val="center"/>
          </w:tcPr>
          <w:p>
            <w:pPr>
              <w:spacing w:after="0"/>
            </w:pPr>
            <w:r>
              <w:rPr>
                <w:sz w:val="16"/>
              </w:rPr>
              <w:t>Directly or near-directly produces major effects</w:t>
            </w:r>
          </w:p>
        </w:tc>
      </w:tr>
    </w:tbl>
    <w:p>
      <w:r/>
    </w:p>
    <w:p>
      <w:r>
        <w:rPr>
          <w:b/>
        </w:rPr>
        <w:t>Table 5. C1 Integrity of the Context-Construction Chain: Four Dimensions and Twelve Indicators</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cantSplit/>
        </w:trPr>
        <w:tc>
          <w:tcPr>
            <w:tcW w:type="dxa" w:w="1296"/>
            <w:vAlign w:val="center"/>
          </w:tcPr>
          <w:p>
            <w:pPr>
              <w:spacing w:after="0"/>
            </w:pPr>
            <w:r>
              <w:rPr>
                <w:b/>
                <w:sz w:val="16"/>
              </w:rPr>
              <w:t>Dimension / code</w:t>
            </w:r>
          </w:p>
        </w:tc>
        <w:tc>
          <w:tcPr>
            <w:tcW w:type="dxa" w:w="1872"/>
            <w:vAlign w:val="center"/>
          </w:tcPr>
          <w:p>
            <w:pPr>
              <w:spacing w:after="0"/>
            </w:pPr>
            <w:r>
              <w:rPr>
                <w:b/>
                <w:sz w:val="16"/>
              </w:rPr>
              <w:t>Indicator</w:t>
            </w:r>
          </w:p>
        </w:tc>
        <w:tc>
          <w:tcPr>
            <w:tcW w:type="dxa" w:w="3240"/>
            <w:vAlign w:val="center"/>
          </w:tcPr>
          <w:p>
            <w:pPr>
              <w:spacing w:after="0"/>
            </w:pPr>
            <w:r>
              <w:rPr>
                <w:b/>
                <w:sz w:val="16"/>
              </w:rPr>
              <w:t>Core scoring question</w:t>
            </w:r>
          </w:p>
        </w:tc>
        <w:tc>
          <w:tcPr>
            <w:tcW w:type="dxa" w:w="2952"/>
            <w:vAlign w:val="center"/>
          </w:tcPr>
          <w:p>
            <w:pPr>
              <w:spacing w:after="0"/>
            </w:pPr>
            <w:r>
              <w:rPr>
                <w:b/>
                <w:sz w:val="16"/>
              </w:rPr>
              <w:t>Observable evidence</w:t>
            </w:r>
          </w:p>
        </w:tc>
      </w:tr>
      <w:tr>
        <w:trPr>
          <w:cantSplit/>
        </w:trPr>
        <w:tc>
          <w:tcPr>
            <w:tcW w:type="dxa" w:w="1296"/>
            <w:vAlign w:val="center"/>
          </w:tcPr>
          <w:p>
            <w:pPr>
              <w:spacing w:after="0"/>
            </w:pPr>
            <w:r>
              <w:rPr>
                <w:sz w:val="16"/>
              </w:rPr>
              <w:t>D1 C1-1</w:t>
            </w:r>
          </w:p>
        </w:tc>
        <w:tc>
          <w:tcPr>
            <w:tcW w:type="dxa" w:w="1872"/>
            <w:vAlign w:val="center"/>
          </w:tcPr>
          <w:p>
            <w:pPr>
              <w:spacing w:after="0"/>
            </w:pPr>
            <w:r>
              <w:rPr>
                <w:sz w:val="16"/>
              </w:rPr>
              <w:t>Written problem definition</w:t>
            </w:r>
          </w:p>
        </w:tc>
        <w:tc>
          <w:tcPr>
            <w:tcW w:type="dxa" w:w="3240"/>
            <w:vAlign w:val="center"/>
          </w:tcPr>
          <w:p>
            <w:pPr>
              <w:spacing w:after="0"/>
            </w:pPr>
            <w:r>
              <w:rPr>
                <w:sz w:val="16"/>
              </w:rPr>
              <w:t>Are the public problem, target, and scope explicitly documented?</w:t>
            </w:r>
          </w:p>
        </w:tc>
        <w:tc>
          <w:tcPr>
            <w:tcW w:type="dxa" w:w="2952"/>
            <w:vAlign w:val="center"/>
          </w:tcPr>
          <w:p>
            <w:pPr>
              <w:spacing w:after="0"/>
            </w:pPr>
            <w:r>
              <w:rPr>
                <w:sz w:val="16"/>
              </w:rPr>
              <w:t>Policy documents; project charter</w:t>
            </w:r>
          </w:p>
        </w:tc>
      </w:tr>
      <w:tr>
        <w:trPr>
          <w:cantSplit/>
        </w:trPr>
        <w:tc>
          <w:tcPr>
            <w:tcW w:type="dxa" w:w="1296"/>
            <w:vAlign w:val="center"/>
          </w:tcPr>
          <w:p>
            <w:pPr>
              <w:spacing w:after="0"/>
            </w:pPr>
            <w:r>
              <w:rPr>
                <w:sz w:val="16"/>
              </w:rPr>
              <w:t>D1 C1-2</w:t>
            </w:r>
          </w:p>
        </w:tc>
        <w:tc>
          <w:tcPr>
            <w:tcW w:type="dxa" w:w="1872"/>
            <w:vAlign w:val="center"/>
          </w:tcPr>
          <w:p>
            <w:pPr>
              <w:spacing w:after="0"/>
            </w:pPr>
            <w:r>
              <w:rPr>
                <w:sz w:val="16"/>
              </w:rPr>
              <w:t>Named framing decision-maker</w:t>
            </w:r>
          </w:p>
        </w:tc>
        <w:tc>
          <w:tcPr>
            <w:tcW w:type="dxa" w:w="3240"/>
            <w:vAlign w:val="center"/>
          </w:tcPr>
          <w:p>
            <w:pPr>
              <w:spacing w:after="0"/>
            </w:pPr>
            <w:r>
              <w:rPr>
                <w:sz w:val="16"/>
              </w:rPr>
              <w:t>Who approves the problem, labels, proxy variables, and key choices?</w:t>
            </w:r>
          </w:p>
        </w:tc>
        <w:tc>
          <w:tcPr>
            <w:tcW w:type="dxa" w:w="2952"/>
            <w:vAlign w:val="center"/>
          </w:tcPr>
          <w:p>
            <w:pPr>
              <w:spacing w:after="0"/>
            </w:pPr>
            <w:r>
              <w:rPr>
                <w:sz w:val="16"/>
              </w:rPr>
              <w:t>Responsibility chart; meeting records; sign-off</w:t>
            </w:r>
          </w:p>
        </w:tc>
      </w:tr>
      <w:tr>
        <w:trPr>
          <w:cantSplit/>
        </w:trPr>
        <w:tc>
          <w:tcPr>
            <w:tcW w:type="dxa" w:w="1296"/>
            <w:vAlign w:val="center"/>
          </w:tcPr>
          <w:p>
            <w:pPr>
              <w:spacing w:after="0"/>
            </w:pPr>
            <w:r>
              <w:rPr>
                <w:sz w:val="16"/>
              </w:rPr>
              <w:t>D1 C1-3</w:t>
            </w:r>
          </w:p>
        </w:tc>
        <w:tc>
          <w:tcPr>
            <w:tcW w:type="dxa" w:w="1872"/>
            <w:vAlign w:val="center"/>
          </w:tcPr>
          <w:p>
            <w:pPr>
              <w:spacing w:after="0"/>
            </w:pPr>
            <w:r>
              <w:rPr>
                <w:sz w:val="16"/>
              </w:rPr>
              <w:t>History of changes</w:t>
            </w:r>
          </w:p>
        </w:tc>
        <w:tc>
          <w:tcPr>
            <w:tcW w:type="dxa" w:w="3240"/>
            <w:vAlign w:val="center"/>
          </w:tcPr>
          <w:p>
            <w:pPr>
              <w:spacing w:after="0"/>
            </w:pPr>
            <w:r>
              <w:rPr>
                <w:sz w:val="16"/>
              </w:rPr>
              <w:t>Are changes in the problem definition and objectives preserved with reasons and versions?</w:t>
            </w:r>
          </w:p>
        </w:tc>
        <w:tc>
          <w:tcPr>
            <w:tcW w:type="dxa" w:w="2952"/>
            <w:vAlign w:val="center"/>
          </w:tcPr>
          <w:p>
            <w:pPr>
              <w:spacing w:after="0"/>
            </w:pPr>
            <w:r>
              <w:rPr>
                <w:sz w:val="16"/>
              </w:rPr>
              <w:t>Change log; version records</w:t>
            </w:r>
          </w:p>
        </w:tc>
      </w:tr>
      <w:tr>
        <w:trPr>
          <w:cantSplit/>
        </w:trPr>
        <w:tc>
          <w:tcPr>
            <w:tcW w:type="dxa" w:w="1296"/>
            <w:vAlign w:val="center"/>
          </w:tcPr>
          <w:p>
            <w:pPr>
              <w:spacing w:after="0"/>
            </w:pPr>
            <w:r>
              <w:rPr>
                <w:sz w:val="16"/>
              </w:rPr>
              <w:t>D2 C1-4</w:t>
            </w:r>
          </w:p>
        </w:tc>
        <w:tc>
          <w:tcPr>
            <w:tcW w:type="dxa" w:w="1872"/>
            <w:vAlign w:val="center"/>
          </w:tcPr>
          <w:p>
            <w:pPr>
              <w:spacing w:after="0"/>
            </w:pPr>
            <w:r>
              <w:rPr>
                <w:sz w:val="16"/>
              </w:rPr>
              <w:t>Traceable data sources</w:t>
            </w:r>
          </w:p>
        </w:tc>
        <w:tc>
          <w:tcPr>
            <w:tcW w:type="dxa" w:w="3240"/>
            <w:vAlign w:val="center"/>
          </w:tcPr>
          <w:p>
            <w:pPr>
              <w:spacing w:after="0"/>
            </w:pPr>
            <w:r>
              <w:rPr>
                <w:sz w:val="16"/>
              </w:rPr>
              <w:t>Can the source, period, quality, and linkage of data be identified?</w:t>
            </w:r>
          </w:p>
        </w:tc>
        <w:tc>
          <w:tcPr>
            <w:tcW w:type="dxa" w:w="2952"/>
            <w:vAlign w:val="center"/>
          </w:tcPr>
          <w:p>
            <w:pPr>
              <w:spacing w:after="0"/>
            </w:pPr>
            <w:r>
              <w:rPr>
                <w:sz w:val="16"/>
              </w:rPr>
              <w:t>Data dictionary; data documentation</w:t>
            </w:r>
          </w:p>
        </w:tc>
      </w:tr>
      <w:tr>
        <w:trPr>
          <w:cantSplit/>
        </w:trPr>
        <w:tc>
          <w:tcPr>
            <w:tcW w:type="dxa" w:w="1296"/>
            <w:vAlign w:val="center"/>
          </w:tcPr>
          <w:p>
            <w:pPr>
              <w:spacing w:after="0"/>
            </w:pPr>
            <w:r>
              <w:rPr>
                <w:sz w:val="16"/>
              </w:rPr>
              <w:t>D2 C1-5</w:t>
            </w:r>
          </w:p>
        </w:tc>
        <w:tc>
          <w:tcPr>
            <w:tcW w:type="dxa" w:w="1872"/>
            <w:vAlign w:val="center"/>
          </w:tcPr>
          <w:p>
            <w:pPr>
              <w:spacing w:after="0"/>
            </w:pPr>
            <w:r>
              <w:rPr>
                <w:sz w:val="16"/>
              </w:rPr>
              <w:t>Inclusion/exclusion criteria</w:t>
            </w:r>
          </w:p>
        </w:tc>
        <w:tc>
          <w:tcPr>
            <w:tcW w:type="dxa" w:w="3240"/>
            <w:vAlign w:val="center"/>
          </w:tcPr>
          <w:p>
            <w:pPr>
              <w:spacing w:after="0"/>
            </w:pPr>
            <w:r>
              <w:rPr>
                <w:sz w:val="16"/>
              </w:rPr>
              <w:t>Are included or excluded groups, facts, and variables, and the reasons, explained?</w:t>
            </w:r>
          </w:p>
        </w:tc>
        <w:tc>
          <w:tcPr>
            <w:tcW w:type="dxa" w:w="2952"/>
            <w:vAlign w:val="center"/>
          </w:tcPr>
          <w:p>
            <w:pPr>
              <w:spacing w:after="0"/>
            </w:pPr>
            <w:r>
              <w:rPr>
                <w:sz w:val="16"/>
              </w:rPr>
              <w:t>Sampling rules; impact assessment</w:t>
            </w:r>
          </w:p>
        </w:tc>
      </w:tr>
      <w:tr>
        <w:trPr>
          <w:cantSplit/>
        </w:trPr>
        <w:tc>
          <w:tcPr>
            <w:tcW w:type="dxa" w:w="1296"/>
            <w:vAlign w:val="center"/>
          </w:tcPr>
          <w:p>
            <w:pPr>
              <w:spacing w:after="0"/>
            </w:pPr>
            <w:r>
              <w:rPr>
                <w:sz w:val="16"/>
              </w:rPr>
              <w:t>D2 C1-6</w:t>
            </w:r>
          </w:p>
        </w:tc>
        <w:tc>
          <w:tcPr>
            <w:tcW w:type="dxa" w:w="1872"/>
            <w:vAlign w:val="center"/>
          </w:tcPr>
          <w:p>
            <w:pPr>
              <w:spacing w:after="0"/>
            </w:pPr>
            <w:r>
              <w:rPr>
                <w:sz w:val="16"/>
              </w:rPr>
              <w:t>Group and proxy-risk checks</w:t>
            </w:r>
          </w:p>
        </w:tc>
        <w:tc>
          <w:tcPr>
            <w:tcW w:type="dxa" w:w="3240"/>
            <w:vAlign w:val="center"/>
          </w:tcPr>
          <w:p>
            <w:pPr>
              <w:spacing w:after="0"/>
            </w:pPr>
            <w:r>
              <w:rPr>
                <w:sz w:val="16"/>
              </w:rPr>
              <w:t>Are proxy variables, error rates, and disparate impacts examined?</w:t>
            </w:r>
          </w:p>
        </w:tc>
        <w:tc>
          <w:tcPr>
            <w:tcW w:type="dxa" w:w="2952"/>
            <w:vAlign w:val="center"/>
          </w:tcPr>
          <w:p>
            <w:pPr>
              <w:spacing w:after="0"/>
            </w:pPr>
            <w:r>
              <w:rPr>
                <w:sz w:val="16"/>
              </w:rPr>
              <w:t>Fairness, validation, or audit reports</w:t>
            </w:r>
          </w:p>
        </w:tc>
      </w:tr>
      <w:tr>
        <w:trPr>
          <w:cantSplit/>
        </w:trPr>
        <w:tc>
          <w:tcPr>
            <w:tcW w:type="dxa" w:w="1296"/>
            <w:vAlign w:val="center"/>
          </w:tcPr>
          <w:p>
            <w:pPr>
              <w:spacing w:after="0"/>
            </w:pPr>
            <w:r>
              <w:rPr>
                <w:sz w:val="16"/>
              </w:rPr>
              <w:t>D3 C1-7</w:t>
            </w:r>
          </w:p>
        </w:tc>
        <w:tc>
          <w:tcPr>
            <w:tcW w:type="dxa" w:w="1872"/>
            <w:vAlign w:val="center"/>
          </w:tcPr>
          <w:p>
            <w:pPr>
              <w:spacing w:after="0"/>
            </w:pPr>
            <w:r>
              <w:rPr>
                <w:sz w:val="16"/>
              </w:rPr>
              <w:t>Documented classification and labels</w:t>
            </w:r>
          </w:p>
        </w:tc>
        <w:tc>
          <w:tcPr>
            <w:tcW w:type="dxa" w:w="3240"/>
            <w:vAlign w:val="center"/>
          </w:tcPr>
          <w:p>
            <w:pPr>
              <w:spacing w:after="0"/>
            </w:pPr>
            <w:r>
              <w:rPr>
                <w:sz w:val="16"/>
              </w:rPr>
              <w:t>Are categories, labels, and target variables clearly defined?</w:t>
            </w:r>
          </w:p>
        </w:tc>
        <w:tc>
          <w:tcPr>
            <w:tcW w:type="dxa" w:w="2952"/>
            <w:vAlign w:val="center"/>
          </w:tcPr>
          <w:p>
            <w:pPr>
              <w:spacing w:after="0"/>
            </w:pPr>
            <w:r>
              <w:rPr>
                <w:sz w:val="16"/>
              </w:rPr>
              <w:t>Model cards; technical documents</w:t>
            </w:r>
          </w:p>
        </w:tc>
      </w:tr>
      <w:tr>
        <w:trPr>
          <w:cantSplit/>
        </w:trPr>
        <w:tc>
          <w:tcPr>
            <w:tcW w:type="dxa" w:w="1296"/>
            <w:vAlign w:val="center"/>
          </w:tcPr>
          <w:p>
            <w:pPr>
              <w:spacing w:after="0"/>
            </w:pPr>
            <w:r>
              <w:rPr>
                <w:sz w:val="16"/>
              </w:rPr>
              <w:t>D3 C1-8</w:t>
            </w:r>
          </w:p>
        </w:tc>
        <w:tc>
          <w:tcPr>
            <w:tcW w:type="dxa" w:w="1872"/>
            <w:vAlign w:val="center"/>
          </w:tcPr>
          <w:p>
            <w:pPr>
              <w:spacing w:after="0"/>
            </w:pPr>
            <w:r>
              <w:rPr>
                <w:sz w:val="16"/>
              </w:rPr>
              <w:t>Prompt/threshold decision record</w:t>
            </w:r>
          </w:p>
        </w:tc>
        <w:tc>
          <w:tcPr>
            <w:tcW w:type="dxa" w:w="3240"/>
            <w:vAlign w:val="center"/>
          </w:tcPr>
          <w:p>
            <w:pPr>
              <w:spacing w:after="0"/>
            </w:pPr>
            <w:r>
              <w:rPr>
                <w:sz w:val="16"/>
              </w:rPr>
              <w:t>Who set prompt templates, default categories, or thresholds, and are versions retained?</w:t>
            </w:r>
          </w:p>
        </w:tc>
        <w:tc>
          <w:tcPr>
            <w:tcW w:type="dxa" w:w="2952"/>
            <w:vAlign w:val="center"/>
          </w:tcPr>
          <w:p>
            <w:pPr>
              <w:spacing w:after="0"/>
            </w:pPr>
            <w:r>
              <w:rPr>
                <w:sz w:val="16"/>
              </w:rPr>
              <w:t>Prompt library; parameter records</w:t>
            </w:r>
          </w:p>
        </w:tc>
      </w:tr>
      <w:tr>
        <w:trPr>
          <w:cantSplit/>
        </w:trPr>
        <w:tc>
          <w:tcPr>
            <w:tcW w:type="dxa" w:w="1296"/>
            <w:vAlign w:val="center"/>
          </w:tcPr>
          <w:p>
            <w:pPr>
              <w:spacing w:after="0"/>
            </w:pPr>
            <w:r>
              <w:rPr>
                <w:sz w:val="16"/>
              </w:rPr>
              <w:t>D3 C1-9</w:t>
            </w:r>
          </w:p>
        </w:tc>
        <w:tc>
          <w:tcPr>
            <w:tcW w:type="dxa" w:w="1872"/>
            <w:vAlign w:val="center"/>
          </w:tcPr>
          <w:p>
            <w:pPr>
              <w:spacing w:after="0"/>
            </w:pPr>
            <w:r>
              <w:rPr>
                <w:sz w:val="16"/>
              </w:rPr>
              <w:t>Reconstructable framing logic</w:t>
            </w:r>
          </w:p>
        </w:tc>
        <w:tc>
          <w:tcPr>
            <w:tcW w:type="dxa" w:w="3240"/>
            <w:vAlign w:val="center"/>
          </w:tcPr>
          <w:p>
            <w:pPr>
              <w:spacing w:after="0"/>
            </w:pPr>
            <w:r>
              <w:rPr>
                <w:sz w:val="16"/>
              </w:rPr>
              <w:t>Can an external reviewer reconstruct how data became a risk or administrative fact?</w:t>
            </w:r>
          </w:p>
        </w:tc>
        <w:tc>
          <w:tcPr>
            <w:tcW w:type="dxa" w:w="2952"/>
            <w:vAlign w:val="center"/>
          </w:tcPr>
          <w:p>
            <w:pPr>
              <w:spacing w:after="0"/>
            </w:pPr>
            <w:r>
              <w:rPr>
                <w:sz w:val="16"/>
              </w:rPr>
              <w:t>Technical documentation; audit samples</w:t>
            </w:r>
          </w:p>
        </w:tc>
      </w:tr>
      <w:tr>
        <w:trPr>
          <w:cantSplit/>
        </w:trPr>
        <w:tc>
          <w:tcPr>
            <w:tcW w:type="dxa" w:w="1296"/>
            <w:vAlign w:val="center"/>
          </w:tcPr>
          <w:p>
            <w:pPr>
              <w:spacing w:after="0"/>
            </w:pPr>
            <w:r>
              <w:rPr>
                <w:sz w:val="16"/>
              </w:rPr>
              <w:t>D4 C1-10</w:t>
            </w:r>
          </w:p>
        </w:tc>
        <w:tc>
          <w:tcPr>
            <w:tcW w:type="dxa" w:w="1872"/>
            <w:vAlign w:val="center"/>
          </w:tcPr>
          <w:p>
            <w:pPr>
              <w:spacing w:after="0"/>
            </w:pPr>
            <w:r>
              <w:rPr>
                <w:sz w:val="16"/>
              </w:rPr>
              <w:t>Stakeholder participation</w:t>
            </w:r>
          </w:p>
        </w:tc>
        <w:tc>
          <w:tcPr>
            <w:tcW w:type="dxa" w:w="3240"/>
            <w:vAlign w:val="center"/>
          </w:tcPr>
          <w:p>
            <w:pPr>
              <w:spacing w:after="0"/>
            </w:pPr>
            <w:r>
              <w:rPr>
                <w:sz w:val="16"/>
              </w:rPr>
              <w:t>Did affected groups participate meaningfully when data, categories, or thresholds were formed?</w:t>
            </w:r>
          </w:p>
        </w:tc>
        <w:tc>
          <w:tcPr>
            <w:tcW w:type="dxa" w:w="2952"/>
            <w:vAlign w:val="center"/>
          </w:tcPr>
          <w:p>
            <w:pPr>
              <w:spacing w:after="0"/>
            </w:pPr>
            <w:r>
              <w:rPr>
                <w:sz w:val="16"/>
              </w:rPr>
              <w:t>Consultation records; response forms</w:t>
            </w:r>
          </w:p>
        </w:tc>
      </w:tr>
      <w:tr>
        <w:trPr>
          <w:cantSplit/>
        </w:trPr>
        <w:tc>
          <w:tcPr>
            <w:tcW w:type="dxa" w:w="1296"/>
            <w:vAlign w:val="center"/>
          </w:tcPr>
          <w:p>
            <w:pPr>
              <w:spacing w:after="0"/>
            </w:pPr>
            <w:r>
              <w:rPr>
                <w:sz w:val="16"/>
              </w:rPr>
              <w:t>D4 C1-11</w:t>
            </w:r>
          </w:p>
        </w:tc>
        <w:tc>
          <w:tcPr>
            <w:tcW w:type="dxa" w:w="1872"/>
            <w:vAlign w:val="center"/>
          </w:tcPr>
          <w:p>
            <w:pPr>
              <w:spacing w:after="0"/>
            </w:pPr>
            <w:r>
              <w:rPr>
                <w:sz w:val="16"/>
              </w:rPr>
              <w:t>Channel for framing objections</w:t>
            </w:r>
          </w:p>
        </w:tc>
        <w:tc>
          <w:tcPr>
            <w:tcW w:type="dxa" w:w="3240"/>
            <w:vAlign w:val="center"/>
          </w:tcPr>
          <w:p>
            <w:pPr>
              <w:spacing w:after="0"/>
            </w:pPr>
            <w:r>
              <w:rPr>
                <w:sz w:val="16"/>
              </w:rPr>
              <w:t>Can the problem definition, data, or classification itself be formally challenged?</w:t>
            </w:r>
          </w:p>
        </w:tc>
        <w:tc>
          <w:tcPr>
            <w:tcW w:type="dxa" w:w="2952"/>
            <w:vAlign w:val="center"/>
          </w:tcPr>
          <w:p>
            <w:pPr>
              <w:spacing w:after="0"/>
            </w:pPr>
            <w:r>
              <w:rPr>
                <w:sz w:val="16"/>
              </w:rPr>
              <w:t>Appeal, ombuds, or independent-review mechanisms</w:t>
            </w:r>
          </w:p>
        </w:tc>
      </w:tr>
      <w:tr>
        <w:trPr>
          <w:cantSplit/>
        </w:trPr>
        <w:tc>
          <w:tcPr>
            <w:tcW w:type="dxa" w:w="1296"/>
            <w:vAlign w:val="center"/>
          </w:tcPr>
          <w:p>
            <w:pPr>
              <w:spacing w:after="0"/>
            </w:pPr>
            <w:r>
              <w:rPr>
                <w:sz w:val="16"/>
              </w:rPr>
              <w:t>D4 C1-12</w:t>
            </w:r>
          </w:p>
        </w:tc>
        <w:tc>
          <w:tcPr>
            <w:tcW w:type="dxa" w:w="1872"/>
            <w:vAlign w:val="center"/>
          </w:tcPr>
          <w:p>
            <w:pPr>
              <w:spacing w:after="0"/>
            </w:pPr>
            <w:r>
              <w:rPr>
                <w:sz w:val="16"/>
              </w:rPr>
              <w:t>Demonstrated framing correction</w:t>
            </w:r>
          </w:p>
        </w:tc>
        <w:tc>
          <w:tcPr>
            <w:tcW w:type="dxa" w:w="3240"/>
            <w:vAlign w:val="center"/>
          </w:tcPr>
          <w:p>
            <w:pPr>
              <w:spacing w:after="0"/>
            </w:pPr>
            <w:r>
              <w:rPr>
                <w:sz w:val="16"/>
              </w:rPr>
              <w:t>Have objections actually led to changes in data, categories, prompts, or thresholds?</w:t>
            </w:r>
          </w:p>
        </w:tc>
        <w:tc>
          <w:tcPr>
            <w:tcW w:type="dxa" w:w="2952"/>
            <w:vAlign w:val="center"/>
          </w:tcPr>
          <w:p>
            <w:pPr>
              <w:spacing w:after="0"/>
            </w:pPr>
            <w:r>
              <w:rPr>
                <w:sz w:val="16"/>
              </w:rPr>
              <w:t>Correction records; incident reports</w:t>
            </w:r>
          </w:p>
        </w:tc>
      </w:tr>
    </w:tbl>
    <w:p>
      <w:r/>
    </w:p>
    <w:p>
      <w:r>
        <w:t>A score of zero requires affirmative evidence that an institution or practice is absent. NA-O denotes non-observability caused by opacity; NA-U denotes insufficient or conflicting evidence. Where coverage falls below 75 percent, a total mean is not reported. These rules prevent lack of information from appearing as a reassuring low-risk score.</w:t>
      </w:r>
    </w:p>
    <w:p>
      <w:pPr>
        <w:pStyle w:val="Heading1"/>
      </w:pPr>
      <w:r>
        <w:t>5. Demonstration Recoding: AFST, SyRI, and Robodebt</w:t>
      </w:r>
    </w:p>
    <w:p>
      <w:r>
        <w:t>The three cases are not offered as a representative sample of all public-sector AI. They are document-based demonstrations of different pathways through which technical framing can shape eligibility, investigation, and debt recovery. Their role is to test whether the two-stage procedure can distinguish exposure from democratic integrity and identify which later governance chains are likely to be placed under pressure.</w:t>
      </w:r>
    </w:p>
    <w:p>
      <w:r>
        <w:rPr>
          <w:b/>
        </w:rPr>
        <w:t>Table 6. Case Positioning within Coordinates, Transfers, and Structural Effects</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cantSplit/>
        </w:trPr>
        <w:tc>
          <w:tcPr>
            <w:tcW w:type="dxa" w:w="1224"/>
            <w:vAlign w:val="center"/>
          </w:tcPr>
          <w:p>
            <w:pPr>
              <w:spacing w:after="0"/>
            </w:pPr>
            <w:r>
              <w:rPr>
                <w:b/>
                <w:sz w:val="16"/>
              </w:rPr>
              <w:t>Case</w:t>
            </w:r>
          </w:p>
        </w:tc>
        <w:tc>
          <w:tcPr>
            <w:tcW w:type="dxa" w:w="2808"/>
            <w:vAlign w:val="center"/>
          </w:tcPr>
          <w:p>
            <w:pPr>
              <w:spacing w:after="0"/>
            </w:pPr>
            <w:r>
              <w:rPr>
                <w:b/>
                <w:sz w:val="16"/>
              </w:rPr>
              <w:t>Starting and extended coordinates</w:t>
            </w:r>
          </w:p>
        </w:tc>
        <w:tc>
          <w:tcPr>
            <w:tcW w:type="dxa" w:w="2520"/>
            <w:vAlign w:val="center"/>
          </w:tcPr>
          <w:p>
            <w:pPr>
              <w:spacing w:after="0"/>
            </w:pPr>
            <w:r>
              <w:rPr>
                <w:b/>
                <w:sz w:val="16"/>
              </w:rPr>
              <w:t>Primary power transfer</w:t>
            </w:r>
          </w:p>
        </w:tc>
        <w:tc>
          <w:tcPr>
            <w:tcW w:type="dxa" w:w="2808"/>
            <w:vAlign w:val="center"/>
          </w:tcPr>
          <w:p>
            <w:pPr>
              <w:spacing w:after="0"/>
            </w:pPr>
            <w:r>
              <w:rPr>
                <w:b/>
                <w:sz w:val="16"/>
              </w:rPr>
              <w:t>Three structural effects</w:t>
            </w:r>
          </w:p>
        </w:tc>
      </w:tr>
      <w:tr>
        <w:trPr>
          <w:cantSplit/>
        </w:trPr>
        <w:tc>
          <w:tcPr>
            <w:tcW w:type="dxa" w:w="1224"/>
            <w:vAlign w:val="center"/>
          </w:tcPr>
          <w:p>
            <w:pPr>
              <w:spacing w:after="0"/>
            </w:pPr>
            <w:r>
              <w:rPr>
                <w:sz w:val="16"/>
              </w:rPr>
              <w:t>AFST</w:t>
            </w:r>
          </w:p>
        </w:tc>
        <w:tc>
          <w:tcPr>
            <w:tcW w:type="dxa" w:w="2808"/>
            <w:vAlign w:val="center"/>
          </w:tcPr>
          <w:p>
            <w:pPr>
              <w:spacing w:after="0"/>
            </w:pPr>
            <w:r>
              <w:rPr>
                <w:sz w:val="16"/>
              </w:rPr>
              <w:t>Management operations × individual/group; extended to policy system × society</w:t>
            </w:r>
          </w:p>
        </w:tc>
        <w:tc>
          <w:tcPr>
            <w:tcW w:type="dxa" w:w="2520"/>
            <w:vAlign w:val="center"/>
          </w:tcPr>
          <w:p>
            <w:pPr>
              <w:spacing w:after="0"/>
            </w:pPr>
            <w:r>
              <w:rPr>
                <w:sz w:val="16"/>
              </w:rPr>
              <w:t>P1 data and risk classification; P2 screening discretion influenced by score</w:t>
            </w:r>
          </w:p>
        </w:tc>
        <w:tc>
          <w:tcPr>
            <w:tcW w:type="dxa" w:w="2808"/>
            <w:vAlign w:val="center"/>
          </w:tcPr>
          <w:p>
            <w:pPr>
              <w:spacing w:after="0"/>
            </w:pPr>
            <w:r>
              <w:rPr>
                <w:sz w:val="16"/>
              </w:rPr>
              <w:t>A case tool expands into group policy; human–machine boundaries partly dissolve; model and managers jointly shape de facto authority</w:t>
            </w:r>
          </w:p>
        </w:tc>
      </w:tr>
      <w:tr>
        <w:trPr>
          <w:cantSplit/>
        </w:trPr>
        <w:tc>
          <w:tcPr>
            <w:tcW w:type="dxa" w:w="1224"/>
            <w:vAlign w:val="center"/>
          </w:tcPr>
          <w:p>
            <w:pPr>
              <w:spacing w:after="0"/>
            </w:pPr>
            <w:r>
              <w:rPr>
                <w:sz w:val="16"/>
              </w:rPr>
              <w:t>SyRI</w:t>
            </w:r>
          </w:p>
        </w:tc>
        <w:tc>
          <w:tcPr>
            <w:tcW w:type="dxa" w:w="2808"/>
            <w:vAlign w:val="center"/>
          </w:tcPr>
          <w:p>
            <w:pPr>
              <w:spacing w:after="0"/>
            </w:pPr>
            <w:r>
              <w:rPr>
                <w:sz w:val="16"/>
              </w:rPr>
              <w:t>Institutional division of labor × individual/society; extended to policy system × society</w:t>
            </w:r>
          </w:p>
        </w:tc>
        <w:tc>
          <w:tcPr>
            <w:tcW w:type="dxa" w:w="2520"/>
            <w:vAlign w:val="center"/>
          </w:tcPr>
          <w:p>
            <w:pPr>
              <w:spacing w:after="0"/>
            </w:pPr>
            <w:r>
              <w:rPr>
                <w:sz w:val="16"/>
              </w:rPr>
              <w:t>P1 cross-agency data and risk signals; P2 investigation priority</w:t>
            </w:r>
          </w:p>
        </w:tc>
        <w:tc>
          <w:tcPr>
            <w:tcW w:type="dxa" w:w="2808"/>
            <w:vAlign w:val="center"/>
          </w:tcPr>
          <w:p>
            <w:pPr>
              <w:spacing w:after="0"/>
            </w:pPr>
            <w:r>
              <w:rPr>
                <w:sz w:val="16"/>
              </w:rPr>
              <w:t>Cross-agency, cross-cell movement; data processing and enforcement boundaries dissolve; model and partner agencies reconfigure authority</w:t>
            </w:r>
          </w:p>
        </w:tc>
      </w:tr>
      <w:tr>
        <w:trPr>
          <w:cantSplit/>
        </w:trPr>
        <w:tc>
          <w:tcPr>
            <w:tcW w:type="dxa" w:w="1224"/>
            <w:vAlign w:val="center"/>
          </w:tcPr>
          <w:p>
            <w:pPr>
              <w:spacing w:after="0"/>
            </w:pPr>
            <w:r>
              <w:rPr>
                <w:sz w:val="16"/>
              </w:rPr>
              <w:t>Robodebt</w:t>
            </w:r>
          </w:p>
        </w:tc>
        <w:tc>
          <w:tcPr>
            <w:tcW w:type="dxa" w:w="2808"/>
            <w:vAlign w:val="center"/>
          </w:tcPr>
          <w:p>
            <w:pPr>
              <w:spacing w:after="0"/>
            </w:pPr>
            <w:r>
              <w:rPr>
                <w:sz w:val="16"/>
              </w:rPr>
              <w:t>Management operations × individual; extended to institutional division of labor × society</w:t>
            </w:r>
          </w:p>
        </w:tc>
        <w:tc>
          <w:tcPr>
            <w:tcW w:type="dxa" w:w="2520"/>
            <w:vAlign w:val="center"/>
          </w:tcPr>
          <w:p>
            <w:pPr>
              <w:spacing w:after="0"/>
            </w:pPr>
            <w:r>
              <w:rPr>
                <w:sz w:val="16"/>
              </w:rPr>
              <w:t>P1 income fact presumption; P2 evidence and recovery discretion; P3 debt effects</w:t>
            </w:r>
          </w:p>
        </w:tc>
        <w:tc>
          <w:tcPr>
            <w:tcW w:type="dxa" w:w="2808"/>
            <w:vAlign w:val="center"/>
          </w:tcPr>
          <w:p>
            <w:pPr>
              <w:spacing w:after="0"/>
            </w:pPr>
            <w:r>
              <w:rPr>
                <w:sz w:val="16"/>
              </w:rPr>
              <w:t>Large-scale automated recovery crosses cells; rules, execution, and review blur; practical decision power shifts into coded rules</w:t>
            </w:r>
          </w:p>
        </w:tc>
      </w:tr>
    </w:tbl>
    <w:p>
      <w:r/>
    </w:p>
    <w:p>
      <w:r>
        <w:rPr>
          <w:b/>
        </w:rPr>
        <w:t>Table 7. Stage 1 Demonstration Scores: P1 Exposure</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cantSplit/>
        </w:trPr>
        <w:tc>
          <w:tcPr>
            <w:tcW w:type="dxa" w:w="4320"/>
            <w:vAlign w:val="center"/>
          </w:tcPr>
          <w:p>
            <w:pPr>
              <w:spacing w:after="0"/>
            </w:pPr>
            <w:r>
              <w:rPr>
                <w:b/>
                <w:sz w:val="16"/>
              </w:rPr>
              <w:t>Indicator</w:t>
            </w:r>
          </w:p>
        </w:tc>
        <w:tc>
          <w:tcPr>
            <w:tcW w:type="dxa" w:w="1656"/>
            <w:vAlign w:val="center"/>
          </w:tcPr>
          <w:p>
            <w:pPr>
              <w:spacing w:after="0"/>
            </w:pPr>
            <w:r>
              <w:rPr>
                <w:b/>
                <w:sz w:val="16"/>
              </w:rPr>
              <w:t>AFST</w:t>
            </w:r>
          </w:p>
        </w:tc>
        <w:tc>
          <w:tcPr>
            <w:tcW w:type="dxa" w:w="1656"/>
            <w:vAlign w:val="center"/>
          </w:tcPr>
          <w:p>
            <w:pPr>
              <w:spacing w:after="0"/>
            </w:pPr>
            <w:r>
              <w:rPr>
                <w:b/>
                <w:sz w:val="16"/>
              </w:rPr>
              <w:t>SyRI</w:t>
            </w:r>
          </w:p>
        </w:tc>
        <w:tc>
          <w:tcPr>
            <w:tcW w:type="dxa" w:w="1728"/>
            <w:vAlign w:val="center"/>
          </w:tcPr>
          <w:p>
            <w:pPr>
              <w:spacing w:after="0"/>
            </w:pPr>
            <w:r>
              <w:rPr>
                <w:b/>
                <w:sz w:val="16"/>
              </w:rPr>
              <w:t>Robodebt</w:t>
            </w:r>
          </w:p>
        </w:tc>
      </w:tr>
      <w:tr>
        <w:trPr>
          <w:cantSplit/>
        </w:trPr>
        <w:tc>
          <w:tcPr>
            <w:tcW w:type="dxa" w:w="4320"/>
            <w:vAlign w:val="center"/>
          </w:tcPr>
          <w:p>
            <w:pPr>
              <w:spacing w:after="0"/>
            </w:pPr>
            <w:r>
              <w:rPr>
                <w:sz w:val="16"/>
              </w:rPr>
              <w:t>P1-1 Problem-definition intervention</w:t>
            </w:r>
          </w:p>
        </w:tc>
        <w:tc>
          <w:tcPr>
            <w:tcW w:type="dxa" w:w="1656"/>
            <w:vAlign w:val="center"/>
          </w:tcPr>
          <w:p>
            <w:pPr>
              <w:spacing w:after="0"/>
            </w:pPr>
            <w:r>
              <w:rPr>
                <w:sz w:val="16"/>
              </w:rPr>
              <w:t>2</w:t>
            </w:r>
          </w:p>
        </w:tc>
        <w:tc>
          <w:tcPr>
            <w:tcW w:type="dxa" w:w="1656"/>
            <w:vAlign w:val="center"/>
          </w:tcPr>
          <w:p>
            <w:pPr>
              <w:spacing w:after="0"/>
            </w:pPr>
            <w:r>
              <w:rPr>
                <w:sz w:val="16"/>
              </w:rPr>
              <w:t>3</w:t>
            </w:r>
          </w:p>
        </w:tc>
        <w:tc>
          <w:tcPr>
            <w:tcW w:type="dxa" w:w="1728"/>
            <w:vAlign w:val="center"/>
          </w:tcPr>
          <w:p>
            <w:pPr>
              <w:spacing w:after="0"/>
            </w:pPr>
            <w:r>
              <w:rPr>
                <w:sz w:val="16"/>
              </w:rPr>
              <w:t>4</w:t>
            </w:r>
          </w:p>
        </w:tc>
      </w:tr>
      <w:tr>
        <w:trPr>
          <w:cantSplit/>
        </w:trPr>
        <w:tc>
          <w:tcPr>
            <w:tcW w:type="dxa" w:w="4320"/>
            <w:vAlign w:val="center"/>
          </w:tcPr>
          <w:p>
            <w:pPr>
              <w:spacing w:after="0"/>
            </w:pPr>
            <w:r>
              <w:rPr>
                <w:sz w:val="16"/>
              </w:rPr>
              <w:t>P1-2 Data/classification intervention</w:t>
            </w:r>
          </w:p>
        </w:tc>
        <w:tc>
          <w:tcPr>
            <w:tcW w:type="dxa" w:w="1656"/>
            <w:vAlign w:val="center"/>
          </w:tcPr>
          <w:p>
            <w:pPr>
              <w:spacing w:after="0"/>
            </w:pPr>
            <w:r>
              <w:rPr>
                <w:sz w:val="16"/>
              </w:rPr>
              <w:t>3</w:t>
            </w:r>
          </w:p>
        </w:tc>
        <w:tc>
          <w:tcPr>
            <w:tcW w:type="dxa" w:w="1656"/>
            <w:vAlign w:val="center"/>
          </w:tcPr>
          <w:p>
            <w:pPr>
              <w:spacing w:after="0"/>
            </w:pPr>
            <w:r>
              <w:rPr>
                <w:sz w:val="16"/>
              </w:rPr>
              <w:t>4</w:t>
            </w:r>
          </w:p>
        </w:tc>
        <w:tc>
          <w:tcPr>
            <w:tcW w:type="dxa" w:w="1728"/>
            <w:vAlign w:val="center"/>
          </w:tcPr>
          <w:p>
            <w:pPr>
              <w:spacing w:after="0"/>
            </w:pPr>
            <w:r>
              <w:rPr>
                <w:sz w:val="16"/>
              </w:rPr>
              <w:t>3</w:t>
            </w:r>
          </w:p>
        </w:tc>
      </w:tr>
      <w:tr>
        <w:trPr>
          <w:cantSplit/>
        </w:trPr>
        <w:tc>
          <w:tcPr>
            <w:tcW w:type="dxa" w:w="4320"/>
            <w:vAlign w:val="center"/>
          </w:tcPr>
          <w:p>
            <w:pPr>
              <w:spacing w:after="0"/>
            </w:pPr>
            <w:r>
              <w:rPr>
                <w:sz w:val="16"/>
              </w:rPr>
              <w:t>P1-3 Default force</w:t>
            </w:r>
          </w:p>
        </w:tc>
        <w:tc>
          <w:tcPr>
            <w:tcW w:type="dxa" w:w="1656"/>
            <w:vAlign w:val="center"/>
          </w:tcPr>
          <w:p>
            <w:pPr>
              <w:spacing w:after="0"/>
            </w:pPr>
            <w:r>
              <w:rPr>
                <w:sz w:val="16"/>
              </w:rPr>
              <w:t>3</w:t>
            </w:r>
          </w:p>
        </w:tc>
        <w:tc>
          <w:tcPr>
            <w:tcW w:type="dxa" w:w="1656"/>
            <w:vAlign w:val="center"/>
          </w:tcPr>
          <w:p>
            <w:pPr>
              <w:spacing w:after="0"/>
            </w:pPr>
            <w:r>
              <w:rPr>
                <w:sz w:val="16"/>
              </w:rPr>
              <w:t>3</w:t>
            </w:r>
          </w:p>
        </w:tc>
        <w:tc>
          <w:tcPr>
            <w:tcW w:type="dxa" w:w="1728"/>
            <w:vAlign w:val="center"/>
          </w:tcPr>
          <w:p>
            <w:pPr>
              <w:spacing w:after="0"/>
            </w:pPr>
            <w:r>
              <w:rPr>
                <w:sz w:val="16"/>
              </w:rPr>
              <w:t>4</w:t>
            </w:r>
          </w:p>
        </w:tc>
      </w:tr>
      <w:tr>
        <w:trPr>
          <w:cantSplit/>
        </w:trPr>
        <w:tc>
          <w:tcPr>
            <w:tcW w:type="dxa" w:w="4320"/>
            <w:vAlign w:val="center"/>
          </w:tcPr>
          <w:p>
            <w:pPr>
              <w:spacing w:after="0"/>
            </w:pPr>
            <w:r>
              <w:rPr>
                <w:sz w:val="16"/>
              </w:rPr>
              <w:t>P1-4 Human reversibility</w:t>
            </w:r>
          </w:p>
        </w:tc>
        <w:tc>
          <w:tcPr>
            <w:tcW w:type="dxa" w:w="1656"/>
            <w:vAlign w:val="center"/>
          </w:tcPr>
          <w:p>
            <w:pPr>
              <w:spacing w:after="0"/>
            </w:pPr>
            <w:r>
              <w:rPr>
                <w:sz w:val="16"/>
              </w:rPr>
              <w:t>2</w:t>
            </w:r>
          </w:p>
        </w:tc>
        <w:tc>
          <w:tcPr>
            <w:tcW w:type="dxa" w:w="1656"/>
            <w:vAlign w:val="center"/>
          </w:tcPr>
          <w:p>
            <w:pPr>
              <w:spacing w:after="0"/>
            </w:pPr>
            <w:r>
              <w:rPr>
                <w:sz w:val="16"/>
              </w:rPr>
              <w:t>3</w:t>
            </w:r>
          </w:p>
        </w:tc>
        <w:tc>
          <w:tcPr>
            <w:tcW w:type="dxa" w:w="1728"/>
            <w:vAlign w:val="center"/>
          </w:tcPr>
          <w:p>
            <w:pPr>
              <w:spacing w:after="0"/>
            </w:pPr>
            <w:r>
              <w:rPr>
                <w:sz w:val="16"/>
              </w:rPr>
              <w:t>4</w:t>
            </w:r>
          </w:p>
        </w:tc>
      </w:tr>
      <w:tr>
        <w:trPr>
          <w:cantSplit/>
        </w:trPr>
        <w:tc>
          <w:tcPr>
            <w:tcW w:type="dxa" w:w="4320"/>
            <w:vAlign w:val="center"/>
          </w:tcPr>
          <w:p>
            <w:pPr>
              <w:spacing w:after="0"/>
            </w:pPr>
            <w:r>
              <w:rPr>
                <w:sz w:val="16"/>
              </w:rPr>
              <w:t>P1-5 Consequence linkage</w:t>
            </w:r>
          </w:p>
        </w:tc>
        <w:tc>
          <w:tcPr>
            <w:tcW w:type="dxa" w:w="1656"/>
            <w:vAlign w:val="center"/>
          </w:tcPr>
          <w:p>
            <w:pPr>
              <w:spacing w:after="0"/>
            </w:pPr>
            <w:r>
              <w:rPr>
                <w:sz w:val="16"/>
              </w:rPr>
              <w:t>2</w:t>
            </w:r>
          </w:p>
        </w:tc>
        <w:tc>
          <w:tcPr>
            <w:tcW w:type="dxa" w:w="1656"/>
            <w:vAlign w:val="center"/>
          </w:tcPr>
          <w:p>
            <w:pPr>
              <w:spacing w:after="0"/>
            </w:pPr>
            <w:r>
              <w:rPr>
                <w:sz w:val="16"/>
              </w:rPr>
              <w:t>2</w:t>
            </w:r>
          </w:p>
        </w:tc>
        <w:tc>
          <w:tcPr>
            <w:tcW w:type="dxa" w:w="1728"/>
            <w:vAlign w:val="center"/>
          </w:tcPr>
          <w:p>
            <w:pPr>
              <w:spacing w:after="0"/>
            </w:pPr>
            <w:r>
              <w:rPr>
                <w:sz w:val="16"/>
              </w:rPr>
              <w:t>4</w:t>
            </w:r>
          </w:p>
        </w:tc>
      </w:tr>
      <w:tr>
        <w:trPr>
          <w:cantSplit/>
        </w:trPr>
        <w:tc>
          <w:tcPr>
            <w:tcW w:type="dxa" w:w="4320"/>
            <w:vAlign w:val="center"/>
          </w:tcPr>
          <w:p>
            <w:pPr>
              <w:spacing w:after="0"/>
            </w:pPr>
            <w:r>
              <w:rPr>
                <w:sz w:val="16"/>
              </w:rPr>
              <w:t>Mean</w:t>
            </w:r>
          </w:p>
        </w:tc>
        <w:tc>
          <w:tcPr>
            <w:tcW w:type="dxa" w:w="1656"/>
            <w:vAlign w:val="center"/>
          </w:tcPr>
          <w:p>
            <w:pPr>
              <w:spacing w:after="0"/>
            </w:pPr>
            <w:r>
              <w:rPr>
                <w:sz w:val="16"/>
              </w:rPr>
              <w:t>2.4</w:t>
            </w:r>
          </w:p>
        </w:tc>
        <w:tc>
          <w:tcPr>
            <w:tcW w:type="dxa" w:w="1656"/>
            <w:vAlign w:val="center"/>
          </w:tcPr>
          <w:p>
            <w:pPr>
              <w:spacing w:after="0"/>
            </w:pPr>
            <w:r>
              <w:rPr>
                <w:sz w:val="16"/>
              </w:rPr>
              <w:t>3.0</w:t>
            </w:r>
          </w:p>
        </w:tc>
        <w:tc>
          <w:tcPr>
            <w:tcW w:type="dxa" w:w="1728"/>
            <w:vAlign w:val="center"/>
          </w:tcPr>
          <w:p>
            <w:pPr>
              <w:spacing w:after="0"/>
            </w:pPr>
            <w:r>
              <w:rPr>
                <w:sz w:val="16"/>
              </w:rPr>
              <w:t>3.8</w:t>
            </w:r>
          </w:p>
        </w:tc>
      </w:tr>
      <w:tr>
        <w:trPr>
          <w:cantSplit/>
        </w:trPr>
        <w:tc>
          <w:tcPr>
            <w:tcW w:type="dxa" w:w="4320"/>
            <w:vAlign w:val="center"/>
          </w:tcPr>
          <w:p>
            <w:pPr>
              <w:spacing w:after="0"/>
            </w:pPr>
            <w:r>
              <w:rPr>
                <w:sz w:val="16"/>
              </w:rPr>
              <w:t>Judgment</w:t>
            </w:r>
          </w:p>
        </w:tc>
        <w:tc>
          <w:tcPr>
            <w:tcW w:type="dxa" w:w="1656"/>
            <w:vAlign w:val="center"/>
          </w:tcPr>
          <w:p>
            <w:pPr>
              <w:spacing w:after="0"/>
            </w:pPr>
            <w:r>
              <w:rPr>
                <w:sz w:val="16"/>
              </w:rPr>
              <w:t>Moderately high exposure</w:t>
            </w:r>
          </w:p>
        </w:tc>
        <w:tc>
          <w:tcPr>
            <w:tcW w:type="dxa" w:w="1656"/>
            <w:vAlign w:val="center"/>
          </w:tcPr>
          <w:p>
            <w:pPr>
              <w:spacing w:after="0"/>
            </w:pPr>
            <w:r>
              <w:rPr>
                <w:sz w:val="16"/>
              </w:rPr>
              <w:t>High exposure</w:t>
            </w:r>
          </w:p>
        </w:tc>
        <w:tc>
          <w:tcPr>
            <w:tcW w:type="dxa" w:w="1728"/>
            <w:vAlign w:val="center"/>
          </w:tcPr>
          <w:p>
            <w:pPr>
              <w:spacing w:after="0"/>
            </w:pPr>
            <w:r>
              <w:rPr>
                <w:sz w:val="16"/>
              </w:rPr>
              <w:t>High exposure</w:t>
            </w:r>
          </w:p>
        </w:tc>
      </w:tr>
    </w:tbl>
    <w:p>
      <w:r/>
    </w:p>
    <w:p>
      <w:r>
        <w:rPr>
          <w:b/>
        </w:rPr>
        <w:t>Table 8. Stage 2 Demonstration Recoding: C1 Integrity</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cantSplit/>
        </w:trPr>
        <w:tc>
          <w:tcPr>
            <w:tcW w:type="dxa" w:w="4320"/>
            <w:vAlign w:val="center"/>
          </w:tcPr>
          <w:p>
            <w:pPr>
              <w:spacing w:after="0"/>
            </w:pPr>
            <w:r>
              <w:rPr>
                <w:b/>
                <w:sz w:val="16"/>
              </w:rPr>
              <w:t>Indicator</w:t>
            </w:r>
          </w:p>
        </w:tc>
        <w:tc>
          <w:tcPr>
            <w:tcW w:type="dxa" w:w="1656"/>
            <w:vAlign w:val="center"/>
          </w:tcPr>
          <w:p>
            <w:pPr>
              <w:spacing w:after="0"/>
            </w:pPr>
            <w:r>
              <w:rPr>
                <w:b/>
                <w:sz w:val="16"/>
              </w:rPr>
              <w:t>AFST</w:t>
            </w:r>
          </w:p>
        </w:tc>
        <w:tc>
          <w:tcPr>
            <w:tcW w:type="dxa" w:w="1656"/>
            <w:vAlign w:val="center"/>
          </w:tcPr>
          <w:p>
            <w:pPr>
              <w:spacing w:after="0"/>
            </w:pPr>
            <w:r>
              <w:rPr>
                <w:b/>
                <w:sz w:val="16"/>
              </w:rPr>
              <w:t>SyRI</w:t>
            </w:r>
          </w:p>
        </w:tc>
        <w:tc>
          <w:tcPr>
            <w:tcW w:type="dxa" w:w="1728"/>
            <w:vAlign w:val="center"/>
          </w:tcPr>
          <w:p>
            <w:pPr>
              <w:spacing w:after="0"/>
            </w:pPr>
            <w:r>
              <w:rPr>
                <w:b/>
                <w:sz w:val="16"/>
              </w:rPr>
              <w:t>Robodebt</w:t>
            </w:r>
          </w:p>
        </w:tc>
      </w:tr>
      <w:tr>
        <w:trPr>
          <w:cantSplit/>
        </w:trPr>
        <w:tc>
          <w:tcPr>
            <w:tcW w:type="dxa" w:w="4320"/>
            <w:vAlign w:val="center"/>
          </w:tcPr>
          <w:p>
            <w:pPr>
              <w:spacing w:after="0"/>
            </w:pPr>
            <w:r>
              <w:rPr>
                <w:sz w:val="16"/>
              </w:rPr>
              <w:t>C1-1 Written problem definition</w:t>
            </w:r>
          </w:p>
        </w:tc>
        <w:tc>
          <w:tcPr>
            <w:tcW w:type="dxa" w:w="1656"/>
            <w:vAlign w:val="center"/>
          </w:tcPr>
          <w:p>
            <w:pPr>
              <w:spacing w:after="0"/>
            </w:pPr>
            <w:r>
              <w:rPr>
                <w:sz w:val="16"/>
              </w:rPr>
              <w:t>4</w:t>
            </w:r>
          </w:p>
        </w:tc>
        <w:tc>
          <w:tcPr>
            <w:tcW w:type="dxa" w:w="1656"/>
            <w:vAlign w:val="center"/>
          </w:tcPr>
          <w:p>
            <w:pPr>
              <w:spacing w:after="0"/>
            </w:pPr>
            <w:r>
              <w:rPr>
                <w:sz w:val="16"/>
              </w:rPr>
              <w:t>3</w:t>
            </w:r>
          </w:p>
        </w:tc>
        <w:tc>
          <w:tcPr>
            <w:tcW w:type="dxa" w:w="1728"/>
            <w:vAlign w:val="center"/>
          </w:tcPr>
          <w:p>
            <w:pPr>
              <w:spacing w:after="0"/>
            </w:pPr>
            <w:r>
              <w:rPr>
                <w:sz w:val="16"/>
              </w:rPr>
              <w:t>2</w:t>
            </w:r>
          </w:p>
        </w:tc>
      </w:tr>
      <w:tr>
        <w:trPr>
          <w:cantSplit/>
        </w:trPr>
        <w:tc>
          <w:tcPr>
            <w:tcW w:type="dxa" w:w="4320"/>
            <w:vAlign w:val="center"/>
          </w:tcPr>
          <w:p>
            <w:pPr>
              <w:spacing w:after="0"/>
            </w:pPr>
            <w:r>
              <w:rPr>
                <w:sz w:val="16"/>
              </w:rPr>
              <w:t>C1-2 Named framing decision-maker</w:t>
            </w:r>
          </w:p>
        </w:tc>
        <w:tc>
          <w:tcPr>
            <w:tcW w:type="dxa" w:w="1656"/>
            <w:vAlign w:val="center"/>
          </w:tcPr>
          <w:p>
            <w:pPr>
              <w:spacing w:after="0"/>
            </w:pPr>
            <w:r>
              <w:rPr>
                <w:sz w:val="16"/>
              </w:rPr>
              <w:t>3</w:t>
            </w:r>
          </w:p>
        </w:tc>
        <w:tc>
          <w:tcPr>
            <w:tcW w:type="dxa" w:w="1656"/>
            <w:vAlign w:val="center"/>
          </w:tcPr>
          <w:p>
            <w:pPr>
              <w:spacing w:after="0"/>
            </w:pPr>
            <w:r>
              <w:rPr>
                <w:sz w:val="16"/>
              </w:rPr>
              <w:t>2</w:t>
            </w:r>
          </w:p>
        </w:tc>
        <w:tc>
          <w:tcPr>
            <w:tcW w:type="dxa" w:w="1728"/>
            <w:vAlign w:val="center"/>
          </w:tcPr>
          <w:p>
            <w:pPr>
              <w:spacing w:after="0"/>
            </w:pPr>
            <w:r>
              <w:rPr>
                <w:sz w:val="16"/>
              </w:rPr>
              <w:t>1</w:t>
            </w:r>
          </w:p>
        </w:tc>
      </w:tr>
      <w:tr>
        <w:trPr>
          <w:cantSplit/>
        </w:trPr>
        <w:tc>
          <w:tcPr>
            <w:tcW w:type="dxa" w:w="4320"/>
            <w:vAlign w:val="center"/>
          </w:tcPr>
          <w:p>
            <w:pPr>
              <w:spacing w:after="0"/>
            </w:pPr>
            <w:r>
              <w:rPr>
                <w:sz w:val="16"/>
              </w:rPr>
              <w:t>C1-3 History of changes</w:t>
            </w:r>
          </w:p>
        </w:tc>
        <w:tc>
          <w:tcPr>
            <w:tcW w:type="dxa" w:w="1656"/>
            <w:vAlign w:val="center"/>
          </w:tcPr>
          <w:p>
            <w:pPr>
              <w:spacing w:after="0"/>
            </w:pPr>
            <w:r>
              <w:rPr>
                <w:sz w:val="16"/>
              </w:rPr>
              <w:t>3</w:t>
            </w:r>
          </w:p>
        </w:tc>
        <w:tc>
          <w:tcPr>
            <w:tcW w:type="dxa" w:w="1656"/>
            <w:vAlign w:val="center"/>
          </w:tcPr>
          <w:p>
            <w:pPr>
              <w:spacing w:after="0"/>
            </w:pPr>
            <w:r>
              <w:rPr>
                <w:sz w:val="16"/>
              </w:rPr>
              <w:t>1</w:t>
            </w:r>
          </w:p>
        </w:tc>
        <w:tc>
          <w:tcPr>
            <w:tcW w:type="dxa" w:w="1728"/>
            <w:vAlign w:val="center"/>
          </w:tcPr>
          <w:p>
            <w:pPr>
              <w:spacing w:after="0"/>
            </w:pPr>
            <w:r>
              <w:rPr>
                <w:sz w:val="16"/>
              </w:rPr>
              <w:t>1</w:t>
            </w:r>
          </w:p>
        </w:tc>
      </w:tr>
      <w:tr>
        <w:trPr>
          <w:cantSplit/>
        </w:trPr>
        <w:tc>
          <w:tcPr>
            <w:tcW w:type="dxa" w:w="4320"/>
            <w:vAlign w:val="center"/>
          </w:tcPr>
          <w:p>
            <w:pPr>
              <w:spacing w:after="0"/>
            </w:pPr>
            <w:r>
              <w:rPr>
                <w:sz w:val="16"/>
              </w:rPr>
              <w:t>C1-4 Traceable data sources</w:t>
            </w:r>
          </w:p>
        </w:tc>
        <w:tc>
          <w:tcPr>
            <w:tcW w:type="dxa" w:w="1656"/>
            <w:vAlign w:val="center"/>
          </w:tcPr>
          <w:p>
            <w:pPr>
              <w:spacing w:after="0"/>
            </w:pPr>
            <w:r>
              <w:rPr>
                <w:sz w:val="16"/>
              </w:rPr>
              <w:t>4</w:t>
            </w:r>
          </w:p>
        </w:tc>
        <w:tc>
          <w:tcPr>
            <w:tcW w:type="dxa" w:w="1656"/>
            <w:vAlign w:val="center"/>
          </w:tcPr>
          <w:p>
            <w:pPr>
              <w:spacing w:after="0"/>
            </w:pPr>
            <w:r>
              <w:rPr>
                <w:sz w:val="16"/>
              </w:rPr>
              <w:t>2</w:t>
            </w:r>
          </w:p>
        </w:tc>
        <w:tc>
          <w:tcPr>
            <w:tcW w:type="dxa" w:w="1728"/>
            <w:vAlign w:val="center"/>
          </w:tcPr>
          <w:p>
            <w:pPr>
              <w:spacing w:after="0"/>
            </w:pPr>
            <w:r>
              <w:rPr>
                <w:sz w:val="16"/>
              </w:rPr>
              <w:t>2</w:t>
            </w:r>
          </w:p>
        </w:tc>
      </w:tr>
      <w:tr>
        <w:trPr>
          <w:cantSplit/>
        </w:trPr>
        <w:tc>
          <w:tcPr>
            <w:tcW w:type="dxa" w:w="4320"/>
            <w:vAlign w:val="center"/>
          </w:tcPr>
          <w:p>
            <w:pPr>
              <w:spacing w:after="0"/>
            </w:pPr>
            <w:r>
              <w:rPr>
                <w:sz w:val="16"/>
              </w:rPr>
              <w:t>C1-5 Inclusion/exclusion criteria</w:t>
            </w:r>
          </w:p>
        </w:tc>
        <w:tc>
          <w:tcPr>
            <w:tcW w:type="dxa" w:w="1656"/>
            <w:vAlign w:val="center"/>
          </w:tcPr>
          <w:p>
            <w:pPr>
              <w:spacing w:after="0"/>
            </w:pPr>
            <w:r>
              <w:rPr>
                <w:sz w:val="16"/>
              </w:rPr>
              <w:t>3</w:t>
            </w:r>
          </w:p>
        </w:tc>
        <w:tc>
          <w:tcPr>
            <w:tcW w:type="dxa" w:w="1656"/>
            <w:vAlign w:val="center"/>
          </w:tcPr>
          <w:p>
            <w:pPr>
              <w:spacing w:after="0"/>
            </w:pPr>
            <w:r>
              <w:rPr>
                <w:sz w:val="16"/>
              </w:rPr>
              <w:t>1</w:t>
            </w:r>
          </w:p>
        </w:tc>
        <w:tc>
          <w:tcPr>
            <w:tcW w:type="dxa" w:w="1728"/>
            <w:vAlign w:val="center"/>
          </w:tcPr>
          <w:p>
            <w:pPr>
              <w:spacing w:after="0"/>
            </w:pPr>
            <w:r>
              <w:rPr>
                <w:sz w:val="16"/>
              </w:rPr>
              <w:t>0</w:t>
            </w:r>
          </w:p>
        </w:tc>
      </w:tr>
      <w:tr>
        <w:trPr>
          <w:cantSplit/>
        </w:trPr>
        <w:tc>
          <w:tcPr>
            <w:tcW w:type="dxa" w:w="4320"/>
            <w:vAlign w:val="center"/>
          </w:tcPr>
          <w:p>
            <w:pPr>
              <w:spacing w:after="0"/>
            </w:pPr>
            <w:r>
              <w:rPr>
                <w:sz w:val="16"/>
              </w:rPr>
              <w:t>C1-6 Group and proxy-risk checks</w:t>
            </w:r>
          </w:p>
        </w:tc>
        <w:tc>
          <w:tcPr>
            <w:tcW w:type="dxa" w:w="1656"/>
            <w:vAlign w:val="center"/>
          </w:tcPr>
          <w:p>
            <w:pPr>
              <w:spacing w:after="0"/>
            </w:pPr>
            <w:r>
              <w:rPr>
                <w:sz w:val="16"/>
              </w:rPr>
              <w:t>3</w:t>
            </w:r>
          </w:p>
        </w:tc>
        <w:tc>
          <w:tcPr>
            <w:tcW w:type="dxa" w:w="1656"/>
            <w:vAlign w:val="center"/>
          </w:tcPr>
          <w:p>
            <w:pPr>
              <w:spacing w:after="0"/>
            </w:pPr>
            <w:r>
              <w:rPr>
                <w:sz w:val="16"/>
              </w:rPr>
              <w:t>1</w:t>
            </w:r>
          </w:p>
        </w:tc>
        <w:tc>
          <w:tcPr>
            <w:tcW w:type="dxa" w:w="1728"/>
            <w:vAlign w:val="center"/>
          </w:tcPr>
          <w:p>
            <w:pPr>
              <w:spacing w:after="0"/>
            </w:pPr>
            <w:r>
              <w:rPr>
                <w:sz w:val="16"/>
              </w:rPr>
              <w:t>0</w:t>
            </w:r>
          </w:p>
        </w:tc>
      </w:tr>
      <w:tr>
        <w:trPr>
          <w:cantSplit/>
        </w:trPr>
        <w:tc>
          <w:tcPr>
            <w:tcW w:type="dxa" w:w="4320"/>
            <w:vAlign w:val="center"/>
          </w:tcPr>
          <w:p>
            <w:pPr>
              <w:spacing w:after="0"/>
            </w:pPr>
            <w:r>
              <w:rPr>
                <w:sz w:val="16"/>
              </w:rPr>
              <w:t>C1-7 Documented classification and labels</w:t>
            </w:r>
          </w:p>
        </w:tc>
        <w:tc>
          <w:tcPr>
            <w:tcW w:type="dxa" w:w="1656"/>
            <w:vAlign w:val="center"/>
          </w:tcPr>
          <w:p>
            <w:pPr>
              <w:spacing w:after="0"/>
            </w:pPr>
            <w:r>
              <w:rPr>
                <w:sz w:val="16"/>
              </w:rPr>
              <w:t>3</w:t>
            </w:r>
          </w:p>
        </w:tc>
        <w:tc>
          <w:tcPr>
            <w:tcW w:type="dxa" w:w="1656"/>
            <w:vAlign w:val="center"/>
          </w:tcPr>
          <w:p>
            <w:pPr>
              <w:spacing w:after="0"/>
            </w:pPr>
            <w:r>
              <w:rPr>
                <w:sz w:val="16"/>
              </w:rPr>
              <w:t>1</w:t>
            </w:r>
          </w:p>
        </w:tc>
        <w:tc>
          <w:tcPr>
            <w:tcW w:type="dxa" w:w="1728"/>
            <w:vAlign w:val="center"/>
          </w:tcPr>
          <w:p>
            <w:pPr>
              <w:spacing w:after="0"/>
            </w:pPr>
            <w:r>
              <w:rPr>
                <w:sz w:val="16"/>
              </w:rPr>
              <w:t>1</w:t>
            </w:r>
          </w:p>
        </w:tc>
      </w:tr>
      <w:tr>
        <w:trPr>
          <w:cantSplit/>
        </w:trPr>
        <w:tc>
          <w:tcPr>
            <w:tcW w:type="dxa" w:w="4320"/>
            <w:vAlign w:val="center"/>
          </w:tcPr>
          <w:p>
            <w:pPr>
              <w:spacing w:after="0"/>
            </w:pPr>
            <w:r>
              <w:rPr>
                <w:sz w:val="16"/>
              </w:rPr>
              <w:t>C1-8 Prompt/threshold decision record</w:t>
            </w:r>
          </w:p>
        </w:tc>
        <w:tc>
          <w:tcPr>
            <w:tcW w:type="dxa" w:w="1656"/>
            <w:vAlign w:val="center"/>
          </w:tcPr>
          <w:p>
            <w:pPr>
              <w:spacing w:after="0"/>
            </w:pPr>
            <w:r>
              <w:rPr>
                <w:sz w:val="16"/>
              </w:rPr>
              <w:t>3</w:t>
            </w:r>
          </w:p>
        </w:tc>
        <w:tc>
          <w:tcPr>
            <w:tcW w:type="dxa" w:w="1656"/>
            <w:vAlign w:val="center"/>
          </w:tcPr>
          <w:p>
            <w:pPr>
              <w:spacing w:after="0"/>
            </w:pPr>
            <w:r>
              <w:rPr>
                <w:sz w:val="16"/>
              </w:rPr>
              <w:t>0</w:t>
            </w:r>
          </w:p>
        </w:tc>
        <w:tc>
          <w:tcPr>
            <w:tcW w:type="dxa" w:w="1728"/>
            <w:vAlign w:val="center"/>
          </w:tcPr>
          <w:p>
            <w:pPr>
              <w:spacing w:after="0"/>
            </w:pPr>
            <w:r>
              <w:rPr>
                <w:sz w:val="16"/>
              </w:rPr>
              <w:t>1</w:t>
            </w:r>
          </w:p>
        </w:tc>
      </w:tr>
      <w:tr>
        <w:trPr>
          <w:cantSplit/>
        </w:trPr>
        <w:tc>
          <w:tcPr>
            <w:tcW w:type="dxa" w:w="4320"/>
            <w:vAlign w:val="center"/>
          </w:tcPr>
          <w:p>
            <w:pPr>
              <w:spacing w:after="0"/>
            </w:pPr>
            <w:r>
              <w:rPr>
                <w:sz w:val="16"/>
              </w:rPr>
              <w:t>C1-9 Reconstructable framing logic</w:t>
            </w:r>
          </w:p>
        </w:tc>
        <w:tc>
          <w:tcPr>
            <w:tcW w:type="dxa" w:w="1656"/>
            <w:vAlign w:val="center"/>
          </w:tcPr>
          <w:p>
            <w:pPr>
              <w:spacing w:after="0"/>
            </w:pPr>
            <w:r>
              <w:rPr>
                <w:sz w:val="16"/>
              </w:rPr>
              <w:t>3</w:t>
            </w:r>
          </w:p>
        </w:tc>
        <w:tc>
          <w:tcPr>
            <w:tcW w:type="dxa" w:w="1656"/>
            <w:vAlign w:val="center"/>
          </w:tcPr>
          <w:p>
            <w:pPr>
              <w:spacing w:after="0"/>
            </w:pPr>
            <w:r>
              <w:rPr>
                <w:sz w:val="16"/>
              </w:rPr>
              <w:t>0</w:t>
            </w:r>
          </w:p>
        </w:tc>
        <w:tc>
          <w:tcPr>
            <w:tcW w:type="dxa" w:w="1728"/>
            <w:vAlign w:val="center"/>
          </w:tcPr>
          <w:p>
            <w:pPr>
              <w:spacing w:after="0"/>
            </w:pPr>
            <w:r>
              <w:rPr>
                <w:sz w:val="16"/>
              </w:rPr>
              <w:t>0</w:t>
            </w:r>
          </w:p>
        </w:tc>
      </w:tr>
      <w:tr>
        <w:trPr>
          <w:cantSplit/>
        </w:trPr>
        <w:tc>
          <w:tcPr>
            <w:tcW w:type="dxa" w:w="4320"/>
            <w:vAlign w:val="center"/>
          </w:tcPr>
          <w:p>
            <w:pPr>
              <w:spacing w:after="0"/>
            </w:pPr>
            <w:r>
              <w:rPr>
                <w:sz w:val="16"/>
              </w:rPr>
              <w:t>C1-10 Stakeholder participation</w:t>
            </w:r>
          </w:p>
        </w:tc>
        <w:tc>
          <w:tcPr>
            <w:tcW w:type="dxa" w:w="1656"/>
            <w:vAlign w:val="center"/>
          </w:tcPr>
          <w:p>
            <w:pPr>
              <w:spacing w:after="0"/>
            </w:pPr>
            <w:r>
              <w:rPr>
                <w:sz w:val="16"/>
              </w:rPr>
              <w:t>2</w:t>
            </w:r>
          </w:p>
        </w:tc>
        <w:tc>
          <w:tcPr>
            <w:tcW w:type="dxa" w:w="1656"/>
            <w:vAlign w:val="center"/>
          </w:tcPr>
          <w:p>
            <w:pPr>
              <w:spacing w:after="0"/>
            </w:pPr>
            <w:r>
              <w:rPr>
                <w:sz w:val="16"/>
              </w:rPr>
              <w:t>0</w:t>
            </w:r>
          </w:p>
        </w:tc>
        <w:tc>
          <w:tcPr>
            <w:tcW w:type="dxa" w:w="1728"/>
            <w:vAlign w:val="center"/>
          </w:tcPr>
          <w:p>
            <w:pPr>
              <w:spacing w:after="0"/>
            </w:pPr>
            <w:r>
              <w:rPr>
                <w:sz w:val="16"/>
              </w:rPr>
              <w:t>0</w:t>
            </w:r>
          </w:p>
        </w:tc>
      </w:tr>
      <w:tr>
        <w:trPr>
          <w:cantSplit/>
        </w:trPr>
        <w:tc>
          <w:tcPr>
            <w:tcW w:type="dxa" w:w="4320"/>
            <w:vAlign w:val="center"/>
          </w:tcPr>
          <w:p>
            <w:pPr>
              <w:spacing w:after="0"/>
            </w:pPr>
            <w:r>
              <w:rPr>
                <w:sz w:val="16"/>
              </w:rPr>
              <w:t>C1-11 Channel for framing objections</w:t>
            </w:r>
          </w:p>
        </w:tc>
        <w:tc>
          <w:tcPr>
            <w:tcW w:type="dxa" w:w="1656"/>
            <w:vAlign w:val="center"/>
          </w:tcPr>
          <w:p>
            <w:pPr>
              <w:spacing w:after="0"/>
            </w:pPr>
            <w:r>
              <w:rPr>
                <w:sz w:val="16"/>
              </w:rPr>
              <w:t>N/A (NA-U)</w:t>
            </w:r>
          </w:p>
        </w:tc>
        <w:tc>
          <w:tcPr>
            <w:tcW w:type="dxa" w:w="1656"/>
            <w:vAlign w:val="center"/>
          </w:tcPr>
          <w:p>
            <w:pPr>
              <w:spacing w:after="0"/>
            </w:pPr>
            <w:r>
              <w:rPr>
                <w:sz w:val="16"/>
              </w:rPr>
              <w:t>1</w:t>
            </w:r>
          </w:p>
        </w:tc>
        <w:tc>
          <w:tcPr>
            <w:tcW w:type="dxa" w:w="1728"/>
            <w:vAlign w:val="center"/>
          </w:tcPr>
          <w:p>
            <w:pPr>
              <w:spacing w:after="0"/>
            </w:pPr>
            <w:r>
              <w:rPr>
                <w:sz w:val="16"/>
              </w:rPr>
              <w:t>1</w:t>
            </w:r>
          </w:p>
        </w:tc>
      </w:tr>
      <w:tr>
        <w:trPr>
          <w:cantSplit/>
        </w:trPr>
        <w:tc>
          <w:tcPr>
            <w:tcW w:type="dxa" w:w="4320"/>
            <w:vAlign w:val="center"/>
          </w:tcPr>
          <w:p>
            <w:pPr>
              <w:spacing w:after="0"/>
            </w:pPr>
            <w:r>
              <w:rPr>
                <w:sz w:val="16"/>
              </w:rPr>
              <w:t>C1-12 Demonstrated framing correction</w:t>
            </w:r>
          </w:p>
        </w:tc>
        <w:tc>
          <w:tcPr>
            <w:tcW w:type="dxa" w:w="1656"/>
            <w:vAlign w:val="center"/>
          </w:tcPr>
          <w:p>
            <w:pPr>
              <w:spacing w:after="0"/>
            </w:pPr>
            <w:r>
              <w:rPr>
                <w:sz w:val="16"/>
              </w:rPr>
              <w:t>2</w:t>
            </w:r>
          </w:p>
        </w:tc>
        <w:tc>
          <w:tcPr>
            <w:tcW w:type="dxa" w:w="1656"/>
            <w:vAlign w:val="center"/>
          </w:tcPr>
          <w:p>
            <w:pPr>
              <w:spacing w:after="0"/>
            </w:pPr>
            <w:r>
              <w:rPr>
                <w:sz w:val="16"/>
              </w:rPr>
              <w:t>2</w:t>
            </w:r>
          </w:p>
        </w:tc>
        <w:tc>
          <w:tcPr>
            <w:tcW w:type="dxa" w:w="1728"/>
            <w:vAlign w:val="center"/>
          </w:tcPr>
          <w:p>
            <w:pPr>
              <w:spacing w:after="0"/>
            </w:pPr>
            <w:r>
              <w:rPr>
                <w:sz w:val="16"/>
              </w:rPr>
              <w:t>0</w:t>
            </w:r>
          </w:p>
        </w:tc>
      </w:tr>
      <w:tr>
        <w:trPr>
          <w:cantSplit/>
        </w:trPr>
        <w:tc>
          <w:tcPr>
            <w:tcW w:type="dxa" w:w="4320"/>
            <w:vAlign w:val="center"/>
          </w:tcPr>
          <w:p>
            <w:pPr>
              <w:spacing w:after="0"/>
            </w:pPr>
            <w:r>
              <w:rPr>
                <w:sz w:val="16"/>
              </w:rPr>
              <w:t>Valid indicators / coverage</w:t>
            </w:r>
          </w:p>
        </w:tc>
        <w:tc>
          <w:tcPr>
            <w:tcW w:type="dxa" w:w="1656"/>
            <w:vAlign w:val="center"/>
          </w:tcPr>
          <w:p>
            <w:pPr>
              <w:spacing w:after="0"/>
            </w:pPr>
            <w:r>
              <w:rPr>
                <w:sz w:val="16"/>
              </w:rPr>
              <w:t>11 / 91.7%</w:t>
            </w:r>
          </w:p>
        </w:tc>
        <w:tc>
          <w:tcPr>
            <w:tcW w:type="dxa" w:w="1656"/>
            <w:vAlign w:val="center"/>
          </w:tcPr>
          <w:p>
            <w:pPr>
              <w:spacing w:after="0"/>
            </w:pPr>
            <w:r>
              <w:rPr>
                <w:sz w:val="16"/>
              </w:rPr>
              <w:t>12 / 100%</w:t>
            </w:r>
          </w:p>
        </w:tc>
        <w:tc>
          <w:tcPr>
            <w:tcW w:type="dxa" w:w="1728"/>
            <w:vAlign w:val="center"/>
          </w:tcPr>
          <w:p>
            <w:pPr>
              <w:spacing w:after="0"/>
            </w:pPr>
            <w:r>
              <w:rPr>
                <w:sz w:val="16"/>
              </w:rPr>
              <w:t>12 / 100%</w:t>
            </w:r>
          </w:p>
        </w:tc>
      </w:tr>
      <w:tr>
        <w:trPr>
          <w:cantSplit/>
        </w:trPr>
        <w:tc>
          <w:tcPr>
            <w:tcW w:type="dxa" w:w="4320"/>
            <w:vAlign w:val="center"/>
          </w:tcPr>
          <w:p>
            <w:pPr>
              <w:spacing w:after="0"/>
            </w:pPr>
            <w:r>
              <w:rPr>
                <w:sz w:val="16"/>
              </w:rPr>
              <w:t>Descriptive C1 mean</w:t>
            </w:r>
          </w:p>
        </w:tc>
        <w:tc>
          <w:tcPr>
            <w:tcW w:type="dxa" w:w="1656"/>
            <w:vAlign w:val="center"/>
          </w:tcPr>
          <w:p>
            <w:pPr>
              <w:spacing w:after="0"/>
            </w:pPr>
            <w:r>
              <w:rPr>
                <w:sz w:val="16"/>
              </w:rPr>
              <w:t>3.00</w:t>
            </w:r>
          </w:p>
        </w:tc>
        <w:tc>
          <w:tcPr>
            <w:tcW w:type="dxa" w:w="1656"/>
            <w:vAlign w:val="center"/>
          </w:tcPr>
          <w:p>
            <w:pPr>
              <w:spacing w:after="0"/>
            </w:pPr>
            <w:r>
              <w:rPr>
                <w:sz w:val="16"/>
              </w:rPr>
              <w:t>1.17</w:t>
            </w:r>
          </w:p>
        </w:tc>
        <w:tc>
          <w:tcPr>
            <w:tcW w:type="dxa" w:w="1728"/>
            <w:vAlign w:val="center"/>
          </w:tcPr>
          <w:p>
            <w:pPr>
              <w:spacing w:after="0"/>
            </w:pPr>
            <w:r>
              <w:rPr>
                <w:sz w:val="16"/>
              </w:rPr>
              <w:t>0.75</w:t>
            </w:r>
          </w:p>
        </w:tc>
      </w:tr>
      <w:tr>
        <w:trPr>
          <w:cantSplit/>
        </w:trPr>
        <w:tc>
          <w:tcPr>
            <w:tcW w:type="dxa" w:w="4320"/>
            <w:vAlign w:val="center"/>
          </w:tcPr>
          <w:p>
            <w:pPr>
              <w:spacing w:after="0"/>
            </w:pPr>
            <w:r>
              <w:rPr>
                <w:sz w:val="16"/>
              </w:rPr>
              <w:t>D4 mean</w:t>
            </w:r>
          </w:p>
        </w:tc>
        <w:tc>
          <w:tcPr>
            <w:tcW w:type="dxa" w:w="1656"/>
            <w:vAlign w:val="center"/>
          </w:tcPr>
          <w:p>
            <w:pPr>
              <w:spacing w:after="0"/>
            </w:pPr>
            <w:r>
              <w:rPr>
                <w:sz w:val="16"/>
              </w:rPr>
              <w:t>2.00 (C1-11 N/A)</w:t>
            </w:r>
          </w:p>
        </w:tc>
        <w:tc>
          <w:tcPr>
            <w:tcW w:type="dxa" w:w="1656"/>
            <w:vAlign w:val="center"/>
          </w:tcPr>
          <w:p>
            <w:pPr>
              <w:spacing w:after="0"/>
            </w:pPr>
            <w:r>
              <w:rPr>
                <w:sz w:val="16"/>
              </w:rPr>
              <w:t>1.00</w:t>
            </w:r>
          </w:p>
        </w:tc>
        <w:tc>
          <w:tcPr>
            <w:tcW w:type="dxa" w:w="1728"/>
            <w:vAlign w:val="center"/>
          </w:tcPr>
          <w:p>
            <w:pPr>
              <w:spacing w:after="0"/>
            </w:pPr>
            <w:r>
              <w:rPr>
                <w:sz w:val="16"/>
              </w:rPr>
              <w:t>0.33</w:t>
            </w:r>
          </w:p>
        </w:tc>
      </w:tr>
      <w:tr>
        <w:trPr>
          <w:cantSplit/>
        </w:trPr>
        <w:tc>
          <w:tcPr>
            <w:tcW w:type="dxa" w:w="4320"/>
            <w:vAlign w:val="center"/>
          </w:tcPr>
          <w:p>
            <w:pPr>
              <w:spacing w:after="0"/>
            </w:pPr>
            <w:r>
              <w:rPr>
                <w:sz w:val="16"/>
              </w:rPr>
              <w:t>Normative threshold</w:t>
            </w:r>
          </w:p>
        </w:tc>
        <w:tc>
          <w:tcPr>
            <w:tcW w:type="dxa" w:w="1656"/>
            <w:vAlign w:val="center"/>
          </w:tcPr>
          <w:p>
            <w:pPr>
              <w:spacing w:after="0"/>
            </w:pPr>
            <w:r>
              <w:rPr>
                <w:sz w:val="16"/>
              </w:rPr>
              <w:t>Indeterminate</w:t>
            </w:r>
          </w:p>
        </w:tc>
        <w:tc>
          <w:tcPr>
            <w:tcW w:type="dxa" w:w="1656"/>
            <w:vAlign w:val="center"/>
          </w:tcPr>
          <w:p>
            <w:pPr>
              <w:spacing w:after="0"/>
            </w:pPr>
            <w:r>
              <w:rPr>
                <w:sz w:val="16"/>
              </w:rPr>
              <w:t>Minimum boundary</w:t>
            </w:r>
          </w:p>
        </w:tc>
        <w:tc>
          <w:tcPr>
            <w:tcW w:type="dxa" w:w="1728"/>
            <w:vAlign w:val="center"/>
          </w:tcPr>
          <w:p>
            <w:pPr>
              <w:spacing w:after="0"/>
            </w:pPr>
            <w:r>
              <w:rPr>
                <w:sz w:val="16"/>
              </w:rPr>
              <w:t>Not met</w:t>
            </w:r>
          </w:p>
        </w:tc>
      </w:tr>
    </w:tbl>
    <w:p>
      <w:r/>
    </w:p>
    <w:p>
      <w:r>
        <w:rPr>
          <w:b/>
        </w:rPr>
        <w:t>Table 9. Two-Axis Diagnosis: Power Transfer and Democratic Integrity</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cantSplit/>
        </w:trPr>
        <w:tc>
          <w:tcPr>
            <w:tcW w:type="dxa" w:w="1008"/>
            <w:vAlign w:val="center"/>
          </w:tcPr>
          <w:p>
            <w:pPr>
              <w:spacing w:after="0"/>
            </w:pPr>
            <w:r>
              <w:rPr>
                <w:b/>
                <w:sz w:val="16"/>
              </w:rPr>
              <w:t>Case</w:t>
            </w:r>
          </w:p>
        </w:tc>
        <w:tc>
          <w:tcPr>
            <w:tcW w:type="dxa" w:w="1152"/>
            <w:vAlign w:val="center"/>
          </w:tcPr>
          <w:p>
            <w:pPr>
              <w:spacing w:after="0"/>
            </w:pPr>
            <w:r>
              <w:rPr>
                <w:b/>
                <w:sz w:val="16"/>
              </w:rPr>
              <w:t>P1 exposure</w:t>
            </w:r>
          </w:p>
        </w:tc>
        <w:tc>
          <w:tcPr>
            <w:tcW w:type="dxa" w:w="1224"/>
            <w:vAlign w:val="center"/>
          </w:tcPr>
          <w:p>
            <w:pPr>
              <w:spacing w:after="0"/>
            </w:pPr>
            <w:r>
              <w:rPr>
                <w:b/>
                <w:sz w:val="16"/>
              </w:rPr>
              <w:t>C1 integrity</w:t>
            </w:r>
          </w:p>
        </w:tc>
        <w:tc>
          <w:tcPr>
            <w:tcW w:type="dxa" w:w="3240"/>
            <w:vAlign w:val="center"/>
          </w:tcPr>
          <w:p>
            <w:pPr>
              <w:spacing w:after="0"/>
            </w:pPr>
            <w:r>
              <w:rPr>
                <w:b/>
                <w:sz w:val="16"/>
              </w:rPr>
              <w:t>Two-axis diagnosis</w:t>
            </w:r>
          </w:p>
        </w:tc>
        <w:tc>
          <w:tcPr>
            <w:tcW w:type="dxa" w:w="2736"/>
            <w:vAlign w:val="center"/>
          </w:tcPr>
          <w:p>
            <w:pPr>
              <w:spacing w:after="0"/>
            </w:pPr>
            <w:r>
              <w:rPr>
                <w:b/>
                <w:sz w:val="16"/>
              </w:rPr>
              <w:t>Main pressure on subsequent chains</w:t>
            </w:r>
          </w:p>
        </w:tc>
      </w:tr>
      <w:tr>
        <w:trPr>
          <w:cantSplit/>
        </w:trPr>
        <w:tc>
          <w:tcPr>
            <w:tcW w:type="dxa" w:w="1008"/>
            <w:vAlign w:val="center"/>
          </w:tcPr>
          <w:p>
            <w:pPr>
              <w:spacing w:after="0"/>
            </w:pPr>
            <w:r>
              <w:rPr>
                <w:sz w:val="16"/>
              </w:rPr>
              <w:t>AFST</w:t>
            </w:r>
          </w:p>
        </w:tc>
        <w:tc>
          <w:tcPr>
            <w:tcW w:type="dxa" w:w="1152"/>
            <w:vAlign w:val="center"/>
          </w:tcPr>
          <w:p>
            <w:pPr>
              <w:spacing w:after="0"/>
            </w:pPr>
            <w:r>
              <w:rPr>
                <w:sz w:val="16"/>
              </w:rPr>
              <w:t>2.4</w:t>
            </w:r>
          </w:p>
        </w:tc>
        <w:tc>
          <w:tcPr>
            <w:tcW w:type="dxa" w:w="1224"/>
            <w:vAlign w:val="center"/>
          </w:tcPr>
          <w:p>
            <w:pPr>
              <w:spacing w:after="0"/>
            </w:pPr>
            <w:r>
              <w:rPr>
                <w:sz w:val="16"/>
              </w:rPr>
              <w:t>3.00</w:t>
            </w:r>
          </w:p>
        </w:tc>
        <w:tc>
          <w:tcPr>
            <w:tcW w:type="dxa" w:w="3240"/>
            <w:vAlign w:val="center"/>
          </w:tcPr>
          <w:p>
            <w:pPr>
              <w:spacing w:after="0"/>
            </w:pPr>
            <w:r>
              <w:rPr>
                <w:sz w:val="16"/>
              </w:rPr>
              <w:t>Moderately high exposure / relatively strong documentation, but the objection threshold is indeterminate</w:t>
            </w:r>
          </w:p>
        </w:tc>
        <w:tc>
          <w:tcPr>
            <w:tcW w:type="dxa" w:w="2736"/>
            <w:vAlign w:val="center"/>
          </w:tcPr>
          <w:p>
            <w:pPr>
              <w:spacing w:after="0"/>
            </w:pPr>
            <w:r>
              <w:rPr>
                <w:sz w:val="16"/>
              </w:rPr>
              <w:t>Authority chain and discretion boundary must still test whether human review is substantive</w:t>
            </w:r>
          </w:p>
        </w:tc>
      </w:tr>
      <w:tr>
        <w:trPr>
          <w:cantSplit/>
        </w:trPr>
        <w:tc>
          <w:tcPr>
            <w:tcW w:type="dxa" w:w="1008"/>
            <w:vAlign w:val="center"/>
          </w:tcPr>
          <w:p>
            <w:pPr>
              <w:spacing w:after="0"/>
            </w:pPr>
            <w:r>
              <w:rPr>
                <w:sz w:val="16"/>
              </w:rPr>
              <w:t>SyRI</w:t>
            </w:r>
          </w:p>
        </w:tc>
        <w:tc>
          <w:tcPr>
            <w:tcW w:type="dxa" w:w="1152"/>
            <w:vAlign w:val="center"/>
          </w:tcPr>
          <w:p>
            <w:pPr>
              <w:spacing w:after="0"/>
            </w:pPr>
            <w:r>
              <w:rPr>
                <w:sz w:val="16"/>
              </w:rPr>
              <w:t>3.0</w:t>
            </w:r>
          </w:p>
        </w:tc>
        <w:tc>
          <w:tcPr>
            <w:tcW w:type="dxa" w:w="1224"/>
            <w:vAlign w:val="center"/>
          </w:tcPr>
          <w:p>
            <w:pPr>
              <w:spacing w:after="0"/>
            </w:pPr>
            <w:r>
              <w:rPr>
                <w:sz w:val="16"/>
              </w:rPr>
              <w:t>1.17</w:t>
            </w:r>
          </w:p>
        </w:tc>
        <w:tc>
          <w:tcPr>
            <w:tcW w:type="dxa" w:w="3240"/>
            <w:vAlign w:val="center"/>
          </w:tcPr>
          <w:p>
            <w:pPr>
              <w:spacing w:after="0"/>
            </w:pPr>
            <w:r>
              <w:rPr>
                <w:sz w:val="16"/>
              </w:rPr>
              <w:t>High exposure / low integrity</w:t>
            </w:r>
          </w:p>
        </w:tc>
        <w:tc>
          <w:tcPr>
            <w:tcW w:type="dxa" w:w="2736"/>
            <w:vAlign w:val="center"/>
          </w:tcPr>
          <w:p>
            <w:pPr>
              <w:spacing w:after="0"/>
            </w:pPr>
            <w:r>
              <w:rPr>
                <w:sz w:val="16"/>
              </w:rPr>
              <w:t>Privacy, authority, and reasoning chains are under pressure; judicial external correction intervenes</w:t>
            </w:r>
          </w:p>
        </w:tc>
      </w:tr>
      <w:tr>
        <w:trPr>
          <w:cantSplit/>
        </w:trPr>
        <w:tc>
          <w:tcPr>
            <w:tcW w:type="dxa" w:w="1008"/>
            <w:vAlign w:val="center"/>
          </w:tcPr>
          <w:p>
            <w:pPr>
              <w:spacing w:after="0"/>
            </w:pPr>
            <w:r>
              <w:rPr>
                <w:sz w:val="16"/>
              </w:rPr>
              <w:t>Robodebt</w:t>
            </w:r>
          </w:p>
        </w:tc>
        <w:tc>
          <w:tcPr>
            <w:tcW w:type="dxa" w:w="1152"/>
            <w:vAlign w:val="center"/>
          </w:tcPr>
          <w:p>
            <w:pPr>
              <w:spacing w:after="0"/>
            </w:pPr>
            <w:r>
              <w:rPr>
                <w:sz w:val="16"/>
              </w:rPr>
              <w:t>3.8</w:t>
            </w:r>
          </w:p>
        </w:tc>
        <w:tc>
          <w:tcPr>
            <w:tcW w:type="dxa" w:w="1224"/>
            <w:vAlign w:val="center"/>
          </w:tcPr>
          <w:p>
            <w:pPr>
              <w:spacing w:after="0"/>
            </w:pPr>
            <w:r>
              <w:rPr>
                <w:sz w:val="16"/>
              </w:rPr>
              <w:t>0.75</w:t>
            </w:r>
          </w:p>
        </w:tc>
        <w:tc>
          <w:tcPr>
            <w:tcW w:type="dxa" w:w="3240"/>
            <w:vAlign w:val="center"/>
          </w:tcPr>
          <w:p>
            <w:pPr>
              <w:spacing w:after="0"/>
            </w:pPr>
            <w:r>
              <w:rPr>
                <w:sz w:val="16"/>
              </w:rPr>
              <w:t>High exposure / low integrity; democratic threshold not met</w:t>
            </w:r>
          </w:p>
        </w:tc>
        <w:tc>
          <w:tcPr>
            <w:tcW w:type="dxa" w:w="2736"/>
            <w:vAlign w:val="center"/>
          </w:tcPr>
          <w:p>
            <w:pPr>
              <w:spacing w:after="0"/>
            </w:pPr>
            <w:r>
              <w:rPr>
                <w:sz w:val="16"/>
              </w:rPr>
              <w:t>The reasoning chain ruptures first, followed by responsibility and remedy</w:t>
            </w:r>
          </w:p>
        </w:tc>
      </w:tr>
    </w:tbl>
    <w:p>
      <w:r/>
    </w:p>
    <w:p>
      <w:pPr>
        <w:pStyle w:val="Heading1"/>
      </w:pPr>
      <w:r>
        <w:t>6. Implications and Conclusion</w:t>
      </w:r>
    </w:p>
    <w:p>
      <w:r>
        <w:t>The analytical contribution of this paper is to move the democratic question forward in time. Democratic legitimacy is not preserved merely because an official signs a final decision. It depends on whether the framing that made the decision intelligible was documented, open to challenge, and capable of correction.</w:t>
      </w:r>
    </w:p>
    <w:p>
      <w:r>
        <w:t>For practice, the blueprint supports ex-ante review as well as ex-post accountability. A newly deployed system may not yet have produced a public scandal or judicial dispute, but agencies can still examine whether data sources, categories, prompts, thresholds, and objection channels meet the minimum C1 conditions. Where P1 exposure is high and C1 integrity weak, deployment should trigger a corrective governance plan before the system produces entrenched harms.</w:t>
      </w:r>
    </w:p>
    <w:p>
      <w:r>
        <w:t>The framework remains a measurement blueprint, not a validated scale. Future work should test coding rules across diverse policy domains, examine inter-rater reliability, validate thresholds, and investigate whether specific combinations of P1 exposure and C1 deficits predict later failure in authority, reasoning, responsibility, or remedy.</w:t>
      </w:r>
    </w:p>
    <w:p>
      <w:pPr>
        <w:pStyle w:val="Heading1"/>
      </w:pPr>
      <w:r>
        <w:t>References</w:t>
      </w:r>
    </w:p>
    <w:p>
      <w:r>
        <w:t>Busuioc, M. (2021). Accountable artificial intelligence: Holding algorithms to account in public administration. Public Administration Review, 81(5), 825–836.</w:t>
      </w:r>
    </w:p>
    <w:p>
      <w:r>
        <w:t>Cobbe, J., Lee, M. S. A., &amp; Singh, J. (2021). Reviewable automated decision-making: A framework for accountable algorithmic systems. Proceedings of FAccT, 598–609.</w:t>
      </w:r>
    </w:p>
    <w:p>
      <w:r>
        <w:t>Grimmelikhuijsen, S., &amp; Meijer, A. (2022). Legitimacy of algorithmic decision-making: Six threats and the need for a calibrated institutional response. Perspectives on Public Management and Governance, 5(3), 232–242.</w:t>
      </w:r>
    </w:p>
    <w:p>
      <w:r>
        <w:t>Lu, L. (2026). Reconceptualizing AI governance: Twenty-five governance coordinates, three functional transfers, three structural effects, four governance chains, and seven governance audits.</w:t>
      </w:r>
    </w:p>
    <w:p>
      <w:r>
        <w:t>Young, M. M., Bullock, J. B., &amp; Lecy, J. D. (2019). Artificial discretion as a tool of governance. Perspectives on Public Management and Governance, 2(4), 301–313.</w:t>
      </w:r>
    </w:p>
    <w:sectPr w:rsidR="00FC693F" w:rsidRPr="0006063C" w:rsidSect="0003461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288" w:lineRule="auto"/>
    </w:pPr>
    <w:rPr>
      <w:rFonts w:ascii="Calibri" w:hAnsi="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88"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88"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88"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