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35E70" w:rsidRDefault="000B3CAA">
      <w:pPr>
        <w:spacing w:after="160"/>
        <w:jc w:val="center"/>
      </w:pPr>
      <w:r>
        <w:rPr>
          <w:rFonts w:ascii="微軟正黑體" w:eastAsia="微軟正黑體" w:hAnsi="微軟正黑體" w:cs="微軟正黑體"/>
          <w:b/>
          <w:sz w:val="32"/>
        </w:rPr>
        <w:t xml:space="preserve">AI </w:t>
      </w:r>
      <w:r>
        <w:rPr>
          <w:rFonts w:ascii="微軟正黑體" w:eastAsia="微軟正黑體" w:hAnsi="微軟正黑體" w:cs="微軟正黑體"/>
          <w:b/>
          <w:sz w:val="32"/>
        </w:rPr>
        <w:t>治理的民主</w:t>
      </w:r>
      <w:proofErr w:type="gramStart"/>
      <w:r>
        <w:rPr>
          <w:rFonts w:ascii="微軟正黑體" w:eastAsia="微軟正黑體" w:hAnsi="微軟正黑體" w:cs="微軟正黑體"/>
          <w:b/>
          <w:sz w:val="32"/>
        </w:rPr>
        <w:t>正當性前置</w:t>
      </w:r>
      <w:proofErr w:type="gramEnd"/>
      <w:r>
        <w:rPr>
          <w:rFonts w:ascii="微軟正黑體" w:eastAsia="微軟正黑體" w:hAnsi="微軟正黑體" w:cs="微軟正黑體"/>
          <w:b/>
          <w:sz w:val="32"/>
        </w:rPr>
        <w:t>條件：情境</w:t>
      </w:r>
      <w:proofErr w:type="gramStart"/>
      <w:r>
        <w:rPr>
          <w:rFonts w:ascii="微軟正黑體" w:eastAsia="微軟正黑體" w:hAnsi="微軟正黑體" w:cs="微軟正黑體"/>
          <w:b/>
          <w:sz w:val="32"/>
        </w:rPr>
        <w:t>建構權移轉</w:t>
      </w:r>
      <w:proofErr w:type="gramEnd"/>
      <w:r>
        <w:rPr>
          <w:rFonts w:ascii="微軟正黑體" w:eastAsia="微軟正黑體" w:hAnsi="微軟正黑體" w:cs="微軟正黑體"/>
          <w:b/>
          <w:sz w:val="32"/>
        </w:rPr>
        <w:t>、雙階段測量與跨案例示範</w:t>
      </w:r>
    </w:p>
    <w:p w:rsidR="00035E70" w:rsidRDefault="000B3CAA">
      <w:pPr>
        <w:spacing w:after="80"/>
        <w:jc w:val="center"/>
      </w:pPr>
      <w:r>
        <w:rPr>
          <w:rFonts w:ascii="微軟正黑體" w:eastAsia="微軟正黑體" w:hAnsi="微軟正黑體" w:cs="微軟正黑體"/>
          <w:i/>
          <w:sz w:val="22"/>
        </w:rPr>
        <w:t>Democratic Preconditions for AI Governance: Transfer of Situation-Construction Power,</w:t>
      </w:r>
    </w:p>
    <w:p w:rsidR="00035E70" w:rsidRDefault="000B3CAA">
      <w:pPr>
        <w:spacing w:after="320"/>
        <w:jc w:val="center"/>
      </w:pPr>
      <w:r>
        <w:rPr>
          <w:rFonts w:ascii="微軟正黑體" w:eastAsia="微軟正黑體" w:hAnsi="微軟正黑體" w:cs="微軟正黑體"/>
          <w:i/>
          <w:sz w:val="22"/>
        </w:rPr>
        <w:t>Two-Stage Measurement, and Cross-Case Illustration</w:t>
      </w:r>
    </w:p>
    <w:p w:rsidR="00035E70" w:rsidRDefault="000B3CAA">
      <w:pPr>
        <w:spacing w:after="320"/>
        <w:jc w:val="center"/>
      </w:pPr>
      <w:r>
        <w:rPr>
          <w:rFonts w:ascii="微軟正黑體" w:eastAsia="微軟正黑體" w:hAnsi="微軟正黑體" w:cs="微軟正黑體"/>
          <w:sz w:val="22"/>
        </w:rPr>
        <w:t>文稿性質：</w:t>
      </w:r>
      <w:r>
        <w:rPr>
          <w:rFonts w:ascii="微軟正黑體" w:eastAsia="微軟正黑體" w:hAnsi="微軟正黑體" w:cs="微軟正黑體"/>
          <w:sz w:val="22"/>
        </w:rPr>
        <w:t>Working Paper</w:t>
      </w:r>
    </w:p>
    <w:p w:rsidR="00035E70" w:rsidRDefault="000B3CAA">
      <w:pPr>
        <w:pStyle w:val="1"/>
        <w:spacing w:before="260" w:after="140"/>
      </w:pPr>
      <w:r>
        <w:rPr>
          <w:rFonts w:ascii="微軟正黑體" w:eastAsia="微軟正黑體" w:hAnsi="微軟正黑體" w:cs="微軟正黑體"/>
          <w:b/>
          <w:sz w:val="27"/>
        </w:rPr>
        <w:t>摘要</w:t>
      </w:r>
    </w:p>
    <w:p w:rsidR="00035E70" w:rsidRPr="00711A75" w:rsidRDefault="000B3CAA">
      <w:pPr>
        <w:spacing w:after="160" w:line="300" w:lineRule="auto"/>
        <w:jc w:val="both"/>
        <w:rPr>
          <w:rFonts w:asciiTheme="minorEastAsia" w:hAnsiTheme="minorEastAsia"/>
          <w:sz w:val="24"/>
          <w:szCs w:val="24"/>
        </w:rPr>
      </w:pPr>
      <w:bookmarkStart w:id="0" w:name="_GoBack"/>
      <w:r w:rsidRPr="00711A75">
        <w:rPr>
          <w:rFonts w:asciiTheme="minorEastAsia" w:hAnsiTheme="minorEastAsia"/>
          <w:sz w:val="24"/>
          <w:szCs w:val="24"/>
        </w:rPr>
        <w:t>人工智慧進入公共行政後，民主正當性問題不只發生於正式行政決定作成之後，也可能發生於資料、分類、提示與</w:t>
      </w:r>
      <w:proofErr w:type="gramStart"/>
      <w:r w:rsidRPr="00711A75">
        <w:rPr>
          <w:rFonts w:asciiTheme="minorEastAsia" w:hAnsiTheme="minorEastAsia"/>
          <w:sz w:val="24"/>
          <w:szCs w:val="24"/>
        </w:rPr>
        <w:t>閾</w:t>
      </w:r>
      <w:proofErr w:type="gramEnd"/>
      <w:r w:rsidRPr="00711A75">
        <w:rPr>
          <w:rFonts w:asciiTheme="minorEastAsia" w:hAnsiTheme="minorEastAsia"/>
          <w:sz w:val="24"/>
          <w:szCs w:val="24"/>
        </w:rPr>
        <w:t>值預先界定公共問題之時。若技術系統先行決定哪些事實可見、哪些群體被</w:t>
      </w:r>
      <w:proofErr w:type="gramStart"/>
      <w:r w:rsidRPr="00711A75">
        <w:rPr>
          <w:rFonts w:asciiTheme="minorEastAsia" w:hAnsiTheme="minorEastAsia"/>
          <w:sz w:val="24"/>
          <w:szCs w:val="24"/>
        </w:rPr>
        <w:t>標記及哪些</w:t>
      </w:r>
      <w:proofErr w:type="gramEnd"/>
      <w:r w:rsidRPr="00711A75">
        <w:rPr>
          <w:rFonts w:asciiTheme="minorEastAsia" w:hAnsiTheme="minorEastAsia"/>
          <w:sz w:val="24"/>
          <w:szCs w:val="24"/>
        </w:rPr>
        <w:t>選項進入後續裁量，形式上的人類簽核未必足以恢復民主控制。本文承接盧建旭（</w:t>
      </w:r>
      <w:r w:rsidRPr="00711A75">
        <w:rPr>
          <w:rFonts w:asciiTheme="minorEastAsia" w:hAnsiTheme="minorEastAsia"/>
          <w:sz w:val="24"/>
          <w:szCs w:val="24"/>
        </w:rPr>
        <w:t>2026</w:t>
      </w:r>
      <w:r w:rsidRPr="00711A75">
        <w:rPr>
          <w:rFonts w:asciiTheme="minorEastAsia" w:hAnsiTheme="minorEastAsia"/>
          <w:sz w:val="24"/>
          <w:szCs w:val="24"/>
        </w:rPr>
        <w:t>）所提出之「二十五治理座標</w:t>
      </w:r>
      <w:proofErr w:type="gramStart"/>
      <w:r w:rsidRPr="00711A75">
        <w:rPr>
          <w:rFonts w:asciiTheme="minorEastAsia" w:hAnsiTheme="minorEastAsia"/>
          <w:sz w:val="24"/>
          <w:szCs w:val="24"/>
        </w:rPr>
        <w:t>—</w:t>
      </w:r>
      <w:proofErr w:type="gramEnd"/>
      <w:r w:rsidRPr="00711A75">
        <w:rPr>
          <w:rFonts w:asciiTheme="minorEastAsia" w:hAnsiTheme="minorEastAsia"/>
          <w:sz w:val="24"/>
          <w:szCs w:val="24"/>
        </w:rPr>
        <w:t>三種行政權力功能性移轉</w:t>
      </w:r>
      <w:proofErr w:type="gramStart"/>
      <w:r w:rsidRPr="00711A75">
        <w:rPr>
          <w:rFonts w:asciiTheme="minorEastAsia" w:hAnsiTheme="minorEastAsia"/>
          <w:sz w:val="24"/>
          <w:szCs w:val="24"/>
        </w:rPr>
        <w:t>—</w:t>
      </w:r>
      <w:proofErr w:type="gramEnd"/>
      <w:r w:rsidRPr="00711A75">
        <w:rPr>
          <w:rFonts w:asciiTheme="minorEastAsia" w:hAnsiTheme="minorEastAsia"/>
          <w:sz w:val="24"/>
          <w:szCs w:val="24"/>
        </w:rPr>
        <w:t>三項結構效應</w:t>
      </w:r>
      <w:proofErr w:type="gramStart"/>
      <w:r w:rsidRPr="00711A75">
        <w:rPr>
          <w:rFonts w:asciiTheme="minorEastAsia" w:hAnsiTheme="minorEastAsia"/>
          <w:sz w:val="24"/>
          <w:szCs w:val="24"/>
        </w:rPr>
        <w:t>—</w:t>
      </w:r>
      <w:proofErr w:type="gramEnd"/>
      <w:r w:rsidRPr="00711A75">
        <w:rPr>
          <w:rFonts w:asciiTheme="minorEastAsia" w:hAnsiTheme="minorEastAsia"/>
          <w:sz w:val="24"/>
          <w:szCs w:val="24"/>
        </w:rPr>
        <w:t>四條治理鏈</w:t>
      </w:r>
      <w:proofErr w:type="gramStart"/>
      <w:r w:rsidRPr="00711A75">
        <w:rPr>
          <w:rFonts w:asciiTheme="minorEastAsia" w:hAnsiTheme="minorEastAsia"/>
          <w:sz w:val="24"/>
          <w:szCs w:val="24"/>
        </w:rPr>
        <w:t>—</w:t>
      </w:r>
      <w:proofErr w:type="gramEnd"/>
      <w:r w:rsidRPr="00711A75">
        <w:rPr>
          <w:rFonts w:asciiTheme="minorEastAsia" w:hAnsiTheme="minorEastAsia"/>
          <w:sz w:val="24"/>
          <w:szCs w:val="24"/>
        </w:rPr>
        <w:t>七項治理審計」共同母架構，聚焦第一種權力移轉，即情境建構與事實認定權之功能性移轉，並主張其民主化是後續權威、理由與責任鏈取得正當性的前置條件。</w:t>
      </w:r>
    </w:p>
    <w:p w:rsidR="00035E70" w:rsidRPr="00711A75" w:rsidRDefault="000B3CAA">
      <w:pPr>
        <w:spacing w:after="160" w:line="300" w:lineRule="auto"/>
        <w:jc w:val="both"/>
        <w:rPr>
          <w:rFonts w:asciiTheme="minorEastAsia" w:hAnsiTheme="minorEastAsia"/>
          <w:sz w:val="24"/>
          <w:szCs w:val="24"/>
        </w:rPr>
      </w:pPr>
      <w:r w:rsidRPr="00711A75">
        <w:rPr>
          <w:rFonts w:asciiTheme="minorEastAsia" w:hAnsiTheme="minorEastAsia" w:cs="微軟正黑體"/>
          <w:sz w:val="24"/>
          <w:szCs w:val="24"/>
        </w:rPr>
        <w:t>本文校正既有測量設計，將「</w:t>
      </w:r>
      <w:r w:rsidRPr="00711A75">
        <w:rPr>
          <w:rFonts w:asciiTheme="minorEastAsia" w:hAnsiTheme="minorEastAsia" w:cs="微軟正黑體"/>
          <w:sz w:val="24"/>
          <w:szCs w:val="24"/>
        </w:rPr>
        <w:t>AI</w:t>
      </w:r>
      <w:r w:rsidRPr="00711A75">
        <w:rPr>
          <w:rFonts w:asciiTheme="minorEastAsia" w:hAnsiTheme="minorEastAsia" w:cs="微軟正黑體"/>
          <w:sz w:val="24"/>
          <w:szCs w:val="24"/>
        </w:rPr>
        <w:t>取</w:t>
      </w:r>
      <w:r w:rsidRPr="00711A75">
        <w:rPr>
          <w:rFonts w:asciiTheme="minorEastAsia" w:hAnsiTheme="minorEastAsia" w:cs="微軟正黑體"/>
          <w:sz w:val="24"/>
          <w:szCs w:val="24"/>
        </w:rPr>
        <w:t>得多少情境建構影響力」與「該影響力受到多少民主控制」區分為兩個不可互相替代的測量對象。第一階段以五項</w:t>
      </w:r>
      <w:r w:rsidRPr="00711A75">
        <w:rPr>
          <w:rFonts w:asciiTheme="minorEastAsia" w:hAnsiTheme="minorEastAsia" w:cs="微軟正黑體"/>
          <w:sz w:val="24"/>
          <w:szCs w:val="24"/>
        </w:rPr>
        <w:t>P1</w:t>
      </w:r>
      <w:r w:rsidRPr="00711A75">
        <w:rPr>
          <w:rFonts w:asciiTheme="minorEastAsia" w:hAnsiTheme="minorEastAsia" w:cs="微軟正黑體"/>
          <w:sz w:val="24"/>
          <w:szCs w:val="24"/>
        </w:rPr>
        <w:t>暴露指標評估權力移轉強度；第二階段以可追溯性、資料納入與排除、</w:t>
      </w:r>
      <w:proofErr w:type="gramStart"/>
      <w:r w:rsidRPr="00711A75">
        <w:rPr>
          <w:rFonts w:asciiTheme="minorEastAsia" w:hAnsiTheme="minorEastAsia" w:cs="微軟正黑體"/>
          <w:sz w:val="24"/>
          <w:szCs w:val="24"/>
        </w:rPr>
        <w:t>框定邏輯</w:t>
      </w:r>
      <w:proofErr w:type="gramEnd"/>
      <w:r w:rsidRPr="00711A75">
        <w:rPr>
          <w:rFonts w:asciiTheme="minorEastAsia" w:hAnsiTheme="minorEastAsia" w:cs="微軟正黑體"/>
          <w:sz w:val="24"/>
          <w:szCs w:val="24"/>
        </w:rPr>
        <w:t>可重建性、民主檢視與可修正性四構面十二項</w:t>
      </w:r>
      <w:r w:rsidRPr="00711A75">
        <w:rPr>
          <w:rFonts w:asciiTheme="minorEastAsia" w:hAnsiTheme="minorEastAsia" w:cs="微軟正黑體"/>
          <w:sz w:val="24"/>
          <w:szCs w:val="24"/>
        </w:rPr>
        <w:t>C1</w:t>
      </w:r>
      <w:r w:rsidRPr="00711A75">
        <w:rPr>
          <w:rFonts w:asciiTheme="minorEastAsia" w:hAnsiTheme="minorEastAsia" w:cs="微軟正黑體"/>
          <w:sz w:val="24"/>
          <w:szCs w:val="24"/>
        </w:rPr>
        <w:t>指標，評估情境</w:t>
      </w:r>
      <w:proofErr w:type="gramStart"/>
      <w:r w:rsidRPr="00711A75">
        <w:rPr>
          <w:rFonts w:asciiTheme="minorEastAsia" w:hAnsiTheme="minorEastAsia" w:cs="微軟正黑體"/>
          <w:sz w:val="24"/>
          <w:szCs w:val="24"/>
        </w:rPr>
        <w:t>建構鏈完整</w:t>
      </w:r>
      <w:proofErr w:type="gramEnd"/>
      <w:r w:rsidRPr="00711A75">
        <w:rPr>
          <w:rFonts w:asciiTheme="minorEastAsia" w:hAnsiTheme="minorEastAsia" w:cs="微軟正黑體"/>
          <w:sz w:val="24"/>
          <w:szCs w:val="24"/>
        </w:rPr>
        <w:t>度。計分</w:t>
      </w:r>
      <w:proofErr w:type="gramStart"/>
      <w:r w:rsidRPr="00711A75">
        <w:rPr>
          <w:rFonts w:asciiTheme="minorEastAsia" w:hAnsiTheme="minorEastAsia" w:cs="微軟正黑體"/>
          <w:sz w:val="24"/>
          <w:szCs w:val="24"/>
        </w:rPr>
        <w:t>採</w:t>
      </w:r>
      <w:proofErr w:type="gramEnd"/>
      <w:r w:rsidRPr="00711A75">
        <w:rPr>
          <w:rFonts w:asciiTheme="minorEastAsia" w:hAnsiTheme="minorEastAsia" w:cs="微軟正黑體"/>
          <w:sz w:val="24"/>
          <w:szCs w:val="24"/>
        </w:rPr>
        <w:t>描述性聚合、資料涵蓋率與規範門檻並列，不以高平均分補償異議管道之缺失。本文再以</w:t>
      </w:r>
      <w:r w:rsidRPr="00711A75">
        <w:rPr>
          <w:rFonts w:asciiTheme="minorEastAsia" w:hAnsiTheme="minorEastAsia" w:cs="微軟正黑體"/>
          <w:sz w:val="24"/>
          <w:szCs w:val="24"/>
        </w:rPr>
        <w:t>AFST</w:t>
      </w:r>
      <w:r w:rsidRPr="00711A75">
        <w:rPr>
          <w:rFonts w:asciiTheme="minorEastAsia" w:hAnsiTheme="minorEastAsia" w:cs="微軟正黑體"/>
          <w:sz w:val="24"/>
          <w:szCs w:val="24"/>
        </w:rPr>
        <w:t>、</w:t>
      </w:r>
      <w:proofErr w:type="spellStart"/>
      <w:r w:rsidRPr="00711A75">
        <w:rPr>
          <w:rFonts w:asciiTheme="minorEastAsia" w:hAnsiTheme="minorEastAsia" w:cs="微軟正黑體"/>
          <w:sz w:val="24"/>
          <w:szCs w:val="24"/>
        </w:rPr>
        <w:t>SyRI</w:t>
      </w:r>
      <w:proofErr w:type="spellEnd"/>
      <w:r w:rsidRPr="00711A75">
        <w:rPr>
          <w:rFonts w:asciiTheme="minorEastAsia" w:hAnsiTheme="minorEastAsia" w:cs="微軟正黑體"/>
          <w:sz w:val="24"/>
          <w:szCs w:val="24"/>
        </w:rPr>
        <w:t>與</w:t>
      </w:r>
      <w:proofErr w:type="spellStart"/>
      <w:r w:rsidRPr="00711A75">
        <w:rPr>
          <w:rFonts w:asciiTheme="minorEastAsia" w:hAnsiTheme="minorEastAsia" w:cs="微軟正黑體"/>
          <w:sz w:val="24"/>
          <w:szCs w:val="24"/>
        </w:rPr>
        <w:t>Robodebt</w:t>
      </w:r>
      <w:proofErr w:type="spellEnd"/>
      <w:r w:rsidRPr="00711A75">
        <w:rPr>
          <w:rFonts w:asciiTheme="minorEastAsia" w:hAnsiTheme="minorEastAsia" w:cs="微軟正黑體"/>
          <w:sz w:val="24"/>
          <w:szCs w:val="24"/>
        </w:rPr>
        <w:t>進行公開文件型示範重編碼。結果顯示，三案皆存在中度以上的</w:t>
      </w:r>
      <w:r w:rsidRPr="00711A75">
        <w:rPr>
          <w:rFonts w:asciiTheme="minorEastAsia" w:hAnsiTheme="minorEastAsia" w:cs="微軟正黑體"/>
          <w:sz w:val="24"/>
          <w:szCs w:val="24"/>
        </w:rPr>
        <w:t>P1</w:t>
      </w:r>
      <w:r w:rsidRPr="00711A75">
        <w:rPr>
          <w:rFonts w:asciiTheme="minorEastAsia" w:hAnsiTheme="minorEastAsia" w:cs="微軟正黑體"/>
          <w:sz w:val="24"/>
          <w:szCs w:val="24"/>
        </w:rPr>
        <w:t>暴露，但民主正當性狀態不同：</w:t>
      </w:r>
      <w:r w:rsidRPr="00711A75">
        <w:rPr>
          <w:rFonts w:asciiTheme="minorEastAsia" w:hAnsiTheme="minorEastAsia" w:cs="微軟正黑體"/>
          <w:sz w:val="24"/>
          <w:szCs w:val="24"/>
        </w:rPr>
        <w:t>AFST</w:t>
      </w:r>
      <w:r w:rsidRPr="00711A75">
        <w:rPr>
          <w:rFonts w:asciiTheme="minorEastAsia" w:hAnsiTheme="minorEastAsia" w:cs="微軟正黑體"/>
          <w:sz w:val="24"/>
          <w:szCs w:val="24"/>
        </w:rPr>
        <w:t>具有較完整的技術文件與有限社群參與，惟</w:t>
      </w:r>
      <w:proofErr w:type="gramStart"/>
      <w:r w:rsidRPr="00711A75">
        <w:rPr>
          <w:rFonts w:asciiTheme="minorEastAsia" w:hAnsiTheme="minorEastAsia" w:cs="微軟正黑體"/>
          <w:sz w:val="24"/>
          <w:szCs w:val="24"/>
        </w:rPr>
        <w:t>正式框定異議</w:t>
      </w:r>
      <w:proofErr w:type="gramEnd"/>
      <w:r w:rsidRPr="00711A75">
        <w:rPr>
          <w:rFonts w:asciiTheme="minorEastAsia" w:hAnsiTheme="minorEastAsia" w:cs="微軟正黑體"/>
          <w:sz w:val="24"/>
          <w:szCs w:val="24"/>
        </w:rPr>
        <w:t>管道之公開證據不足；</w:t>
      </w:r>
      <w:proofErr w:type="spellStart"/>
      <w:r w:rsidRPr="00711A75">
        <w:rPr>
          <w:rFonts w:asciiTheme="minorEastAsia" w:hAnsiTheme="minorEastAsia" w:cs="微軟正黑體"/>
          <w:sz w:val="24"/>
          <w:szCs w:val="24"/>
        </w:rPr>
        <w:t>SyRI</w:t>
      </w:r>
      <w:proofErr w:type="spellEnd"/>
      <w:r w:rsidRPr="00711A75">
        <w:rPr>
          <w:rFonts w:asciiTheme="minorEastAsia" w:hAnsiTheme="minorEastAsia" w:cs="微軟正黑體"/>
          <w:sz w:val="24"/>
          <w:szCs w:val="24"/>
        </w:rPr>
        <w:t>與</w:t>
      </w:r>
      <w:proofErr w:type="spellStart"/>
      <w:r w:rsidRPr="00711A75">
        <w:rPr>
          <w:rFonts w:asciiTheme="minorEastAsia" w:hAnsiTheme="minorEastAsia" w:cs="微軟正黑體"/>
          <w:sz w:val="24"/>
          <w:szCs w:val="24"/>
        </w:rPr>
        <w:t>Robodebt</w:t>
      </w:r>
      <w:proofErr w:type="spellEnd"/>
      <w:r w:rsidRPr="00711A75">
        <w:rPr>
          <w:rFonts w:asciiTheme="minorEastAsia" w:hAnsiTheme="minorEastAsia" w:cs="微軟正黑體"/>
          <w:sz w:val="24"/>
          <w:szCs w:val="24"/>
        </w:rPr>
        <w:t>則呈現高權力移轉、低</w:t>
      </w:r>
      <w:r w:rsidRPr="00711A75">
        <w:rPr>
          <w:rFonts w:asciiTheme="minorEastAsia" w:hAnsiTheme="minorEastAsia" w:cs="微軟正黑體"/>
          <w:sz w:val="24"/>
          <w:szCs w:val="24"/>
        </w:rPr>
        <w:t>C1</w:t>
      </w:r>
      <w:r w:rsidRPr="00711A75">
        <w:rPr>
          <w:rFonts w:asciiTheme="minorEastAsia" w:hAnsiTheme="minorEastAsia" w:cs="微軟正黑體"/>
          <w:sz w:val="24"/>
          <w:szCs w:val="24"/>
        </w:rPr>
        <w:t>完整度，且後續分別出現隱私權、理由與責任鏈之重大斷裂。本文提供的是可重複檢驗的測量藍圖與示範編碼，尚非完成</w:t>
      </w:r>
      <w:proofErr w:type="gramStart"/>
      <w:r w:rsidRPr="00711A75">
        <w:rPr>
          <w:rFonts w:asciiTheme="minorEastAsia" w:hAnsiTheme="minorEastAsia" w:cs="微軟正黑體"/>
          <w:sz w:val="24"/>
          <w:szCs w:val="24"/>
        </w:rPr>
        <w:t>信效度</w:t>
      </w:r>
      <w:proofErr w:type="gramEnd"/>
      <w:r w:rsidRPr="00711A75">
        <w:rPr>
          <w:rFonts w:asciiTheme="minorEastAsia" w:hAnsiTheme="minorEastAsia" w:cs="微軟正黑體"/>
          <w:sz w:val="24"/>
          <w:szCs w:val="24"/>
        </w:rPr>
        <w:t>驗證的正式量表。</w:t>
      </w:r>
    </w:p>
    <w:p w:rsidR="00035E70" w:rsidRDefault="000B3CAA">
      <w:pPr>
        <w:spacing w:after="160" w:line="300" w:lineRule="auto"/>
        <w:jc w:val="both"/>
      </w:pPr>
      <w:r>
        <w:rPr>
          <w:rFonts w:ascii="微軟正黑體" w:eastAsia="微軟正黑體" w:hAnsi="微軟正黑體" w:cs="微軟正黑體"/>
          <w:b/>
          <w:sz w:val="22"/>
        </w:rPr>
        <w:t>關鍵詞：</w:t>
      </w:r>
      <w:r>
        <w:rPr>
          <w:rFonts w:ascii="微軟正黑體" w:eastAsia="微軟正黑體" w:hAnsi="微軟正黑體" w:cs="微軟正黑體"/>
          <w:sz w:val="22"/>
        </w:rPr>
        <w:t>AI</w:t>
      </w:r>
      <w:r>
        <w:rPr>
          <w:rFonts w:ascii="微軟正黑體" w:eastAsia="微軟正黑體" w:hAnsi="微軟正黑體" w:cs="微軟正黑體"/>
          <w:sz w:val="22"/>
        </w:rPr>
        <w:t>治理、民主正當性、情境</w:t>
      </w:r>
      <w:proofErr w:type="gramStart"/>
      <w:r>
        <w:rPr>
          <w:rFonts w:ascii="微軟正黑體" w:eastAsia="微軟正黑體" w:hAnsi="微軟正黑體" w:cs="微軟正黑體"/>
          <w:sz w:val="22"/>
        </w:rPr>
        <w:t>建構鏈</w:t>
      </w:r>
      <w:proofErr w:type="gramEnd"/>
      <w:r>
        <w:rPr>
          <w:rFonts w:ascii="微軟正黑體" w:eastAsia="微軟正黑體" w:hAnsi="微軟正黑體" w:cs="微軟正黑體"/>
          <w:sz w:val="22"/>
        </w:rPr>
        <w:t>、權力移轉、形成性測量、演算法行政</w:t>
      </w:r>
    </w:p>
    <w:bookmarkEnd w:id="0"/>
    <w:p w:rsidR="00035E70" w:rsidRDefault="000B3CAA">
      <w:pPr>
        <w:pStyle w:val="1"/>
        <w:spacing w:before="260" w:after="140"/>
      </w:pPr>
      <w:r>
        <w:rPr>
          <w:rFonts w:ascii="微軟正黑體" w:eastAsia="微軟正黑體" w:hAnsi="微軟正黑體" w:cs="微軟正黑體"/>
          <w:b/>
          <w:sz w:val="27"/>
        </w:rPr>
        <w:t>Abstract</w:t>
      </w:r>
    </w:p>
    <w:p w:rsidR="00035E70" w:rsidRDefault="000B3CAA">
      <w:pPr>
        <w:spacing w:after="160" w:line="300" w:lineRule="auto"/>
        <w:jc w:val="both"/>
      </w:pPr>
      <w:r>
        <w:rPr>
          <w:rFonts w:ascii="微軟正黑體" w:eastAsia="微軟正黑體" w:hAnsi="微軟正黑體" w:cs="微軟正黑體"/>
          <w:sz w:val="22"/>
        </w:rPr>
        <w:t>The democratic legitimacy of artificial intelligence in public administration may be compromised before a for</w:t>
      </w:r>
      <w:r>
        <w:rPr>
          <w:rFonts w:ascii="微軟正黑體" w:eastAsia="微軟正黑體" w:hAnsi="微軟正黑體" w:cs="微軟正黑體"/>
          <w:sz w:val="22"/>
        </w:rPr>
        <w:t>mal administrative decision is made. Data selection, classification, prompts, and thresholds can pre-structure what counts as a public problem, which groups become visible, and which options remain available for subsequent discretion. Formal human approval</w:t>
      </w:r>
      <w:r>
        <w:rPr>
          <w:rFonts w:ascii="微軟正黑體" w:eastAsia="微軟正黑體" w:hAnsi="微軟正黑體" w:cs="微軟正黑體"/>
          <w:sz w:val="22"/>
        </w:rPr>
        <w:t xml:space="preserve"> alone may therefore be insufficient to restore </w:t>
      </w:r>
      <w:r>
        <w:rPr>
          <w:rFonts w:ascii="微軟正黑體" w:eastAsia="微軟正黑體" w:hAnsi="微軟正黑體" w:cs="微軟正黑體"/>
          <w:sz w:val="22"/>
        </w:rPr>
        <w:lastRenderedPageBreak/>
        <w:t xml:space="preserve">democratic control. This article situates the problem within a common framework consisting of twenty-five governance coordinates, three functional transfers of administrative power, three structural effects, </w:t>
      </w:r>
      <w:r>
        <w:rPr>
          <w:rFonts w:ascii="微軟正黑體" w:eastAsia="微軟正黑體" w:hAnsi="微軟正黑體" w:cs="微軟正黑體"/>
          <w:sz w:val="22"/>
        </w:rPr>
        <w:t>four governance chains, and seven governance audits. It focuses on the first transfer: the functional relocation of situation-construction and fact-determination power.</w:t>
      </w:r>
    </w:p>
    <w:p w:rsidR="00035E70" w:rsidRDefault="000B3CAA">
      <w:pPr>
        <w:spacing w:after="160" w:line="300" w:lineRule="auto"/>
        <w:jc w:val="both"/>
      </w:pPr>
      <w:r>
        <w:rPr>
          <w:rFonts w:ascii="微軟正黑體" w:eastAsia="微軟正黑體" w:hAnsi="微軟正黑體" w:cs="微軟正黑體"/>
          <w:sz w:val="22"/>
        </w:rPr>
        <w:t>The article distinguishes two measurement objects that should not be collapsed into a s</w:t>
      </w:r>
      <w:r>
        <w:rPr>
          <w:rFonts w:ascii="微軟正黑體" w:eastAsia="微軟正黑體" w:hAnsi="微軟正黑體" w:cs="微軟正黑體"/>
          <w:sz w:val="22"/>
        </w:rPr>
        <w:t>ingle score. Stage 1 assesses the intensity of AI involvement through five P1 exposure indicators. Stage 2 evaluates the democratic integrity of the situation-construction chain through twelve C1 indicators grouped into traceability, data inclusion and exc</w:t>
      </w:r>
      <w:r>
        <w:rPr>
          <w:rFonts w:ascii="微軟正黑體" w:eastAsia="微軟正黑體" w:hAnsi="微軟正黑體" w:cs="微軟正黑體"/>
          <w:sz w:val="22"/>
        </w:rPr>
        <w:t xml:space="preserve">lusion, </w:t>
      </w:r>
      <w:proofErr w:type="spellStart"/>
      <w:r>
        <w:rPr>
          <w:rFonts w:ascii="微軟正黑體" w:eastAsia="微軟正黑體" w:hAnsi="微軟正黑體" w:cs="微軟正黑體"/>
          <w:sz w:val="22"/>
        </w:rPr>
        <w:t>reconstructability</w:t>
      </w:r>
      <w:proofErr w:type="spellEnd"/>
      <w:r>
        <w:rPr>
          <w:rFonts w:ascii="微軟正黑體" w:eastAsia="微軟正黑體" w:hAnsi="微軟正黑體" w:cs="微軟正黑體"/>
          <w:sz w:val="22"/>
        </w:rPr>
        <w:t xml:space="preserve"> of framing logic, and democratic review and </w:t>
      </w:r>
      <w:proofErr w:type="spellStart"/>
      <w:r>
        <w:rPr>
          <w:rFonts w:ascii="微軟正黑體" w:eastAsia="微軟正黑體" w:hAnsi="微軟正黑體" w:cs="微軟正黑體"/>
          <w:sz w:val="22"/>
        </w:rPr>
        <w:t>revisability</w:t>
      </w:r>
      <w:proofErr w:type="spellEnd"/>
      <w:r>
        <w:rPr>
          <w:rFonts w:ascii="微軟正黑體" w:eastAsia="微軟正黑體" w:hAnsi="微軟正黑體" w:cs="微軟正黑體"/>
          <w:sz w:val="22"/>
        </w:rPr>
        <w:t>. Descriptive aggregation is reported alongside evidence coverage and normative thresholds; a high average cannot compensate for the absence of a meaningful route to contest</w:t>
      </w:r>
      <w:r>
        <w:rPr>
          <w:rFonts w:ascii="微軟正黑體" w:eastAsia="微軟正黑體" w:hAnsi="微軟正黑體" w:cs="微軟正黑體"/>
          <w:sz w:val="22"/>
        </w:rPr>
        <w:t xml:space="preserve"> framing. Illustrative recoding of AFST, </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 xml:space="preserve">, and </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 xml:space="preserve"> indicates medium-to-high P1 exposure in all three cases, but different legitimacy profiles. AFST displays comparatively stronger documentation and limited community engagement, although public evi</w:t>
      </w:r>
      <w:r>
        <w:rPr>
          <w:rFonts w:ascii="微軟正黑體" w:eastAsia="微軟正黑體" w:hAnsi="微軟正黑體" w:cs="微軟正黑體"/>
          <w:sz w:val="22"/>
        </w:rPr>
        <w:t xml:space="preserve">dence of a formal framing-contestation channel remains insufficient. </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 xml:space="preserve"> and </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 xml:space="preserve"> combine high transfer intensity with low C1 integrity and show downstream failures in privacy, reason-giving, and responsibility. The proposed instrument remains a measu</w:t>
      </w:r>
      <w:r>
        <w:rPr>
          <w:rFonts w:ascii="微軟正黑體" w:eastAsia="微軟正黑體" w:hAnsi="微軟正黑體" w:cs="微軟正黑體"/>
          <w:sz w:val="22"/>
        </w:rPr>
        <w:t>rement blueprint rather than a validated scale.</w:t>
      </w:r>
    </w:p>
    <w:p w:rsidR="00035E70" w:rsidRDefault="000B3CAA">
      <w:pPr>
        <w:spacing w:after="160" w:line="300" w:lineRule="auto"/>
        <w:jc w:val="both"/>
      </w:pPr>
      <w:r>
        <w:rPr>
          <w:rFonts w:ascii="微軟正黑體" w:eastAsia="微軟正黑體" w:hAnsi="微軟正黑體" w:cs="微軟正黑體"/>
          <w:b/>
          <w:sz w:val="22"/>
        </w:rPr>
        <w:t xml:space="preserve">Keywords: </w:t>
      </w:r>
      <w:r>
        <w:rPr>
          <w:rFonts w:ascii="微軟正黑體" w:eastAsia="微軟正黑體" w:hAnsi="微軟正黑體" w:cs="微軟正黑體"/>
          <w:sz w:val="22"/>
        </w:rPr>
        <w:t>AI governance; democratic legitimacy; situation-construction chain; power transfer; formative measurement; algorithmic administration</w:t>
      </w:r>
    </w:p>
    <w:p w:rsidR="00035E70" w:rsidRDefault="000B3CAA">
      <w:pPr>
        <w:pStyle w:val="1"/>
        <w:spacing w:before="260" w:after="140"/>
      </w:pPr>
      <w:r>
        <w:rPr>
          <w:rFonts w:ascii="微軟正黑體" w:eastAsia="微軟正黑體" w:hAnsi="微軟正黑體" w:cs="微軟正黑體"/>
          <w:b/>
          <w:sz w:val="27"/>
        </w:rPr>
        <w:t>壹、問題提出：民主危機發生於決定以前</w:t>
      </w:r>
    </w:p>
    <w:p w:rsidR="00035E70" w:rsidRDefault="000B3CAA">
      <w:pPr>
        <w:pStyle w:val="2"/>
        <w:spacing w:before="260" w:after="140"/>
      </w:pPr>
      <w:r>
        <w:rPr>
          <w:rFonts w:ascii="微軟正黑體" w:eastAsia="微軟正黑體" w:hAnsi="微軟正黑體" w:cs="微軟正黑體"/>
          <w:b/>
          <w:sz w:val="24"/>
        </w:rPr>
        <w:t>一、研究問題的重新界定</w:t>
      </w:r>
    </w:p>
    <w:p w:rsidR="00035E70" w:rsidRDefault="000B3CAA">
      <w:pPr>
        <w:spacing w:after="160" w:line="300" w:lineRule="auto"/>
        <w:jc w:val="both"/>
      </w:pPr>
      <w:r>
        <w:rPr>
          <w:rFonts w:ascii="微軟正黑體" w:eastAsia="微軟正黑體" w:hAnsi="微軟正黑體" w:cs="微軟正黑體"/>
          <w:sz w:val="22"/>
        </w:rPr>
        <w:t>公共行政長期以法定授權、行政程序、理由說明、救濟與責任追究控制公權</w:t>
      </w:r>
      <w:r>
        <w:rPr>
          <w:rFonts w:ascii="微軟正黑體" w:eastAsia="微軟正黑體" w:hAnsi="微軟正黑體" w:cs="微軟正黑體"/>
          <w:sz w:val="22"/>
        </w:rPr>
        <w:t>力。然而，</w:t>
      </w:r>
      <w:r>
        <w:rPr>
          <w:rFonts w:ascii="微軟正黑體" w:eastAsia="微軟正黑體" w:hAnsi="微軟正黑體" w:cs="微軟正黑體"/>
          <w:sz w:val="22"/>
        </w:rPr>
        <w:t>AI</w:t>
      </w:r>
      <w:r>
        <w:rPr>
          <w:rFonts w:ascii="微軟正黑體" w:eastAsia="微軟正黑體" w:hAnsi="微軟正黑體" w:cs="微軟正黑體"/>
          <w:sz w:val="22"/>
        </w:rPr>
        <w:t>進入政府後，權力不一定等到正式決定作成時才開始運作。資料欄位的選擇、目標變項的設定、風險標籤的命名、提示模板的設計與</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值的劃定，皆可能預先決定行政人員所能看見的問題版本。</w:t>
      </w:r>
      <w:r>
        <w:rPr>
          <w:rFonts w:ascii="微軟正黑體" w:eastAsia="微軟正黑體" w:hAnsi="微軟正黑體" w:cs="微軟正黑體"/>
          <w:sz w:val="22"/>
        </w:rPr>
        <w:t>AI</w:t>
      </w:r>
      <w:r>
        <w:rPr>
          <w:rFonts w:ascii="微軟正黑體" w:eastAsia="微軟正黑體" w:hAnsi="微軟正黑體" w:cs="微軟正黑體"/>
          <w:sz w:val="22"/>
        </w:rPr>
        <w:t>即使沒有法律人格或法定職權，也可能透過技術架構取得足以影響行政結果的事實力量。</w:t>
      </w:r>
    </w:p>
    <w:p w:rsidR="00035E70" w:rsidRDefault="000B3CAA">
      <w:pPr>
        <w:spacing w:after="160" w:line="300" w:lineRule="auto"/>
        <w:jc w:val="both"/>
      </w:pPr>
      <w:r>
        <w:rPr>
          <w:rFonts w:ascii="微軟正黑體" w:eastAsia="微軟正黑體" w:hAnsi="微軟正黑體" w:cs="微軟正黑體"/>
          <w:sz w:val="22"/>
        </w:rPr>
        <w:t>問題因此不能只問「最後由誰簽名」，還必須追問：誰形成可供簽名者判斷的情境？哪些事實</w:t>
      </w:r>
      <w:r>
        <w:rPr>
          <w:rFonts w:ascii="微軟正黑體" w:eastAsia="微軟正黑體" w:hAnsi="微軟正黑體" w:cs="微軟正黑體"/>
          <w:sz w:val="22"/>
        </w:rPr>
        <w:lastRenderedPageBreak/>
        <w:t>被納入、排除或轉譯？技術系統的輸出是一般參考、預設建議，還是近似不可推翻的結果？受影響者能否在損害發生以前質疑問題被如何定義？若這些前端環節未受民主控制，後續權威</w:t>
      </w:r>
      <w:r>
        <w:rPr>
          <w:rFonts w:ascii="微軟正黑體" w:eastAsia="微軟正黑體" w:hAnsi="微軟正黑體" w:cs="微軟正黑體"/>
          <w:sz w:val="22"/>
        </w:rPr>
        <w:t>、理由與責任鏈即使形式存在，也可能建立在</w:t>
      </w:r>
      <w:proofErr w:type="gramStart"/>
      <w:r>
        <w:rPr>
          <w:rFonts w:ascii="微軟正黑體" w:eastAsia="微軟正黑體" w:hAnsi="微軟正黑體" w:cs="微軟正黑體"/>
          <w:sz w:val="22"/>
        </w:rPr>
        <w:t>已遭窄化</w:t>
      </w:r>
      <w:proofErr w:type="gramEnd"/>
      <w:r>
        <w:rPr>
          <w:rFonts w:ascii="微軟正黑體" w:eastAsia="微軟正黑體" w:hAnsi="微軟正黑體" w:cs="微軟正黑體"/>
          <w:sz w:val="22"/>
        </w:rPr>
        <w:t>、</w:t>
      </w:r>
      <w:proofErr w:type="gramStart"/>
      <w:r>
        <w:rPr>
          <w:rFonts w:ascii="微軟正黑體" w:eastAsia="微軟正黑體" w:hAnsi="微軟正黑體" w:cs="微軟正黑體"/>
          <w:sz w:val="22"/>
        </w:rPr>
        <w:t>偏斜或自然</w:t>
      </w:r>
      <w:proofErr w:type="gramEnd"/>
      <w:r>
        <w:rPr>
          <w:rFonts w:ascii="微軟正黑體" w:eastAsia="微軟正黑體" w:hAnsi="微軟正黑體" w:cs="微軟正黑體"/>
          <w:sz w:val="22"/>
        </w:rPr>
        <w:t>化的問題定義上。</w:t>
      </w:r>
    </w:p>
    <w:p w:rsidR="00035E70" w:rsidRDefault="000B3CAA">
      <w:pPr>
        <w:spacing w:after="160" w:line="300" w:lineRule="auto"/>
        <w:jc w:val="both"/>
      </w:pPr>
      <w:r>
        <w:rPr>
          <w:rFonts w:ascii="微軟正黑體" w:eastAsia="微軟正黑體" w:hAnsi="微軟正黑體" w:cs="微軟正黑體"/>
          <w:sz w:val="22"/>
        </w:rPr>
        <w:t>本文所稱「民主</w:t>
      </w:r>
      <w:proofErr w:type="gramStart"/>
      <w:r>
        <w:rPr>
          <w:rFonts w:ascii="微軟正黑體" w:eastAsia="微軟正黑體" w:hAnsi="微軟正黑體" w:cs="微軟正黑體"/>
          <w:sz w:val="22"/>
        </w:rPr>
        <w:t>正當性前置</w:t>
      </w:r>
      <w:proofErr w:type="gramEnd"/>
      <w:r>
        <w:rPr>
          <w:rFonts w:ascii="微軟正黑體" w:eastAsia="微軟正黑體" w:hAnsi="微軟正黑體" w:cs="微軟正黑體"/>
          <w:sz w:val="22"/>
        </w:rPr>
        <w:t>條件」，是指</w:t>
      </w:r>
      <w:r>
        <w:rPr>
          <w:rFonts w:ascii="微軟正黑體" w:eastAsia="微軟正黑體" w:hAnsi="微軟正黑體" w:cs="微軟正黑體"/>
          <w:sz w:val="22"/>
        </w:rPr>
        <w:t>AI</w:t>
      </w:r>
      <w:r>
        <w:rPr>
          <w:rFonts w:ascii="微軟正黑體" w:eastAsia="微軟正黑體" w:hAnsi="微軟正黑體" w:cs="微軟正黑體"/>
          <w:sz w:val="22"/>
        </w:rPr>
        <w:t>參與情境建構與事實認定時，至少必須具備可追溯、可質疑、可修正及可連回法定權威的制度條件。此一主張</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預設人類官僚</w:t>
      </w:r>
      <w:proofErr w:type="gramStart"/>
      <w:r>
        <w:rPr>
          <w:rFonts w:ascii="微軟正黑體" w:eastAsia="微軟正黑體" w:hAnsi="微軟正黑體" w:cs="微軟正黑體"/>
          <w:sz w:val="22"/>
        </w:rPr>
        <w:t>的框定必</w:t>
      </w:r>
      <w:proofErr w:type="gramEnd"/>
      <w:r>
        <w:rPr>
          <w:rFonts w:ascii="微軟正黑體" w:eastAsia="微軟正黑體" w:hAnsi="微軟正黑體" w:cs="微軟正黑體"/>
          <w:sz w:val="22"/>
        </w:rPr>
        <w:t>然中立，而是要求原本作用於官僚權力的民主控制，</w:t>
      </w:r>
      <w:proofErr w:type="gramStart"/>
      <w:r>
        <w:rPr>
          <w:rFonts w:ascii="微軟正黑體" w:eastAsia="微軟正黑體" w:hAnsi="微軟正黑體" w:cs="微軟正黑體"/>
          <w:sz w:val="22"/>
        </w:rPr>
        <w:t>等效延</w:t>
      </w:r>
      <w:proofErr w:type="gramEnd"/>
      <w:r>
        <w:rPr>
          <w:rFonts w:ascii="微軟正黑體" w:eastAsia="微軟正黑體" w:hAnsi="微軟正黑體" w:cs="微軟正黑體"/>
          <w:sz w:val="22"/>
        </w:rPr>
        <w:t>伸至模型、資料、提示、供應商與系統整合所形成的技術化權力。</w:t>
      </w:r>
    </w:p>
    <w:p w:rsidR="00035E70" w:rsidRDefault="000B3CAA">
      <w:pPr>
        <w:pStyle w:val="2"/>
        <w:spacing w:before="260" w:after="140"/>
      </w:pPr>
      <w:r>
        <w:rPr>
          <w:rFonts w:ascii="微軟正黑體" w:eastAsia="微軟正黑體" w:hAnsi="微軟正黑體" w:cs="微軟正黑體"/>
          <w:b/>
          <w:sz w:val="24"/>
        </w:rPr>
        <w:t>二、研究問題</w:t>
      </w:r>
    </w:p>
    <w:p w:rsidR="00035E70" w:rsidRDefault="000B3CAA">
      <w:pPr>
        <w:spacing w:after="160" w:line="300" w:lineRule="auto"/>
        <w:jc w:val="both"/>
      </w:pPr>
      <w:r>
        <w:rPr>
          <w:rFonts w:ascii="微軟正黑體" w:eastAsia="微軟正黑體" w:hAnsi="微軟正黑體" w:cs="微軟正黑體"/>
          <w:sz w:val="22"/>
        </w:rPr>
        <w:t>本文提出三項研究問題：</w:t>
      </w:r>
    </w:p>
    <w:p w:rsidR="00035E70" w:rsidRDefault="000B3CAA">
      <w:pPr>
        <w:spacing w:after="120" w:line="300" w:lineRule="auto"/>
        <w:ind w:left="420" w:hanging="420"/>
        <w:jc w:val="both"/>
      </w:pPr>
      <w:r>
        <w:t xml:space="preserve">1. </w:t>
      </w:r>
      <w:r>
        <w:t>情境建構與事實認定權的功能性移轉，如何嵌入二十五治理座標、三項結構效應、四條治理鏈與七項治理審計？</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如何區分並測量</w:t>
      </w:r>
      <w:r>
        <w:rPr>
          <w:rFonts w:ascii="微軟正黑體" w:eastAsia="微軟正黑體" w:hAnsi="微軟正黑體" w:cs="微軟正黑體"/>
          <w:sz w:val="22"/>
        </w:rPr>
        <w:t>「權力移轉強度」與「民主正當性完整度」，避免將</w:t>
      </w:r>
      <w:r>
        <w:rPr>
          <w:rFonts w:ascii="微軟正黑體" w:eastAsia="微軟正黑體" w:hAnsi="微軟正黑體" w:cs="微軟正黑體"/>
          <w:sz w:val="22"/>
        </w:rPr>
        <w:t>AI</w:t>
      </w:r>
      <w:r>
        <w:rPr>
          <w:rFonts w:ascii="微軟正黑體" w:eastAsia="微軟正黑體" w:hAnsi="微軟正黑體" w:cs="微軟正黑體"/>
          <w:sz w:val="22"/>
        </w:rPr>
        <w:t>介入程度、制度缺失及文件</w:t>
      </w:r>
      <w:proofErr w:type="gramStart"/>
      <w:r>
        <w:rPr>
          <w:rFonts w:ascii="微軟正黑體" w:eastAsia="微軟正黑體" w:hAnsi="微軟正黑體" w:cs="微軟正黑體"/>
          <w:sz w:val="22"/>
        </w:rPr>
        <w:t>不可得混為</w:t>
      </w:r>
      <w:proofErr w:type="gramEnd"/>
      <w:r>
        <w:rPr>
          <w:rFonts w:ascii="微軟正黑體" w:eastAsia="微軟正黑體" w:hAnsi="微軟正黑體" w:cs="微軟正黑體"/>
          <w:sz w:val="22"/>
        </w:rPr>
        <w:t>同一分數？</w:t>
      </w:r>
    </w:p>
    <w:p w:rsidR="00035E70" w:rsidRDefault="000B3CAA">
      <w:pPr>
        <w:spacing w:after="120" w:line="300" w:lineRule="auto"/>
        <w:ind w:left="420" w:hanging="420"/>
        <w:jc w:val="both"/>
      </w:pPr>
      <w:r>
        <w:rPr>
          <w:rFonts w:ascii="微軟正黑體" w:eastAsia="微軟正黑體" w:hAnsi="微軟正黑體" w:cs="微軟正黑體"/>
          <w:sz w:val="22"/>
        </w:rPr>
        <w:t>3. AFST</w:t>
      </w:r>
      <w:r>
        <w:rPr>
          <w:rFonts w:ascii="微軟正黑體" w:eastAsia="微軟正黑體" w:hAnsi="微軟正黑體" w:cs="微軟正黑體"/>
          <w:sz w:val="22"/>
        </w:rPr>
        <w:t>、</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與</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在重新編碼後呈現何種權力移轉</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民主完整度組合，其後續</w:t>
      </w:r>
      <w:proofErr w:type="gramStart"/>
      <w:r>
        <w:rPr>
          <w:rFonts w:ascii="微軟正黑體" w:eastAsia="微軟正黑體" w:hAnsi="微軟正黑體" w:cs="微軟正黑體"/>
          <w:sz w:val="22"/>
        </w:rPr>
        <w:t>治理鏈又出</w:t>
      </w:r>
      <w:proofErr w:type="gramEnd"/>
      <w:r>
        <w:rPr>
          <w:rFonts w:ascii="微軟正黑體" w:eastAsia="微軟正黑體" w:hAnsi="微軟正黑體" w:cs="微軟正黑體"/>
          <w:sz w:val="22"/>
        </w:rPr>
        <w:t>現哪些斷裂？</w:t>
      </w:r>
    </w:p>
    <w:p w:rsidR="00035E70" w:rsidRDefault="000B3CAA">
      <w:pPr>
        <w:pStyle w:val="2"/>
        <w:spacing w:before="260" w:after="140"/>
      </w:pPr>
      <w:r>
        <w:rPr>
          <w:rFonts w:ascii="微軟正黑體" w:eastAsia="微軟正黑體" w:hAnsi="微軟正黑體" w:cs="微軟正黑體"/>
          <w:b/>
          <w:sz w:val="24"/>
        </w:rPr>
        <w:t>三、研究方法與界線</w:t>
      </w:r>
    </w:p>
    <w:p w:rsidR="00035E70" w:rsidRDefault="000B3CAA">
      <w:pPr>
        <w:spacing w:after="160" w:line="300" w:lineRule="auto"/>
        <w:jc w:val="both"/>
      </w:pPr>
      <w:r>
        <w:rPr>
          <w:rFonts w:ascii="微軟正黑體" w:eastAsia="微軟正黑體" w:hAnsi="微軟正黑體" w:cs="微軟正黑體"/>
          <w:sz w:val="22"/>
        </w:rPr>
        <w:t>本文</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概念建構、問題化文獻回顧與公開文件型示範編碼。案例依三項準則選取：政策領域與法制背景具有差異、</w:t>
      </w:r>
      <w:r>
        <w:rPr>
          <w:rFonts w:ascii="微軟正黑體" w:eastAsia="微軟正黑體" w:hAnsi="微軟正黑體" w:cs="微軟正黑體"/>
          <w:sz w:val="22"/>
        </w:rPr>
        <w:t>AI</w:t>
      </w:r>
      <w:r>
        <w:rPr>
          <w:rFonts w:ascii="微軟正黑體" w:eastAsia="微軟正黑體" w:hAnsi="微軟正黑體" w:cs="微軟正黑體"/>
          <w:sz w:val="22"/>
        </w:rPr>
        <w:t>或自動化系統實質參與</w:t>
      </w:r>
      <w:proofErr w:type="gramStart"/>
      <w:r>
        <w:rPr>
          <w:rFonts w:ascii="微軟正黑體" w:eastAsia="微軟正黑體" w:hAnsi="微軟正黑體" w:cs="微軟正黑體"/>
          <w:sz w:val="22"/>
        </w:rPr>
        <w:t>問題框定或</w:t>
      </w:r>
      <w:proofErr w:type="gramEnd"/>
      <w:r>
        <w:rPr>
          <w:rFonts w:ascii="微軟正黑體" w:eastAsia="微軟正黑體" w:hAnsi="微軟正黑體" w:cs="微軟正黑體"/>
          <w:sz w:val="22"/>
        </w:rPr>
        <w:t>事實形成、具有可供追溯的政府或司法公開文件。</w:t>
      </w:r>
      <w:r>
        <w:rPr>
          <w:rFonts w:ascii="微軟正黑體" w:eastAsia="微軟正黑體" w:hAnsi="微軟正黑體" w:cs="微軟正黑體"/>
          <w:sz w:val="22"/>
        </w:rPr>
        <w:t>AFST</w:t>
      </w:r>
      <w:r>
        <w:rPr>
          <w:rFonts w:ascii="微軟正黑體" w:eastAsia="微軟正黑體" w:hAnsi="微軟正黑體" w:cs="微軟正黑體"/>
          <w:sz w:val="22"/>
        </w:rPr>
        <w:t>、</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與</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不是母體代表性樣本，也不構成對各制度的完整成效評估；其功能在於檢查同一編碼程序能否辨識不同的權力移轉與民主正當性組合。</w:t>
      </w:r>
    </w:p>
    <w:p w:rsidR="00035E70" w:rsidRDefault="000B3CAA">
      <w:pPr>
        <w:spacing w:after="160" w:line="300" w:lineRule="auto"/>
        <w:jc w:val="both"/>
      </w:pPr>
      <w:r>
        <w:rPr>
          <w:rFonts w:ascii="微軟正黑體" w:eastAsia="微軟正黑體" w:hAnsi="微軟正黑體" w:cs="微軟正黑體"/>
          <w:sz w:val="22"/>
        </w:rPr>
        <w:t>需在此先行說明：第三項準則（具有可供追溯的政府或司法公開文件）本身即隱含一項方法論性取捨</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r>
        <w:rPr>
          <w:rFonts w:ascii="微軟正黑體" w:eastAsia="微軟正黑體" w:hAnsi="微軟正黑體" w:cs="微軟正黑體"/>
          <w:sz w:val="22"/>
        </w:rPr>
        <w:t>它實質上要求案例已進入司法審查、國會調查或監察機關介入之後的階段，方能提供充分公開文件</w:t>
      </w:r>
      <w:r>
        <w:rPr>
          <w:rFonts w:ascii="微軟正黑體" w:eastAsia="微軟正黑體" w:hAnsi="微軟正黑體" w:cs="微軟正黑體"/>
          <w:sz w:val="22"/>
        </w:rPr>
        <w:t>供編碼。這意味著本文</w:t>
      </w:r>
      <w:proofErr w:type="gramStart"/>
      <w:r>
        <w:rPr>
          <w:rFonts w:ascii="微軟正黑體" w:eastAsia="微軟正黑體" w:hAnsi="微軟正黑體" w:cs="微軟正黑體"/>
          <w:sz w:val="22"/>
        </w:rPr>
        <w:t>三</w:t>
      </w:r>
      <w:proofErr w:type="gramEnd"/>
      <w:r>
        <w:rPr>
          <w:rFonts w:ascii="微軟正黑體" w:eastAsia="微軟正黑體" w:hAnsi="微軟正黑體" w:cs="微軟正黑體"/>
          <w:sz w:val="22"/>
        </w:rPr>
        <w:t>案例之選取，並非獨立於「摩擦是否已經發生」這個結果變項之外；換言之，</w:t>
      </w:r>
      <w:proofErr w:type="gramStart"/>
      <w:r>
        <w:rPr>
          <w:rFonts w:ascii="微軟正黑體" w:eastAsia="微軟正黑體" w:hAnsi="微軟正黑體" w:cs="微軟正黑體"/>
          <w:sz w:val="22"/>
        </w:rPr>
        <w:t>若參</w:t>
      </w:r>
      <w:proofErr w:type="gramEnd"/>
      <w:r>
        <w:rPr>
          <w:rFonts w:ascii="微軟正黑體" w:eastAsia="微軟正黑體" w:hAnsi="微軟正黑體" w:cs="微軟正黑體"/>
          <w:sz w:val="22"/>
        </w:rPr>
        <w:t>節之</w:t>
      </w:r>
      <w:proofErr w:type="gramStart"/>
      <w:r>
        <w:rPr>
          <w:rFonts w:ascii="微軟正黑體" w:eastAsia="微軟正黑體" w:hAnsi="微軟正黑體" w:cs="微軟正黑體"/>
          <w:sz w:val="22"/>
        </w:rPr>
        <w:t>二所</w:t>
      </w:r>
      <w:proofErr w:type="gramEnd"/>
      <w:r>
        <w:rPr>
          <w:rFonts w:ascii="微軟正黑體" w:eastAsia="微軟正黑體" w:hAnsi="微軟正黑體" w:cs="微軟正黑體"/>
          <w:sz w:val="22"/>
        </w:rPr>
        <w:t>述之摩擦論證為真（外部摩擦終將以某種形式介入高暴露、低完整度之系統），本文選案標準本身已傾向優先納入摩擦已經發生、且已被記錄下來的案例，而非隨機或窮盡取樣。此一選案邏輯之限制，將</w:t>
      </w:r>
      <w:proofErr w:type="gramStart"/>
      <w:r>
        <w:rPr>
          <w:rFonts w:ascii="微軟正黑體" w:eastAsia="微軟正黑體" w:hAnsi="微軟正黑體" w:cs="微軟正黑體"/>
          <w:sz w:val="22"/>
        </w:rPr>
        <w:t>於陸節之</w:t>
      </w:r>
      <w:proofErr w:type="gramEnd"/>
      <w:r>
        <w:rPr>
          <w:rFonts w:ascii="微軟正黑體" w:eastAsia="微軟正黑體" w:hAnsi="微軟正黑體" w:cs="微軟正黑體"/>
          <w:sz w:val="22"/>
        </w:rPr>
        <w:t>三配合</w:t>
      </w:r>
      <w:r>
        <w:rPr>
          <w:rFonts w:ascii="微軟正黑體" w:eastAsia="微軟正黑體" w:hAnsi="微軟正黑體" w:cs="微軟正黑體"/>
          <w:sz w:val="22"/>
        </w:rPr>
        <w:t>AFST</w:t>
      </w:r>
      <w:r>
        <w:rPr>
          <w:rFonts w:ascii="微軟正黑體" w:eastAsia="微軟正黑體" w:hAnsi="微軟正黑體" w:cs="微軟正黑體"/>
          <w:sz w:val="22"/>
        </w:rPr>
        <w:t>案之未決狀態進一步討論；此處先行指出，以維持研究設計之透明。</w:t>
      </w:r>
    </w:p>
    <w:p w:rsidR="00035E70" w:rsidRDefault="000B3CAA">
      <w:pPr>
        <w:spacing w:after="160" w:line="300" w:lineRule="auto"/>
        <w:jc w:val="both"/>
      </w:pPr>
      <w:r>
        <w:rPr>
          <w:rFonts w:ascii="微軟正黑體" w:eastAsia="微軟正黑體" w:hAnsi="微軟正黑體" w:cs="微軟正黑體"/>
          <w:sz w:val="22"/>
        </w:rPr>
        <w:lastRenderedPageBreak/>
        <w:t>示範分數依現有公開文件形成，目的在展示方法，而非宣稱已完成雙人獨立編碼、評分</w:t>
      </w:r>
      <w:proofErr w:type="gramStart"/>
      <w:r>
        <w:rPr>
          <w:rFonts w:ascii="微軟正黑體" w:eastAsia="微軟正黑體" w:hAnsi="微軟正黑體" w:cs="微軟正黑體"/>
          <w:sz w:val="22"/>
        </w:rPr>
        <w:t>者間信度</w:t>
      </w:r>
      <w:proofErr w:type="gramEnd"/>
      <w:r>
        <w:rPr>
          <w:rFonts w:ascii="微軟正黑體" w:eastAsia="微軟正黑體" w:hAnsi="微軟正黑體" w:cs="微軟正黑體"/>
          <w:sz w:val="22"/>
        </w:rPr>
        <w:t>或</w:t>
      </w:r>
      <w:proofErr w:type="gramStart"/>
      <w:r>
        <w:rPr>
          <w:rFonts w:ascii="微軟正黑體" w:eastAsia="微軟正黑體" w:hAnsi="微軟正黑體" w:cs="微軟正黑體"/>
          <w:sz w:val="22"/>
        </w:rPr>
        <w:t>外部效</w:t>
      </w:r>
      <w:proofErr w:type="gramEnd"/>
      <w:r>
        <w:rPr>
          <w:rFonts w:ascii="微軟正黑體" w:eastAsia="微軟正黑體" w:hAnsi="微軟正黑體" w:cs="微軟正黑體"/>
          <w:sz w:val="22"/>
        </w:rPr>
        <w:t>度檢驗。只有官方流程、正式回覆或司法／調查資料足以積極確</w:t>
      </w:r>
      <w:r>
        <w:rPr>
          <w:rFonts w:ascii="微軟正黑體" w:eastAsia="微軟正黑體" w:hAnsi="微軟正黑體" w:cs="微軟正黑體"/>
          <w:sz w:val="22"/>
        </w:rPr>
        <w:t>認制度或程序不存在時，</w:t>
      </w:r>
      <w:proofErr w:type="gramStart"/>
      <w:r>
        <w:rPr>
          <w:rFonts w:ascii="微軟正黑體" w:eastAsia="微軟正黑體" w:hAnsi="微軟正黑體" w:cs="微軟正黑體"/>
          <w:sz w:val="22"/>
        </w:rPr>
        <w:t>才記</w:t>
      </w:r>
      <w:proofErr w:type="gramEnd"/>
      <w:r>
        <w:rPr>
          <w:rFonts w:ascii="微軟正黑體" w:eastAsia="微軟正黑體" w:hAnsi="微軟正黑體" w:cs="微軟正黑體"/>
          <w:sz w:val="22"/>
        </w:rPr>
        <w:t>0</w:t>
      </w:r>
      <w:r>
        <w:rPr>
          <w:rFonts w:ascii="微軟正黑體" w:eastAsia="微軟正黑體" w:hAnsi="微軟正黑體" w:cs="微軟正黑體"/>
          <w:sz w:val="22"/>
        </w:rPr>
        <w:t>；資料未公開、遭拒絕或遮蔽、無法確認或證據相互衝突</w:t>
      </w:r>
      <w:proofErr w:type="gramStart"/>
      <w:r>
        <w:rPr>
          <w:rFonts w:ascii="微軟正黑體" w:eastAsia="微軟正黑體" w:hAnsi="微軟正黑體" w:cs="微軟正黑體"/>
          <w:sz w:val="22"/>
        </w:rPr>
        <w:t>者均記</w:t>
      </w:r>
      <w:proofErr w:type="gramEnd"/>
      <w:r>
        <w:rPr>
          <w:rFonts w:ascii="微軟正黑體" w:eastAsia="微軟正黑體" w:hAnsi="微軟正黑體" w:cs="微軟正黑體"/>
          <w:sz w:val="22"/>
        </w:rPr>
        <w:t>NA</w:t>
      </w:r>
      <w:r>
        <w:rPr>
          <w:rFonts w:ascii="微軟正黑體" w:eastAsia="微軟正黑體" w:hAnsi="微軟正黑體" w:cs="微軟正黑體"/>
          <w:sz w:val="22"/>
        </w:rPr>
        <w:t>並</w:t>
      </w:r>
      <w:proofErr w:type="gramStart"/>
      <w:r>
        <w:rPr>
          <w:rFonts w:ascii="微軟正黑體" w:eastAsia="微軟正黑體" w:hAnsi="微軟正黑體" w:cs="微軟正黑體"/>
          <w:sz w:val="22"/>
        </w:rPr>
        <w:t>註明缺證原</w:t>
      </w:r>
      <w:proofErr w:type="gramEnd"/>
      <w:r>
        <w:rPr>
          <w:rFonts w:ascii="微軟正黑體" w:eastAsia="微軟正黑體" w:hAnsi="微軟正黑體" w:cs="微軟正黑體"/>
          <w:sz w:val="22"/>
        </w:rPr>
        <w:t>因。</w:t>
      </w:r>
      <w:r>
        <w:rPr>
          <w:rFonts w:ascii="微軟正黑體" w:eastAsia="微軟正黑體" w:hAnsi="微軟正黑體" w:cs="微軟正黑體"/>
          <w:sz w:val="22"/>
        </w:rPr>
        <w:t>NA</w:t>
      </w:r>
      <w:r>
        <w:rPr>
          <w:rFonts w:ascii="微軟正黑體" w:eastAsia="微軟正黑體" w:hAnsi="微軟正黑體" w:cs="微軟正黑體"/>
          <w:sz w:val="22"/>
        </w:rPr>
        <w:t>不納入主平均，但須以涵蓋率及透明度敏感度分析防止資訊不公開反而維持較高分數；詳細判</w:t>
      </w:r>
      <w:proofErr w:type="gramStart"/>
      <w:r>
        <w:rPr>
          <w:rFonts w:ascii="微軟正黑體" w:eastAsia="微軟正黑體" w:hAnsi="微軟正黑體" w:cs="微軟正黑體"/>
          <w:sz w:val="22"/>
        </w:rPr>
        <w:t>準見肆節</w:t>
      </w:r>
      <w:proofErr w:type="gramEnd"/>
      <w:r>
        <w:rPr>
          <w:rFonts w:ascii="微軟正黑體" w:eastAsia="微軟正黑體" w:hAnsi="微軟正黑體" w:cs="微軟正黑體"/>
          <w:sz w:val="22"/>
        </w:rPr>
        <w:t>。</w:t>
      </w:r>
    </w:p>
    <w:p w:rsidR="00035E70" w:rsidRDefault="000B3CAA">
      <w:pPr>
        <w:pStyle w:val="1"/>
        <w:spacing w:before="260" w:after="140"/>
      </w:pPr>
      <w:r>
        <w:rPr>
          <w:rFonts w:ascii="微軟正黑體" w:eastAsia="微軟正黑體" w:hAnsi="微軟正黑體" w:cs="微軟正黑體"/>
          <w:b/>
          <w:sz w:val="27"/>
        </w:rPr>
        <w:t>貳、共同母架構：</w:t>
      </w:r>
      <w:r>
        <w:rPr>
          <w:rFonts w:ascii="微軟正黑體" w:eastAsia="微軟正黑體" w:hAnsi="微軟正黑體" w:cs="微軟正黑體"/>
          <w:b/>
          <w:sz w:val="27"/>
        </w:rPr>
        <w:t>25—3—3—4—7</w:t>
      </w:r>
    </w:p>
    <w:p w:rsidR="00035E70" w:rsidRDefault="000B3CAA">
      <w:pPr>
        <w:spacing w:after="160" w:line="300" w:lineRule="auto"/>
        <w:jc w:val="both"/>
      </w:pPr>
      <w:r>
        <w:t>閱讀指引（</w:t>
      </w:r>
      <w:r>
        <w:t>Context</w:t>
      </w:r>
      <w:r>
        <w:t>／</w:t>
      </w:r>
      <w:r>
        <w:t>Focus</w:t>
      </w:r>
      <w:r>
        <w:t>）：</w:t>
      </w:r>
      <w:r>
        <w:t>25</w:t>
      </w:r>
      <w:proofErr w:type="gramStart"/>
      <w:r>
        <w:t>—</w:t>
      </w:r>
      <w:proofErr w:type="gramEnd"/>
      <w:r>
        <w:t>3—3—4—7</w:t>
      </w:r>
      <w:r>
        <w:t>是本文所承接的共同母架構，功能在定位</w:t>
      </w:r>
      <w:r>
        <w:t>AI</w:t>
      </w:r>
      <w:r>
        <w:t>介入位置、解釋後續傳導及查核所需證據，不是每一層都須同時計分的總量表。本文真正進入測量與計分的核心標的是</w:t>
      </w:r>
      <w:r>
        <w:t>P1</w:t>
      </w:r>
      <w:proofErr w:type="gramStart"/>
      <w:r>
        <w:t>五</w:t>
      </w:r>
      <w:proofErr w:type="gramEnd"/>
      <w:r>
        <w:t>項暴露指標與</w:t>
      </w:r>
      <w:r>
        <w:t>C1</w:t>
      </w:r>
      <w:r>
        <w:t>十二項完整度指標；其餘要素屬背景脈絡：</w:t>
      </w:r>
      <w:r>
        <w:t>25</w:t>
      </w:r>
      <w:r>
        <w:t>格定</w:t>
      </w:r>
      <w:r>
        <w:t>位案例，</w:t>
      </w:r>
      <w:r>
        <w:t>P2</w:t>
      </w:r>
      <w:r>
        <w:t>／</w:t>
      </w:r>
      <w:r>
        <w:t>P3</w:t>
      </w:r>
      <w:r>
        <w:t>與後三條治理鏈追蹤傳導，三項結構效應解釋制度變化，七項治理審計只作證據查漏。</w:t>
      </w:r>
    </w:p>
    <w:p w:rsidR="00035E70" w:rsidRDefault="000B3CAA">
      <w:pPr>
        <w:pStyle w:val="2"/>
        <w:spacing w:before="260" w:after="140"/>
      </w:pPr>
      <w:r>
        <w:rPr>
          <w:rFonts w:ascii="微軟正黑體" w:eastAsia="微軟正黑體" w:hAnsi="微軟正黑體" w:cs="微軟正黑體"/>
          <w:b/>
          <w:sz w:val="24"/>
        </w:rPr>
        <w:t>一、二十五治理座標：定位</w:t>
      </w:r>
      <w:r>
        <w:rPr>
          <w:rFonts w:ascii="微軟正黑體" w:eastAsia="微軟正黑體" w:hAnsi="微軟正黑體" w:cs="微軟正黑體"/>
          <w:b/>
          <w:sz w:val="24"/>
        </w:rPr>
        <w:t>AI</w:t>
      </w:r>
      <w:r>
        <w:rPr>
          <w:rFonts w:ascii="微軟正黑體" w:eastAsia="微軟正黑體" w:hAnsi="微軟正黑體" w:cs="微軟正黑體"/>
          <w:b/>
          <w:sz w:val="24"/>
        </w:rPr>
        <w:t>介入何處</w:t>
      </w:r>
    </w:p>
    <w:p w:rsidR="00035E70" w:rsidRDefault="000B3CAA">
      <w:pPr>
        <w:spacing w:after="160" w:line="300" w:lineRule="auto"/>
        <w:jc w:val="both"/>
      </w:pPr>
      <w:r>
        <w:rPr>
          <w:rFonts w:ascii="微軟正黑體" w:eastAsia="微軟正黑體" w:hAnsi="微軟正黑體" w:cs="微軟正黑體"/>
          <w:sz w:val="22"/>
        </w:rPr>
        <w:t>二十五治理座標由兩條軸線交叉形成。縱軸為公共行政的五個分析層次：哲學與價值、制度分工、政策體系、組織設計、管理運作；橫軸為五個分析單位：個人、團體、組織、社會、國際。前者回答</w:t>
      </w:r>
      <w:r>
        <w:rPr>
          <w:rFonts w:ascii="微軟正黑體" w:eastAsia="微軟正黑體" w:hAnsi="微軟正黑體" w:cs="微軟正黑體"/>
          <w:sz w:val="22"/>
        </w:rPr>
        <w:t>AI</w:t>
      </w:r>
      <w:r>
        <w:rPr>
          <w:rFonts w:ascii="微軟正黑體" w:eastAsia="微軟正黑體" w:hAnsi="微軟正黑體" w:cs="微軟正黑體"/>
          <w:sz w:val="22"/>
        </w:rPr>
        <w:t>影響公共行政的哪一理論層次，後者回答其影響哪一範圍的行動者。</w:t>
      </w:r>
    </w:p>
    <w:p w:rsidR="00035E70" w:rsidRDefault="000B3CAA">
      <w:pPr>
        <w:spacing w:after="160" w:line="300" w:lineRule="auto"/>
        <w:jc w:val="both"/>
      </w:pPr>
      <w:r>
        <w:rPr>
          <w:rFonts w:ascii="微軟正黑體" w:eastAsia="微軟正黑體" w:hAnsi="微軟正黑體" w:cs="微軟正黑體"/>
          <w:sz w:val="22"/>
        </w:rPr>
        <w:t>二十五座標是定位系統，不是風險分數，也不是由「五個治理層次</w:t>
      </w:r>
      <w:r>
        <w:rPr>
          <w:rFonts w:ascii="微軟正黑體" w:eastAsia="微軟正黑體" w:hAnsi="微軟正黑體" w:cs="微軟正黑體"/>
          <w:sz w:val="22"/>
        </w:rPr>
        <w:t>×</w:t>
      </w:r>
      <w:r>
        <w:rPr>
          <w:rFonts w:ascii="微軟正黑體" w:eastAsia="微軟正黑體" w:hAnsi="微軟正黑體" w:cs="微軟正黑體"/>
          <w:sz w:val="22"/>
        </w:rPr>
        <w:t>五個動態效應」組成。跨座標移動、裁量轉移或責任</w:t>
      </w:r>
      <w:proofErr w:type="gramStart"/>
      <w:r>
        <w:rPr>
          <w:rFonts w:ascii="微軟正黑體" w:eastAsia="微軟正黑體" w:hAnsi="微軟正黑體" w:cs="微軟正黑體"/>
          <w:sz w:val="22"/>
        </w:rPr>
        <w:t>分散均屬定位</w:t>
      </w:r>
      <w:proofErr w:type="gramEnd"/>
      <w:r>
        <w:rPr>
          <w:rFonts w:ascii="微軟正黑體" w:eastAsia="微軟正黑體" w:hAnsi="微軟正黑體" w:cs="微軟正黑體"/>
          <w:sz w:val="22"/>
        </w:rPr>
        <w:t>後觀察到的動態現象，</w:t>
      </w:r>
      <w:r>
        <w:rPr>
          <w:rFonts w:ascii="微軟正黑體" w:eastAsia="微軟正黑體" w:hAnsi="微軟正黑體" w:cs="微軟正黑體"/>
          <w:sz w:val="22"/>
        </w:rPr>
        <w:t>不能取代個人、團體、組織、社會與國際五分析單位。本文據此區分案例的起始格位、延伸格位及影響路徑。</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1</w:t>
      </w:r>
      <w:r>
        <w:rPr>
          <w:rFonts w:ascii="微軟正黑體" w:eastAsia="微軟正黑體" w:hAnsi="微軟正黑體" w:cs="微軟正黑體"/>
          <w:b/>
          <w:sz w:val="22"/>
        </w:rPr>
        <w:t xml:space="preserve">　本文採用的二十五治理座標</w:t>
      </w:r>
    </w:p>
    <w:tbl>
      <w:tblPr>
        <w:tblW w:w="9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450"/>
        <w:gridCol w:w="1450"/>
        <w:gridCol w:w="1450"/>
        <w:gridCol w:w="1500"/>
        <w:gridCol w:w="1650"/>
        <w:gridCol w:w="1550"/>
      </w:tblGrid>
      <w:tr w:rsidR="00035E70">
        <w:tblPrEx>
          <w:tblCellMar>
            <w:top w:w="0" w:type="dxa"/>
            <w:bottom w:w="0" w:type="dxa"/>
          </w:tblCellMar>
        </w:tblPrEx>
        <w:trPr>
          <w:tblHeader/>
        </w:trPr>
        <w:tc>
          <w:tcPr>
            <w:tcW w:w="14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分析層次</w:t>
            </w:r>
            <w:proofErr w:type="gramStart"/>
            <w:r>
              <w:rPr>
                <w:rFonts w:ascii="微軟正黑體" w:eastAsia="微軟正黑體" w:hAnsi="微軟正黑體" w:cs="微軟正黑體"/>
                <w:b/>
                <w:bCs/>
                <w:color w:val="FFFFFF"/>
                <w:sz w:val="21"/>
                <w:szCs w:val="21"/>
              </w:rPr>
              <w:t>＼</w:t>
            </w:r>
            <w:proofErr w:type="gramEnd"/>
            <w:r>
              <w:rPr>
                <w:rFonts w:ascii="微軟正黑體" w:eastAsia="微軟正黑體" w:hAnsi="微軟正黑體" w:cs="微軟正黑體"/>
                <w:b/>
                <w:bCs/>
                <w:color w:val="FFFFFF"/>
                <w:sz w:val="21"/>
                <w:szCs w:val="21"/>
              </w:rPr>
              <w:t>分析單位</w:t>
            </w:r>
          </w:p>
        </w:tc>
        <w:tc>
          <w:tcPr>
            <w:tcW w:w="14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個人</w:t>
            </w:r>
          </w:p>
        </w:tc>
        <w:tc>
          <w:tcPr>
            <w:tcW w:w="14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團體</w:t>
            </w:r>
          </w:p>
        </w:tc>
        <w:tc>
          <w:tcPr>
            <w:tcW w:w="15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組織</w:t>
            </w:r>
          </w:p>
        </w:tc>
        <w:tc>
          <w:tcPr>
            <w:tcW w:w="16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社會</w:t>
            </w:r>
          </w:p>
        </w:tc>
        <w:tc>
          <w:tcPr>
            <w:tcW w:w="15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國際</w:t>
            </w:r>
          </w:p>
        </w:tc>
      </w:tr>
      <w:tr w:rsidR="00035E70">
        <w:tblPrEx>
          <w:tblCellMar>
            <w:top w:w="0" w:type="dxa"/>
            <w:bottom w:w="0" w:type="dxa"/>
          </w:tblCellMar>
        </w:tblPrEx>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哲學與價值</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個人尊嚴、平等</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群體正義、代表性</w:t>
            </w:r>
          </w:p>
        </w:tc>
        <w:tc>
          <w:tcPr>
            <w:tcW w:w="1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組織倫理</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公共價值、民主正當性</w:t>
            </w:r>
          </w:p>
        </w:tc>
        <w:tc>
          <w:tcPr>
            <w:tcW w:w="15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人權與全球規範</w:t>
            </w:r>
          </w:p>
        </w:tc>
      </w:tr>
      <w:tr w:rsidR="00035E70">
        <w:tblPrEx>
          <w:tblCellMar>
            <w:top w:w="0" w:type="dxa"/>
            <w:bottom w:w="0" w:type="dxa"/>
          </w:tblCellMar>
        </w:tblPrEx>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制度分工</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權利與救濟位置</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團體參與</w:t>
            </w:r>
            <w:proofErr w:type="gramStart"/>
            <w:r>
              <w:rPr>
                <w:rFonts w:ascii="微軟正黑體" w:eastAsia="微軟正黑體" w:hAnsi="微軟正黑體" w:cs="微軟正黑體"/>
                <w:color w:val="000000"/>
                <w:sz w:val="21"/>
                <w:szCs w:val="21"/>
              </w:rPr>
              <w:t>與</w:t>
            </w:r>
            <w:proofErr w:type="gramEnd"/>
            <w:r>
              <w:rPr>
                <w:rFonts w:ascii="微軟正黑體" w:eastAsia="微軟正黑體" w:hAnsi="微軟正黑體" w:cs="微軟正黑體"/>
                <w:color w:val="000000"/>
                <w:sz w:val="21"/>
                <w:szCs w:val="21"/>
              </w:rPr>
              <w:t>代表</w:t>
            </w:r>
          </w:p>
        </w:tc>
        <w:tc>
          <w:tcPr>
            <w:tcW w:w="1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機關職權、委外關係</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國家</w:t>
            </w:r>
            <w:proofErr w:type="gramStart"/>
            <w:r>
              <w:rPr>
                <w:rFonts w:ascii="微軟正黑體" w:eastAsia="微軟正黑體" w:hAnsi="微軟正黑體" w:cs="微軟正黑體"/>
                <w:color w:val="000000"/>
                <w:sz w:val="21"/>
                <w:szCs w:val="21"/>
              </w:rPr>
              <w:t>—</w:t>
            </w:r>
            <w:proofErr w:type="gramEnd"/>
            <w:r>
              <w:rPr>
                <w:rFonts w:ascii="微軟正黑體" w:eastAsia="微軟正黑體" w:hAnsi="微軟正黑體" w:cs="微軟正黑體"/>
                <w:color w:val="000000"/>
                <w:sz w:val="21"/>
                <w:szCs w:val="21"/>
              </w:rPr>
              <w:t>社會權力配置</w:t>
            </w:r>
          </w:p>
        </w:tc>
        <w:tc>
          <w:tcPr>
            <w:tcW w:w="15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跨境制度與標準</w:t>
            </w:r>
          </w:p>
        </w:tc>
      </w:tr>
      <w:tr w:rsidR="00035E70">
        <w:tblPrEx>
          <w:tblCellMar>
            <w:top w:w="0" w:type="dxa"/>
            <w:bottom w:w="0" w:type="dxa"/>
          </w:tblCellMar>
        </w:tblPrEx>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政策體系</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個案資格與政策效果</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目標群體建構</w:t>
            </w:r>
          </w:p>
        </w:tc>
        <w:tc>
          <w:tcPr>
            <w:tcW w:w="1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組織間政策協調</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問題定義、資源分配</w:t>
            </w:r>
          </w:p>
        </w:tc>
        <w:tc>
          <w:tcPr>
            <w:tcW w:w="15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跨國政策擴散</w:t>
            </w:r>
          </w:p>
        </w:tc>
      </w:tr>
      <w:tr w:rsidR="00035E70">
        <w:tblPrEx>
          <w:tblCellMar>
            <w:top w:w="0" w:type="dxa"/>
            <w:bottom w:w="0" w:type="dxa"/>
          </w:tblCellMar>
        </w:tblPrEx>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組織設計</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人機職務配</w:t>
            </w:r>
            <w:r>
              <w:rPr>
                <w:rFonts w:ascii="微軟正黑體" w:eastAsia="微軟正黑體" w:hAnsi="微軟正黑體" w:cs="微軟正黑體"/>
                <w:color w:val="000000"/>
                <w:sz w:val="21"/>
                <w:szCs w:val="21"/>
              </w:rPr>
              <w:lastRenderedPageBreak/>
              <w:t>置</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專業團隊</w:t>
            </w:r>
          </w:p>
        </w:tc>
        <w:tc>
          <w:tcPr>
            <w:tcW w:w="1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權限、流程與</w:t>
            </w:r>
            <w:r>
              <w:rPr>
                <w:rFonts w:ascii="微軟正黑體" w:eastAsia="微軟正黑體" w:hAnsi="微軟正黑體" w:cs="微軟正黑體"/>
                <w:color w:val="000000"/>
                <w:sz w:val="21"/>
                <w:szCs w:val="21"/>
              </w:rPr>
              <w:lastRenderedPageBreak/>
              <w:t>能力</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組織網絡</w:t>
            </w:r>
          </w:p>
        </w:tc>
        <w:tc>
          <w:tcPr>
            <w:tcW w:w="15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跨境供應鏈</w:t>
            </w:r>
          </w:p>
        </w:tc>
      </w:tr>
      <w:tr w:rsidR="00035E70">
        <w:tblPrEx>
          <w:tblCellMar>
            <w:top w:w="0" w:type="dxa"/>
            <w:bottom w:w="0" w:type="dxa"/>
          </w:tblCellMar>
        </w:tblPrEx>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管理運作</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個案處理、風險評分</w:t>
            </w:r>
          </w:p>
        </w:tc>
        <w:tc>
          <w:tcPr>
            <w:tcW w:w="14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群體分類</w:t>
            </w:r>
          </w:p>
        </w:tc>
        <w:tc>
          <w:tcPr>
            <w:tcW w:w="1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系統部署與監督</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大規模自動化效果</w:t>
            </w:r>
          </w:p>
        </w:tc>
        <w:tc>
          <w:tcPr>
            <w:tcW w:w="15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跨境資料與模型服務</w:t>
            </w:r>
          </w:p>
        </w:tc>
      </w:tr>
    </w:tbl>
    <w:p w:rsidR="00035E70" w:rsidRDefault="000B3CAA">
      <w:pPr>
        <w:pStyle w:val="2"/>
        <w:spacing w:before="260" w:after="140"/>
      </w:pPr>
      <w:r>
        <w:rPr>
          <w:rFonts w:ascii="微軟正黑體" w:eastAsia="微軟正黑體" w:hAnsi="微軟正黑體" w:cs="微軟正黑體"/>
          <w:b/>
          <w:sz w:val="24"/>
        </w:rPr>
        <w:t>二、三種行政權力的功能性移轉：解釋</w:t>
      </w:r>
      <w:r>
        <w:rPr>
          <w:rFonts w:ascii="微軟正黑體" w:eastAsia="微軟正黑體" w:hAnsi="微軟正黑體" w:cs="微軟正黑體"/>
          <w:b/>
          <w:sz w:val="24"/>
        </w:rPr>
        <w:t>AI</w:t>
      </w:r>
      <w:r>
        <w:rPr>
          <w:rFonts w:ascii="微軟正黑體" w:eastAsia="微軟正黑體" w:hAnsi="微軟正黑體" w:cs="微軟正黑體"/>
          <w:b/>
          <w:sz w:val="24"/>
        </w:rPr>
        <w:t>如何改變行政</w:t>
      </w:r>
    </w:p>
    <w:p w:rsidR="00035E70" w:rsidRDefault="000B3CAA">
      <w:pPr>
        <w:spacing w:after="160" w:line="300" w:lineRule="auto"/>
        <w:jc w:val="both"/>
      </w:pPr>
      <w:r>
        <w:rPr>
          <w:rFonts w:ascii="微軟正黑體" w:eastAsia="微軟正黑體" w:hAnsi="微軟正黑體" w:cs="微軟正黑體"/>
          <w:sz w:val="22"/>
        </w:rPr>
        <w:t>「功能性移轉」不是將法定職權授予</w:t>
      </w:r>
      <w:r>
        <w:rPr>
          <w:rFonts w:ascii="微軟正黑體" w:eastAsia="微軟正黑體" w:hAnsi="微軟正黑體" w:cs="微軟正黑體"/>
          <w:sz w:val="22"/>
        </w:rPr>
        <w:t>AI</w:t>
      </w:r>
      <w:r>
        <w:rPr>
          <w:rFonts w:ascii="微軟正黑體" w:eastAsia="微軟正黑體" w:hAnsi="微軟正黑體" w:cs="微軟正黑體"/>
          <w:sz w:val="22"/>
        </w:rPr>
        <w:t>，而是指原本由具身分、職權與責任的行政人員執行之功能，逐步由資料、模型、系統設計者或供應商取得實質影響力。本文區分三種：</w:t>
      </w:r>
    </w:p>
    <w:p w:rsidR="00035E70" w:rsidRDefault="000B3CAA">
      <w:pPr>
        <w:spacing w:after="120" w:line="300" w:lineRule="auto"/>
        <w:ind w:left="420" w:hanging="420"/>
        <w:jc w:val="both"/>
      </w:pPr>
      <w:r>
        <w:rPr>
          <w:rFonts w:ascii="微軟正黑體" w:eastAsia="微軟正黑體" w:hAnsi="微軟正黑體" w:cs="微軟正黑體"/>
          <w:sz w:val="22"/>
        </w:rPr>
        <w:t>1. P1</w:t>
      </w:r>
      <w:r>
        <w:rPr>
          <w:rFonts w:ascii="微軟正黑體" w:eastAsia="微軟正黑體" w:hAnsi="微軟正黑體" w:cs="微軟正黑體"/>
          <w:sz w:val="22"/>
        </w:rPr>
        <w:t>情境建構與事實認定權移轉：</w:t>
      </w:r>
      <w:r>
        <w:rPr>
          <w:rFonts w:ascii="微軟正黑體" w:eastAsia="微軟正黑體" w:hAnsi="微軟正黑體" w:cs="微軟正黑體"/>
          <w:sz w:val="22"/>
        </w:rPr>
        <w:t xml:space="preserve"> </w:t>
      </w:r>
      <w:r>
        <w:rPr>
          <w:rFonts w:ascii="微軟正黑體" w:eastAsia="微軟正黑體" w:hAnsi="微軟正黑體" w:cs="微軟正黑體"/>
          <w:sz w:val="22"/>
        </w:rPr>
        <w:t>哪些資料被視為事實、哪些群體成為目標、哪些分類與</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值構成後續判斷起點。</w:t>
      </w:r>
    </w:p>
    <w:p w:rsidR="00035E70" w:rsidRDefault="000B3CAA">
      <w:pPr>
        <w:spacing w:after="120" w:line="300" w:lineRule="auto"/>
        <w:ind w:left="420" w:hanging="420"/>
        <w:jc w:val="both"/>
      </w:pPr>
      <w:r>
        <w:rPr>
          <w:rFonts w:ascii="微軟正黑體" w:eastAsia="微軟正黑體" w:hAnsi="微軟正黑體" w:cs="微軟正黑體"/>
          <w:sz w:val="22"/>
        </w:rPr>
        <w:t>2. P2</w:t>
      </w:r>
      <w:r>
        <w:rPr>
          <w:rFonts w:ascii="微軟正黑體" w:eastAsia="微軟正黑體" w:hAnsi="微軟正黑體" w:cs="微軟正黑體"/>
          <w:sz w:val="22"/>
        </w:rPr>
        <w:t>行政裁量與價值判斷權移轉：</w:t>
      </w:r>
      <w:r>
        <w:rPr>
          <w:rFonts w:ascii="微軟正黑體" w:eastAsia="微軟正黑體" w:hAnsi="微軟正黑體" w:cs="微軟正黑體"/>
          <w:sz w:val="22"/>
        </w:rPr>
        <w:t xml:space="preserve"> </w:t>
      </w:r>
      <w:r>
        <w:rPr>
          <w:rFonts w:ascii="微軟正黑體" w:eastAsia="微軟正黑體" w:hAnsi="微軟正黑體" w:cs="微軟正黑體"/>
          <w:sz w:val="22"/>
        </w:rPr>
        <w:t>哪些選項被推薦、排序或排除，以及效率、公平、風險與個案正義如何衡量。</w:t>
      </w:r>
    </w:p>
    <w:p w:rsidR="00035E70" w:rsidRDefault="000B3CAA">
      <w:pPr>
        <w:spacing w:after="120" w:line="300" w:lineRule="auto"/>
        <w:ind w:left="420" w:hanging="420"/>
        <w:jc w:val="both"/>
      </w:pPr>
      <w:r>
        <w:rPr>
          <w:rFonts w:ascii="微軟正黑體" w:eastAsia="微軟正黑體" w:hAnsi="微軟正黑體" w:cs="微軟正黑體"/>
          <w:sz w:val="22"/>
        </w:rPr>
        <w:t>3. P3</w:t>
      </w:r>
      <w:r>
        <w:rPr>
          <w:rFonts w:ascii="微軟正黑體" w:eastAsia="微軟正黑體" w:hAnsi="微軟正黑體" w:cs="微軟正黑體"/>
          <w:sz w:val="22"/>
        </w:rPr>
        <w:t>公權力決定之實質影響力移轉：</w:t>
      </w:r>
      <w:r>
        <w:rPr>
          <w:rFonts w:ascii="微軟正黑體" w:eastAsia="微軟正黑體" w:hAnsi="微軟正黑體" w:cs="微軟正黑體"/>
          <w:sz w:val="22"/>
        </w:rPr>
        <w:t xml:space="preserve"> </w:t>
      </w:r>
      <w:r>
        <w:rPr>
          <w:rFonts w:ascii="微軟正黑體" w:eastAsia="微軟正黑體" w:hAnsi="微軟正黑體" w:cs="微軟正黑體"/>
          <w:sz w:val="22"/>
        </w:rPr>
        <w:t>技術輸出是否直接或近似直接觸發給付、調查、裁罰、債務或其他法律與資源效果。</w:t>
      </w:r>
    </w:p>
    <w:p w:rsidR="00035E70" w:rsidRDefault="000B3CAA">
      <w:pPr>
        <w:spacing w:after="160" w:line="300" w:lineRule="auto"/>
        <w:jc w:val="both"/>
      </w:pPr>
      <w:r>
        <w:rPr>
          <w:rFonts w:ascii="微軟正黑體" w:eastAsia="微軟正黑體" w:hAnsi="微軟正黑體" w:cs="微軟正黑體"/>
          <w:sz w:val="22"/>
        </w:rPr>
        <w:t>三者不是必然依序發生，也不是單一自動化階梯。同一系統可能高度介入</w:t>
      </w:r>
      <w:r>
        <w:rPr>
          <w:rFonts w:ascii="微軟正黑體" w:eastAsia="微軟正黑體" w:hAnsi="微軟正黑體" w:cs="微軟正黑體"/>
          <w:sz w:val="22"/>
        </w:rPr>
        <w:t>P1</w:t>
      </w:r>
      <w:r>
        <w:rPr>
          <w:rFonts w:ascii="微軟正黑體" w:eastAsia="微軟正黑體" w:hAnsi="微軟正黑體" w:cs="微軟正黑體"/>
          <w:sz w:val="22"/>
        </w:rPr>
        <w:t>，</w:t>
      </w:r>
      <w:proofErr w:type="gramStart"/>
      <w:r>
        <w:rPr>
          <w:rFonts w:ascii="微軟正黑體" w:eastAsia="微軟正黑體" w:hAnsi="微軟正黑體" w:cs="微軟正黑體"/>
          <w:sz w:val="22"/>
        </w:rPr>
        <w:t>卻只低度</w:t>
      </w:r>
      <w:proofErr w:type="gramEnd"/>
      <w:r>
        <w:rPr>
          <w:rFonts w:ascii="微軟正黑體" w:eastAsia="微軟正黑體" w:hAnsi="微軟正黑體" w:cs="微軟正黑體"/>
          <w:sz w:val="22"/>
        </w:rPr>
        <w:t>介入</w:t>
      </w:r>
      <w:r>
        <w:rPr>
          <w:rFonts w:ascii="微軟正黑體" w:eastAsia="微軟正黑體" w:hAnsi="微軟正黑體" w:cs="微軟正黑體"/>
          <w:sz w:val="22"/>
        </w:rPr>
        <w:t>P3</w:t>
      </w:r>
      <w:r>
        <w:rPr>
          <w:rFonts w:ascii="微軟正黑體" w:eastAsia="微軟正黑體" w:hAnsi="微軟正黑體" w:cs="微軟正黑體"/>
          <w:sz w:val="22"/>
        </w:rPr>
        <w:t>；也可能以規則自動化直接產生法律效果，而沒有使用機器學習。本文聚焦</w:t>
      </w:r>
      <w:r>
        <w:rPr>
          <w:rFonts w:ascii="微軟正黑體" w:eastAsia="微軟正黑體" w:hAnsi="微軟正黑體" w:cs="微軟正黑體"/>
          <w:sz w:val="22"/>
        </w:rPr>
        <w:t>P1</w:t>
      </w:r>
      <w:r>
        <w:rPr>
          <w:rFonts w:ascii="微軟正黑體" w:eastAsia="微軟正黑體" w:hAnsi="微軟正黑體" w:cs="微軟正黑體"/>
          <w:sz w:val="22"/>
        </w:rPr>
        <w:t>，並把</w:t>
      </w:r>
      <w:r>
        <w:rPr>
          <w:rFonts w:ascii="微軟正黑體" w:eastAsia="微軟正黑體" w:hAnsi="微軟正黑體" w:cs="微軟正黑體"/>
          <w:sz w:val="22"/>
        </w:rPr>
        <w:t>P2</w:t>
      </w:r>
      <w:r>
        <w:rPr>
          <w:rFonts w:ascii="微軟正黑體" w:eastAsia="微軟正黑體" w:hAnsi="微軟正黑體" w:cs="微軟正黑體"/>
          <w:sz w:val="22"/>
        </w:rPr>
        <w:t>與</w:t>
      </w:r>
      <w:r>
        <w:rPr>
          <w:rFonts w:ascii="微軟正黑體" w:eastAsia="微軟正黑體" w:hAnsi="微軟正黑體" w:cs="微軟正黑體"/>
          <w:sz w:val="22"/>
        </w:rPr>
        <w:t>P3</w:t>
      </w:r>
      <w:r>
        <w:rPr>
          <w:rFonts w:ascii="微軟正黑體" w:eastAsia="微軟正黑體" w:hAnsi="微軟正黑體" w:cs="微軟正黑體"/>
          <w:sz w:val="22"/>
        </w:rPr>
        <w:t>視為可能的後續傳導，而非另行建立完整量表。</w:t>
      </w:r>
    </w:p>
    <w:p w:rsidR="00035E70" w:rsidRDefault="000B3CAA">
      <w:pPr>
        <w:pStyle w:val="2"/>
        <w:spacing w:before="260" w:after="140"/>
      </w:pPr>
      <w:r>
        <w:rPr>
          <w:rFonts w:ascii="微軟正黑體" w:eastAsia="微軟正黑體" w:hAnsi="微軟正黑體" w:cs="微軟正黑體"/>
          <w:b/>
          <w:sz w:val="24"/>
        </w:rPr>
        <w:t>三、三項結構效應：辨識權力移轉的制度結果</w:t>
      </w:r>
    </w:p>
    <w:p w:rsidR="00035E70" w:rsidRDefault="000B3CAA">
      <w:pPr>
        <w:spacing w:after="160" w:line="300" w:lineRule="auto"/>
        <w:jc w:val="both"/>
      </w:pPr>
      <w:r>
        <w:rPr>
          <w:rFonts w:ascii="微軟正黑體" w:eastAsia="微軟正黑體" w:hAnsi="微軟正黑體" w:cs="微軟正黑體"/>
          <w:sz w:val="22"/>
        </w:rPr>
        <w:t>權力移轉可能產生三項結構效應：</w:t>
      </w:r>
    </w:p>
    <w:p w:rsidR="00035E70" w:rsidRDefault="000B3CAA">
      <w:pPr>
        <w:spacing w:after="120" w:line="300" w:lineRule="auto"/>
        <w:ind w:left="420" w:hanging="420"/>
        <w:jc w:val="both"/>
      </w:pPr>
      <w:r>
        <w:rPr>
          <w:rFonts w:ascii="微軟正黑體" w:eastAsia="微軟正黑體" w:hAnsi="微軟正黑體" w:cs="微軟正黑體"/>
          <w:sz w:val="22"/>
        </w:rPr>
        <w:t xml:space="preserve">1. </w:t>
      </w:r>
      <w:r>
        <w:rPr>
          <w:rFonts w:ascii="微軟正黑體" w:eastAsia="微軟正黑體" w:hAnsi="微軟正黑體" w:cs="微軟正黑體"/>
          <w:sz w:val="22"/>
        </w:rPr>
        <w:t>跨座標移動：</w:t>
      </w:r>
      <w:r>
        <w:rPr>
          <w:rFonts w:ascii="微軟正黑體" w:eastAsia="微軟正黑體" w:hAnsi="微軟正黑體" w:cs="微軟正黑體"/>
          <w:sz w:val="22"/>
        </w:rPr>
        <w:t xml:space="preserve"> AI</w:t>
      </w:r>
      <w:r>
        <w:rPr>
          <w:rFonts w:ascii="微軟正黑體" w:eastAsia="微軟正黑體" w:hAnsi="微軟正黑體" w:cs="微軟正黑體"/>
          <w:sz w:val="22"/>
        </w:rPr>
        <w:t>由管理運作層</w:t>
      </w:r>
      <w:r>
        <w:rPr>
          <w:rFonts w:ascii="微軟正黑體" w:eastAsia="微軟正黑體" w:hAnsi="微軟正黑體" w:cs="微軟正黑體"/>
          <w:sz w:val="22"/>
        </w:rPr>
        <w:t>的個案處理，向政策體系、制度分工、社會或其他單位擴張。</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邊界消解：</w:t>
      </w:r>
      <w:r>
        <w:rPr>
          <w:rFonts w:ascii="微軟正黑體" w:eastAsia="微軟正黑體" w:hAnsi="微軟正黑體" w:cs="微軟正黑體"/>
          <w:sz w:val="22"/>
        </w:rPr>
        <w:t xml:space="preserve"> </w:t>
      </w:r>
      <w:r>
        <w:rPr>
          <w:rFonts w:ascii="微軟正黑體" w:eastAsia="微軟正黑體" w:hAnsi="微軟正黑體" w:cs="微軟正黑體"/>
          <w:sz w:val="22"/>
        </w:rPr>
        <w:t>人的判斷、技術規則、組織程序與政策形成難以清楚區分。</w:t>
      </w:r>
    </w:p>
    <w:p w:rsidR="00035E70" w:rsidRDefault="000B3CAA">
      <w:pPr>
        <w:spacing w:after="120" w:line="300" w:lineRule="auto"/>
        <w:ind w:left="420" w:hanging="420"/>
        <w:jc w:val="both"/>
      </w:pPr>
      <w:r>
        <w:rPr>
          <w:rFonts w:ascii="微軟正黑體" w:eastAsia="微軟正黑體" w:hAnsi="微軟正黑體" w:cs="微軟正黑體"/>
          <w:sz w:val="22"/>
        </w:rPr>
        <w:t xml:space="preserve">3. </w:t>
      </w:r>
      <w:r>
        <w:rPr>
          <w:rFonts w:ascii="微軟正黑體" w:eastAsia="微軟正黑體" w:hAnsi="微軟正黑體" w:cs="微軟正黑體"/>
          <w:sz w:val="22"/>
        </w:rPr>
        <w:t>權威重構：</w:t>
      </w:r>
      <w:r>
        <w:rPr>
          <w:rFonts w:ascii="微軟正黑體" w:eastAsia="微軟正黑體" w:hAnsi="微軟正黑體" w:cs="微軟正黑體"/>
          <w:sz w:val="22"/>
        </w:rPr>
        <w:t xml:space="preserve"> </w:t>
      </w:r>
      <w:r>
        <w:rPr>
          <w:rFonts w:ascii="微軟正黑體" w:eastAsia="微軟正黑體" w:hAnsi="微軟正黑體" w:cs="微軟正黑體"/>
          <w:sz w:val="22"/>
        </w:rPr>
        <w:t>法定決定者與實際影響結果的模型、資料人員、供應商或系統整合者不再重合。</w:t>
      </w:r>
    </w:p>
    <w:p w:rsidR="00035E70" w:rsidRDefault="000B3CAA">
      <w:pPr>
        <w:spacing w:after="160" w:line="300" w:lineRule="auto"/>
        <w:jc w:val="both"/>
      </w:pPr>
      <w:r>
        <w:rPr>
          <w:rFonts w:ascii="微軟正黑體" w:eastAsia="微軟正黑體" w:hAnsi="微軟正黑體" w:cs="微軟正黑體"/>
          <w:sz w:val="22"/>
        </w:rPr>
        <w:t>三項結構效應是被觀察的制度結果，不與三種權力移轉合併。權力移轉回答「透過什麼機制」，結構效應回答「造成什麼變化」。</w:t>
      </w:r>
    </w:p>
    <w:p w:rsidR="00035E70" w:rsidRDefault="000B3CAA">
      <w:pPr>
        <w:pStyle w:val="2"/>
        <w:spacing w:before="260" w:after="140"/>
      </w:pPr>
      <w:r>
        <w:rPr>
          <w:rFonts w:ascii="微軟正黑體" w:eastAsia="微軟正黑體" w:hAnsi="微軟正黑體" w:cs="微軟正黑體"/>
          <w:b/>
          <w:sz w:val="24"/>
        </w:rPr>
        <w:t>四、四條治理鏈：追蹤正當性是否連續</w:t>
      </w:r>
    </w:p>
    <w:p w:rsidR="00035E70" w:rsidRDefault="000B3CAA">
      <w:pPr>
        <w:spacing w:after="160" w:line="300" w:lineRule="auto"/>
        <w:jc w:val="both"/>
      </w:pPr>
      <w:r>
        <w:rPr>
          <w:rFonts w:ascii="微軟正黑體" w:eastAsia="微軟正黑體" w:hAnsi="微軟正黑體" w:cs="微軟正黑體"/>
          <w:sz w:val="22"/>
        </w:rPr>
        <w:lastRenderedPageBreak/>
        <w:t>四條治理鏈依序為：</w:t>
      </w:r>
    </w:p>
    <w:p w:rsidR="00035E70" w:rsidRDefault="000B3CAA">
      <w:pPr>
        <w:spacing w:after="120" w:line="300" w:lineRule="auto"/>
        <w:ind w:left="420" w:hanging="420"/>
        <w:jc w:val="both"/>
      </w:pPr>
      <w:r>
        <w:rPr>
          <w:rFonts w:ascii="微軟正黑體" w:eastAsia="微軟正黑體" w:hAnsi="微軟正黑體" w:cs="微軟正黑體"/>
          <w:sz w:val="22"/>
        </w:rPr>
        <w:t xml:space="preserve">1. </w:t>
      </w:r>
      <w:r>
        <w:rPr>
          <w:rFonts w:ascii="微軟正黑體" w:eastAsia="微軟正黑體" w:hAnsi="微軟正黑體" w:cs="微軟正黑體"/>
          <w:sz w:val="22"/>
        </w:rPr>
        <w:t>情境</w:t>
      </w:r>
      <w:proofErr w:type="gramStart"/>
      <w:r>
        <w:rPr>
          <w:rFonts w:ascii="微軟正黑體" w:eastAsia="微軟正黑體" w:hAnsi="微軟正黑體" w:cs="微軟正黑體"/>
          <w:sz w:val="22"/>
        </w:rPr>
        <w:t>建構鏈</w:t>
      </w:r>
      <w:proofErr w:type="gramEnd"/>
      <w:r>
        <w:rPr>
          <w:rFonts w:ascii="微軟正黑體" w:eastAsia="微軟正黑體" w:hAnsi="微軟正黑體" w:cs="微軟正黑體"/>
          <w:sz w:val="22"/>
        </w:rPr>
        <w:t>：</w:t>
      </w:r>
      <w:r>
        <w:rPr>
          <w:rFonts w:ascii="微軟正黑體" w:eastAsia="微軟正黑體" w:hAnsi="微軟正黑體" w:cs="微軟正黑體"/>
          <w:sz w:val="22"/>
        </w:rPr>
        <w:t xml:space="preserve"> </w:t>
      </w:r>
      <w:r>
        <w:rPr>
          <w:rFonts w:ascii="微軟正黑體" w:eastAsia="微軟正黑體" w:hAnsi="微軟正黑體" w:cs="微軟正黑體"/>
          <w:sz w:val="22"/>
        </w:rPr>
        <w:t>問題、資料、分類、標籤與</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值如何形成。</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權威鏈：</w:t>
      </w:r>
      <w:r>
        <w:rPr>
          <w:rFonts w:ascii="微軟正黑體" w:eastAsia="微軟正黑體" w:hAnsi="微軟正黑體" w:cs="微軟正黑體"/>
          <w:sz w:val="22"/>
        </w:rPr>
        <w:t xml:space="preserve"> </w:t>
      </w:r>
      <w:r>
        <w:rPr>
          <w:rFonts w:ascii="微軟正黑體" w:eastAsia="微軟正黑體" w:hAnsi="微軟正黑體" w:cs="微軟正黑體"/>
          <w:sz w:val="22"/>
        </w:rPr>
        <w:t>每一決策環節的法源、授權範圍與具名決定者。</w:t>
      </w:r>
    </w:p>
    <w:p w:rsidR="00035E70" w:rsidRDefault="000B3CAA">
      <w:pPr>
        <w:spacing w:after="120" w:line="300" w:lineRule="auto"/>
        <w:ind w:left="420" w:hanging="420"/>
        <w:jc w:val="both"/>
      </w:pPr>
      <w:r>
        <w:rPr>
          <w:rFonts w:ascii="微軟正黑體" w:eastAsia="微軟正黑體" w:hAnsi="微軟正黑體" w:cs="微軟正黑體"/>
          <w:sz w:val="22"/>
        </w:rPr>
        <w:t>3</w:t>
      </w:r>
      <w:r>
        <w:rPr>
          <w:rFonts w:ascii="微軟正黑體" w:eastAsia="微軟正黑體" w:hAnsi="微軟正黑體" w:cs="微軟正黑體"/>
          <w:sz w:val="22"/>
        </w:rPr>
        <w:t xml:space="preserve">. </w:t>
      </w:r>
      <w:r>
        <w:rPr>
          <w:rFonts w:ascii="微軟正黑體" w:eastAsia="微軟正黑體" w:hAnsi="微軟正黑體" w:cs="微軟正黑體"/>
          <w:sz w:val="22"/>
        </w:rPr>
        <w:t>理由鏈：</w:t>
      </w:r>
      <w:r>
        <w:rPr>
          <w:rFonts w:ascii="微軟正黑體" w:eastAsia="微軟正黑體" w:hAnsi="微軟正黑體" w:cs="微軟正黑體"/>
          <w:sz w:val="22"/>
        </w:rPr>
        <w:t xml:space="preserve"> </w:t>
      </w:r>
      <w:r>
        <w:rPr>
          <w:rFonts w:ascii="微軟正黑體" w:eastAsia="微軟正黑體" w:hAnsi="微軟正黑體" w:cs="微軟正黑體"/>
          <w:sz w:val="22"/>
        </w:rPr>
        <w:t>決定能否連回事實、資料、模型、規範與價值判斷。</w:t>
      </w:r>
    </w:p>
    <w:p w:rsidR="00035E70" w:rsidRDefault="000B3CAA">
      <w:pPr>
        <w:spacing w:after="120" w:line="300" w:lineRule="auto"/>
        <w:ind w:left="420" w:hanging="420"/>
        <w:jc w:val="both"/>
      </w:pPr>
      <w:r>
        <w:rPr>
          <w:rFonts w:ascii="微軟正黑體" w:eastAsia="微軟正黑體" w:hAnsi="微軟正黑體" w:cs="微軟正黑體"/>
          <w:sz w:val="22"/>
        </w:rPr>
        <w:t xml:space="preserve">4. </w:t>
      </w:r>
      <w:r>
        <w:rPr>
          <w:rFonts w:ascii="微軟正黑體" w:eastAsia="微軟正黑體" w:hAnsi="微軟正黑體" w:cs="微軟正黑體"/>
          <w:sz w:val="22"/>
        </w:rPr>
        <w:t>責任鏈：</w:t>
      </w:r>
      <w:r>
        <w:rPr>
          <w:rFonts w:ascii="微軟正黑體" w:eastAsia="微軟正黑體" w:hAnsi="微軟正黑體" w:cs="微軟正黑體"/>
          <w:sz w:val="22"/>
        </w:rPr>
        <w:t xml:space="preserve"> </w:t>
      </w:r>
      <w:r>
        <w:rPr>
          <w:rFonts w:ascii="微軟正黑體" w:eastAsia="微軟正黑體" w:hAnsi="微軟正黑體" w:cs="微軟正黑體"/>
          <w:sz w:val="22"/>
        </w:rPr>
        <w:t>錯誤或傷害發生時，</w:t>
      </w:r>
      <w:proofErr w:type="gramStart"/>
      <w:r>
        <w:rPr>
          <w:rFonts w:ascii="微軟正黑體" w:eastAsia="微軟正黑體" w:hAnsi="微軟正黑體" w:cs="微軟正黑體"/>
          <w:sz w:val="22"/>
        </w:rPr>
        <w:t>誰須回答</w:t>
      </w:r>
      <w:proofErr w:type="gramEnd"/>
      <w:r>
        <w:rPr>
          <w:rFonts w:ascii="微軟正黑體" w:eastAsia="微軟正黑體" w:hAnsi="微軟正黑體" w:cs="微軟正黑體"/>
          <w:sz w:val="22"/>
        </w:rPr>
        <w:t>、修正、救濟並承擔後果。</w:t>
      </w:r>
    </w:p>
    <w:p w:rsidR="00035E70" w:rsidRDefault="000B3CAA">
      <w:pPr>
        <w:spacing w:after="160" w:line="300" w:lineRule="auto"/>
        <w:jc w:val="both"/>
      </w:pPr>
      <w:r>
        <w:rPr>
          <w:rFonts w:ascii="微軟正黑體" w:eastAsia="微軟正黑體" w:hAnsi="微軟正黑體" w:cs="微軟正黑體"/>
          <w:sz w:val="22"/>
        </w:rPr>
        <w:t>情境</w:t>
      </w:r>
      <w:proofErr w:type="gramStart"/>
      <w:r>
        <w:rPr>
          <w:rFonts w:ascii="微軟正黑體" w:eastAsia="微軟正黑體" w:hAnsi="微軟正黑體" w:cs="微軟正黑體"/>
          <w:sz w:val="22"/>
        </w:rPr>
        <w:t>建構鏈具有</w:t>
      </w:r>
      <w:proofErr w:type="gramEnd"/>
      <w:r>
        <w:rPr>
          <w:rFonts w:ascii="微軟正黑體" w:eastAsia="微軟正黑體" w:hAnsi="微軟正黑體" w:cs="微軟正黑體"/>
          <w:sz w:val="22"/>
        </w:rPr>
        <w:t>邏輯上的前置地位，但不表示其可取代後三鏈。本文的核心命題是：</w:t>
      </w:r>
      <w:r>
        <w:rPr>
          <w:rFonts w:ascii="微軟正黑體" w:eastAsia="微軟正黑體" w:hAnsi="微軟正黑體" w:cs="微軟正黑體"/>
          <w:sz w:val="22"/>
        </w:rPr>
        <w:t>P1</w:t>
      </w:r>
      <w:r>
        <w:rPr>
          <w:rFonts w:ascii="微軟正黑體" w:eastAsia="微軟正黑體" w:hAnsi="微軟正黑體" w:cs="微軟正黑體"/>
          <w:sz w:val="22"/>
        </w:rPr>
        <w:t>暴露愈高，情境建</w:t>
      </w:r>
      <w:proofErr w:type="gramStart"/>
      <w:r>
        <w:rPr>
          <w:rFonts w:ascii="微軟正黑體" w:eastAsia="微軟正黑體" w:hAnsi="微軟正黑體" w:cs="微軟正黑體"/>
          <w:sz w:val="22"/>
        </w:rPr>
        <w:t>構鏈愈</w:t>
      </w:r>
      <w:proofErr w:type="gramEnd"/>
      <w:r>
        <w:rPr>
          <w:rFonts w:ascii="微軟正黑體" w:eastAsia="微軟正黑體" w:hAnsi="微軟正黑體" w:cs="微軟正黑體"/>
          <w:sz w:val="22"/>
        </w:rPr>
        <w:t>需要接受民主檢視；若</w:t>
      </w:r>
      <w:r>
        <w:rPr>
          <w:rFonts w:ascii="微軟正黑體" w:eastAsia="微軟正黑體" w:hAnsi="微軟正黑體" w:cs="微軟正黑體"/>
          <w:sz w:val="22"/>
        </w:rPr>
        <w:t>C1</w:t>
      </w:r>
      <w:r>
        <w:rPr>
          <w:rFonts w:ascii="微軟正黑體" w:eastAsia="微軟正黑體" w:hAnsi="微軟正黑體" w:cs="微軟正黑體"/>
          <w:sz w:val="22"/>
        </w:rPr>
        <w:t>完整度不足，後三鏈即可能在不穩固的情境基礎上運作。</w:t>
      </w:r>
    </w:p>
    <w:p w:rsidR="00035E70" w:rsidRDefault="000B3CAA">
      <w:pPr>
        <w:pStyle w:val="2"/>
        <w:spacing w:before="260" w:after="140"/>
      </w:pPr>
      <w:r>
        <w:t>五、七項治理審計：查核制度與證據</w:t>
      </w:r>
    </w:p>
    <w:p w:rsidR="00035E70" w:rsidRDefault="000B3CAA">
      <w:pPr>
        <w:spacing w:after="160" w:line="300" w:lineRule="auto"/>
        <w:jc w:val="both"/>
      </w:pPr>
      <w:r>
        <w:t>本文統一採用下列七項治理審計：</w:t>
      </w:r>
    </w:p>
    <w:p w:rsidR="00035E70" w:rsidRDefault="000B3CAA">
      <w:pPr>
        <w:spacing w:after="120" w:line="300" w:lineRule="auto"/>
        <w:ind w:left="420" w:hanging="420"/>
        <w:jc w:val="both"/>
      </w:pPr>
      <w:r>
        <w:t xml:space="preserve">1. </w:t>
      </w:r>
      <w:r>
        <w:t>資料代表性審計；</w:t>
      </w:r>
    </w:p>
    <w:p w:rsidR="00035E70" w:rsidRDefault="000B3CAA">
      <w:pPr>
        <w:spacing w:after="120" w:line="300" w:lineRule="auto"/>
        <w:ind w:left="420" w:hanging="420"/>
        <w:jc w:val="both"/>
      </w:pPr>
      <w:r>
        <w:t xml:space="preserve">2. </w:t>
      </w:r>
      <w:r>
        <w:t>理由說明審計；</w:t>
      </w:r>
    </w:p>
    <w:p w:rsidR="00035E70" w:rsidRDefault="000B3CAA">
      <w:pPr>
        <w:spacing w:after="120" w:line="300" w:lineRule="auto"/>
        <w:ind w:left="420" w:hanging="420"/>
        <w:jc w:val="both"/>
      </w:pPr>
      <w:r>
        <w:t xml:space="preserve">3. </w:t>
      </w:r>
      <w:r>
        <w:t>責任歸屬審計；</w:t>
      </w:r>
    </w:p>
    <w:p w:rsidR="00035E70" w:rsidRDefault="000B3CAA">
      <w:pPr>
        <w:spacing w:after="120" w:line="300" w:lineRule="auto"/>
        <w:ind w:left="420" w:hanging="420"/>
        <w:jc w:val="both"/>
      </w:pPr>
      <w:r>
        <w:t xml:space="preserve">4. </w:t>
      </w:r>
      <w:r>
        <w:t>隱私</w:t>
      </w:r>
      <w:proofErr w:type="gramStart"/>
      <w:r>
        <w:t>與資安審計</w:t>
      </w:r>
      <w:proofErr w:type="gramEnd"/>
      <w:r>
        <w:t>；</w:t>
      </w:r>
    </w:p>
    <w:p w:rsidR="00035E70" w:rsidRDefault="000B3CAA">
      <w:pPr>
        <w:spacing w:after="120" w:line="300" w:lineRule="auto"/>
        <w:ind w:left="420" w:hanging="420"/>
        <w:jc w:val="both"/>
      </w:pPr>
      <w:r>
        <w:t xml:space="preserve">5. </w:t>
      </w:r>
      <w:r>
        <w:t>裁量邊界審計；</w:t>
      </w:r>
    </w:p>
    <w:p w:rsidR="00035E70" w:rsidRDefault="000B3CAA">
      <w:pPr>
        <w:spacing w:after="120" w:line="300" w:lineRule="auto"/>
        <w:ind w:left="420" w:hanging="420"/>
        <w:jc w:val="both"/>
      </w:pPr>
      <w:r>
        <w:t xml:space="preserve">6. </w:t>
      </w:r>
      <w:r>
        <w:t>組織能力審計；</w:t>
      </w:r>
    </w:p>
    <w:p w:rsidR="00035E70" w:rsidRDefault="000B3CAA">
      <w:pPr>
        <w:spacing w:after="120" w:line="300" w:lineRule="auto"/>
        <w:ind w:left="420" w:hanging="420"/>
        <w:jc w:val="both"/>
      </w:pPr>
      <w:r>
        <w:t>7.</w:t>
      </w:r>
      <w:r>
        <w:t xml:space="preserve"> </w:t>
      </w:r>
      <w:proofErr w:type="gramStart"/>
      <w:r>
        <w:t>民主課責審計</w:t>
      </w:r>
      <w:proofErr w:type="gramEnd"/>
      <w:r>
        <w:t>。</w:t>
      </w:r>
    </w:p>
    <w:p w:rsidR="00035E70" w:rsidRDefault="000B3CAA">
      <w:pPr>
        <w:spacing w:after="160" w:line="300" w:lineRule="auto"/>
        <w:jc w:val="both"/>
      </w:pPr>
      <w:r>
        <w:t>七項審計不是四鏈的替代品。四鏈追蹤正當性關係，七審計指定需要查核的證據。本文的</w:t>
      </w:r>
      <w:r>
        <w:t>C1</w:t>
      </w:r>
      <w:r>
        <w:t>十二指標則是對四鏈之</w:t>
      </w:r>
      <w:proofErr w:type="gramStart"/>
      <w:r>
        <w:t>一</w:t>
      </w:r>
      <w:proofErr w:type="gramEnd"/>
      <w:r>
        <w:t>——</w:t>
      </w:r>
      <w:r>
        <w:t>情境建構鏈</w:t>
      </w:r>
      <w:r>
        <w:t>——</w:t>
      </w:r>
      <w:r>
        <w:t>所作的專門操作化。三者層級不同。</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2</w:t>
      </w:r>
      <w:r>
        <w:rPr>
          <w:rFonts w:ascii="微軟正黑體" w:eastAsia="微軟正黑體" w:hAnsi="微軟正黑體" w:cs="微軟正黑體"/>
          <w:b/>
          <w:sz w:val="22"/>
        </w:rPr>
        <w:t xml:space="preserve">　共同母架構的</w:t>
      </w:r>
      <w:r>
        <w:rPr>
          <w:rFonts w:ascii="微軟正黑體" w:eastAsia="微軟正黑體" w:hAnsi="微軟正黑體" w:cs="微軟正黑體"/>
          <w:b/>
          <w:sz w:val="22"/>
        </w:rPr>
        <w:t>Context</w:t>
      </w:r>
      <w:r>
        <w:rPr>
          <w:rFonts w:ascii="微軟正黑體" w:eastAsia="微軟正黑體" w:hAnsi="微軟正黑體" w:cs="微軟正黑體"/>
          <w:b/>
          <w:sz w:val="22"/>
        </w:rPr>
        <w:t>／</w:t>
      </w:r>
      <w:r>
        <w:rPr>
          <w:rFonts w:ascii="微軟正黑體" w:eastAsia="微軟正黑體" w:hAnsi="微軟正黑體" w:cs="微軟正黑體"/>
          <w:b/>
          <w:sz w:val="22"/>
        </w:rPr>
        <w:t>Focus</w:t>
      </w:r>
      <w:r>
        <w:rPr>
          <w:rFonts w:ascii="微軟正黑體" w:eastAsia="微軟正黑體" w:hAnsi="微軟正黑體" w:cs="微軟正黑體"/>
          <w:b/>
          <w:sz w:val="22"/>
        </w:rPr>
        <w:t>分工</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3600"/>
        <w:gridCol w:w="3500"/>
      </w:tblGrid>
      <w:tr w:rsidR="00035E70">
        <w:tblPrEx>
          <w:tblCellMar>
            <w:top w:w="0" w:type="dxa"/>
            <w:bottom w:w="0" w:type="dxa"/>
          </w:tblCellMar>
        </w:tblPrEx>
        <w:trPr>
          <w:tblHeader/>
        </w:trPr>
        <w:tc>
          <w:tcPr>
            <w:tcW w:w="18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母架構層次</w:t>
            </w:r>
          </w:p>
        </w:tc>
        <w:tc>
          <w:tcPr>
            <w:tcW w:w="36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本文定位</w:t>
            </w:r>
          </w:p>
        </w:tc>
        <w:tc>
          <w:tcPr>
            <w:tcW w:w="35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實際用途</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25</w:t>
            </w:r>
            <w:r>
              <w:rPr>
                <w:rFonts w:ascii="微軟正黑體" w:eastAsia="微軟正黑體" w:hAnsi="微軟正黑體" w:cs="微軟正黑體"/>
                <w:color w:val="000000"/>
                <w:sz w:val="21"/>
                <w:szCs w:val="21"/>
              </w:rPr>
              <w:t>格</w:t>
            </w:r>
          </w:p>
        </w:tc>
        <w:tc>
          <w:tcPr>
            <w:tcW w:w="3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Context</w:t>
            </w:r>
          </w:p>
        </w:tc>
        <w:tc>
          <w:tcPr>
            <w:tcW w:w="3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定位案例的起始與延伸格位；不計分</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三種權力移轉</w:t>
            </w:r>
          </w:p>
        </w:tc>
        <w:tc>
          <w:tcPr>
            <w:tcW w:w="3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w:t>
            </w:r>
            <w:r>
              <w:rPr>
                <w:rFonts w:ascii="微軟正黑體" w:eastAsia="微軟正黑體" w:hAnsi="微軟正黑體" w:cs="微軟正黑體"/>
                <w:color w:val="000000"/>
                <w:sz w:val="21"/>
                <w:szCs w:val="21"/>
              </w:rPr>
              <w:t>為</w:t>
            </w:r>
            <w:r>
              <w:rPr>
                <w:rFonts w:ascii="微軟正黑體" w:eastAsia="微軟正黑體" w:hAnsi="微軟正黑體" w:cs="微軟正黑體"/>
                <w:color w:val="000000"/>
                <w:sz w:val="21"/>
                <w:szCs w:val="21"/>
              </w:rPr>
              <w:t>Focus</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P2</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P3</w:t>
            </w:r>
            <w:r>
              <w:rPr>
                <w:rFonts w:ascii="微軟正黑體" w:eastAsia="微軟正黑體" w:hAnsi="微軟正黑體" w:cs="微軟正黑體"/>
                <w:color w:val="000000"/>
                <w:sz w:val="21"/>
                <w:szCs w:val="21"/>
              </w:rPr>
              <w:t>為</w:t>
            </w:r>
            <w:r>
              <w:rPr>
                <w:rFonts w:ascii="微軟正黑體" w:eastAsia="微軟正黑體" w:hAnsi="微軟正黑體" w:cs="微軟正黑體"/>
                <w:color w:val="000000"/>
                <w:sz w:val="21"/>
                <w:szCs w:val="21"/>
              </w:rPr>
              <w:t>Context</w:t>
            </w:r>
          </w:p>
        </w:tc>
        <w:tc>
          <w:tcPr>
            <w:tcW w:w="3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以</w:t>
            </w:r>
            <w:r>
              <w:rPr>
                <w:rFonts w:ascii="微軟正黑體" w:eastAsia="微軟正黑體" w:hAnsi="微軟正黑體" w:cs="微軟正黑體"/>
                <w:color w:val="000000"/>
                <w:sz w:val="21"/>
                <w:szCs w:val="21"/>
              </w:rPr>
              <w:t>P1</w:t>
            </w:r>
            <w:proofErr w:type="gramStart"/>
            <w:r>
              <w:rPr>
                <w:rFonts w:ascii="微軟正黑體" w:eastAsia="微軟正黑體" w:hAnsi="微軟正黑體" w:cs="微軟正黑體"/>
                <w:color w:val="000000"/>
                <w:sz w:val="21"/>
                <w:szCs w:val="21"/>
              </w:rPr>
              <w:t>五</w:t>
            </w:r>
            <w:proofErr w:type="gramEnd"/>
            <w:r>
              <w:rPr>
                <w:rFonts w:ascii="微軟正黑體" w:eastAsia="微軟正黑體" w:hAnsi="微軟正黑體" w:cs="微軟正黑體"/>
                <w:color w:val="000000"/>
                <w:sz w:val="21"/>
                <w:szCs w:val="21"/>
              </w:rPr>
              <w:t>指標計分；</w:t>
            </w:r>
            <w:r>
              <w:rPr>
                <w:rFonts w:ascii="微軟正黑體" w:eastAsia="微軟正黑體" w:hAnsi="微軟正黑體" w:cs="微軟正黑體"/>
                <w:color w:val="000000"/>
                <w:sz w:val="21"/>
                <w:szCs w:val="21"/>
              </w:rPr>
              <w:t>P2</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P3</w:t>
            </w:r>
            <w:r>
              <w:rPr>
                <w:rFonts w:ascii="微軟正黑體" w:eastAsia="微軟正黑體" w:hAnsi="微軟正黑體" w:cs="微軟正黑體"/>
                <w:color w:val="000000"/>
                <w:sz w:val="21"/>
                <w:szCs w:val="21"/>
              </w:rPr>
              <w:t>只追蹤後續傳導</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三項結構效應</w:t>
            </w:r>
          </w:p>
        </w:tc>
        <w:tc>
          <w:tcPr>
            <w:tcW w:w="3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Context</w:t>
            </w:r>
          </w:p>
        </w:tc>
        <w:tc>
          <w:tcPr>
            <w:tcW w:w="35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解釋跨格</w:t>
            </w:r>
            <w:proofErr w:type="gramEnd"/>
            <w:r>
              <w:rPr>
                <w:rFonts w:ascii="微軟正黑體" w:eastAsia="微軟正黑體" w:hAnsi="微軟正黑體" w:cs="微軟正黑體"/>
                <w:color w:val="000000"/>
                <w:sz w:val="21"/>
                <w:szCs w:val="21"/>
              </w:rPr>
              <w:t>、邊界與權威重構；不計分</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四條治理鏈</w:t>
            </w:r>
          </w:p>
        </w:tc>
        <w:tc>
          <w:tcPr>
            <w:tcW w:w="3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情境</w:t>
            </w:r>
            <w:proofErr w:type="gramStart"/>
            <w:r>
              <w:rPr>
                <w:rFonts w:ascii="微軟正黑體" w:eastAsia="微軟正黑體" w:hAnsi="微軟正黑體" w:cs="微軟正黑體"/>
                <w:color w:val="000000"/>
                <w:sz w:val="21"/>
                <w:szCs w:val="21"/>
              </w:rPr>
              <w:t>建構鏈為</w:t>
            </w:r>
            <w:proofErr w:type="gramEnd"/>
            <w:r>
              <w:rPr>
                <w:rFonts w:ascii="微軟正黑體" w:eastAsia="微軟正黑體" w:hAnsi="微軟正黑體" w:cs="微軟正黑體"/>
                <w:color w:val="000000"/>
                <w:sz w:val="21"/>
                <w:szCs w:val="21"/>
              </w:rPr>
              <w:t>Focus</w:t>
            </w:r>
            <w:r>
              <w:rPr>
                <w:rFonts w:ascii="微軟正黑體" w:eastAsia="微軟正黑體" w:hAnsi="微軟正黑體" w:cs="微軟正黑體"/>
                <w:color w:val="000000"/>
                <w:sz w:val="21"/>
                <w:szCs w:val="21"/>
              </w:rPr>
              <w:t>；後三鏈為</w:t>
            </w:r>
            <w:r>
              <w:rPr>
                <w:rFonts w:ascii="微軟正黑體" w:eastAsia="微軟正黑體" w:hAnsi="微軟正黑體" w:cs="微軟正黑體"/>
                <w:color w:val="000000"/>
                <w:sz w:val="21"/>
                <w:szCs w:val="21"/>
              </w:rPr>
              <w:t>Context</w:t>
            </w:r>
          </w:p>
        </w:tc>
        <w:tc>
          <w:tcPr>
            <w:tcW w:w="3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以</w:t>
            </w:r>
            <w:r>
              <w:rPr>
                <w:rFonts w:ascii="微軟正黑體" w:eastAsia="微軟正黑體" w:hAnsi="微軟正黑體" w:cs="微軟正黑體"/>
                <w:color w:val="000000"/>
                <w:sz w:val="21"/>
                <w:szCs w:val="21"/>
              </w:rPr>
              <w:t>C1</w:t>
            </w:r>
            <w:r>
              <w:rPr>
                <w:rFonts w:ascii="微軟正黑體" w:eastAsia="微軟正黑體" w:hAnsi="微軟正黑體" w:cs="微軟正黑體"/>
                <w:color w:val="000000"/>
                <w:sz w:val="21"/>
                <w:szCs w:val="21"/>
              </w:rPr>
              <w:t>十二指標測量前者；後三鏈作結果追蹤</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t>七項治理審計</w:t>
            </w:r>
          </w:p>
        </w:tc>
        <w:tc>
          <w:tcPr>
            <w:tcW w:w="3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Context</w:t>
            </w:r>
          </w:p>
        </w:tc>
        <w:tc>
          <w:tcPr>
            <w:tcW w:w="3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僅供證據查漏；不與</w:t>
            </w:r>
            <w:r>
              <w:rPr>
                <w:rFonts w:ascii="微軟正黑體" w:eastAsia="微軟正黑體" w:hAnsi="微軟正黑體" w:cs="微軟正黑體"/>
                <w:color w:val="000000"/>
                <w:sz w:val="21"/>
                <w:szCs w:val="21"/>
              </w:rPr>
              <w:t>C1</w:t>
            </w:r>
            <w:r>
              <w:rPr>
                <w:rFonts w:ascii="微軟正黑體" w:eastAsia="微軟正黑體" w:hAnsi="微軟正黑體" w:cs="微軟正黑體"/>
                <w:color w:val="000000"/>
                <w:sz w:val="21"/>
                <w:szCs w:val="21"/>
              </w:rPr>
              <w:t>逐項對應或另行計分</w:t>
            </w:r>
          </w:p>
        </w:tc>
      </w:tr>
    </w:tbl>
    <w:p w:rsidR="00035E70" w:rsidRDefault="000B3CAA">
      <w:pPr>
        <w:spacing w:after="160" w:line="300" w:lineRule="auto"/>
        <w:jc w:val="both"/>
      </w:pPr>
      <w:r>
        <w:rPr>
          <w:rFonts w:ascii="微軟正黑體" w:eastAsia="微軟正黑體" w:hAnsi="微軟正黑體" w:cs="微軟正黑體"/>
          <w:sz w:val="22"/>
        </w:rPr>
        <w:t>換言之，讀者在肆、</w:t>
      </w:r>
      <w:proofErr w:type="gramStart"/>
      <w:r>
        <w:rPr>
          <w:rFonts w:ascii="微軟正黑體" w:eastAsia="微軟正黑體" w:hAnsi="微軟正黑體" w:cs="微軟正黑體"/>
          <w:sz w:val="22"/>
        </w:rPr>
        <w:t>伍節只須沿</w:t>
      </w:r>
      <w:proofErr w:type="gramEnd"/>
      <w:r>
        <w:rPr>
          <w:rFonts w:ascii="微軟正黑體" w:eastAsia="微軟正黑體" w:hAnsi="微軟正黑體" w:cs="微軟正黑體"/>
          <w:sz w:val="22"/>
        </w:rPr>
        <w:t>兩條主線閱讀：先用</w:t>
      </w:r>
      <w:r>
        <w:rPr>
          <w:rFonts w:ascii="微軟正黑體" w:eastAsia="微軟正黑體" w:hAnsi="微軟正黑體" w:cs="微軟正黑體"/>
          <w:sz w:val="22"/>
        </w:rPr>
        <w:t>P1</w:t>
      </w:r>
      <w:r>
        <w:rPr>
          <w:rFonts w:ascii="微軟正黑體" w:eastAsia="微軟正黑體" w:hAnsi="微軟正黑體" w:cs="微軟正黑體"/>
          <w:sz w:val="22"/>
        </w:rPr>
        <w:t>判斷情境</w:t>
      </w:r>
      <w:proofErr w:type="gramStart"/>
      <w:r>
        <w:rPr>
          <w:rFonts w:ascii="微軟正黑體" w:eastAsia="微軟正黑體" w:hAnsi="微軟正黑體" w:cs="微軟正黑體"/>
          <w:sz w:val="22"/>
        </w:rPr>
        <w:t>建構權移轉</w:t>
      </w:r>
      <w:proofErr w:type="gramEnd"/>
      <w:r>
        <w:rPr>
          <w:rFonts w:ascii="微軟正黑體" w:eastAsia="微軟正黑體" w:hAnsi="微軟正黑體" w:cs="微軟正黑體"/>
          <w:sz w:val="22"/>
        </w:rPr>
        <w:t>強度，再用</w:t>
      </w:r>
      <w:r>
        <w:rPr>
          <w:rFonts w:ascii="微軟正黑體" w:eastAsia="微軟正黑體" w:hAnsi="微軟正黑體" w:cs="微軟正黑體"/>
          <w:sz w:val="22"/>
        </w:rPr>
        <w:t>C1</w:t>
      </w:r>
      <w:r>
        <w:rPr>
          <w:rFonts w:ascii="微軟正黑體" w:eastAsia="微軟正黑體" w:hAnsi="微軟正黑體" w:cs="微軟正黑體"/>
          <w:sz w:val="22"/>
        </w:rPr>
        <w:t>判斷該權力的民主完整度；其他母架構元素僅在定位、解釋或交叉檢查時被調用，</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另形成總分。</w:t>
      </w:r>
    </w:p>
    <w:p w:rsidR="00035E70" w:rsidRDefault="000B3CAA">
      <w:pPr>
        <w:pStyle w:val="1"/>
        <w:spacing w:before="260" w:after="140"/>
      </w:pPr>
      <w:r>
        <w:rPr>
          <w:rFonts w:ascii="微軟正黑體" w:eastAsia="微軟正黑體" w:hAnsi="微軟正黑體" w:cs="微軟正黑體"/>
          <w:b/>
          <w:sz w:val="27"/>
        </w:rPr>
        <w:t>參、理論基礎：情境</w:t>
      </w:r>
      <w:proofErr w:type="gramStart"/>
      <w:r>
        <w:rPr>
          <w:rFonts w:ascii="微軟正黑體" w:eastAsia="微軟正黑體" w:hAnsi="微軟正黑體" w:cs="微軟正黑體"/>
          <w:b/>
          <w:sz w:val="27"/>
        </w:rPr>
        <w:t>建構權為何</w:t>
      </w:r>
      <w:proofErr w:type="gramEnd"/>
      <w:r>
        <w:rPr>
          <w:rFonts w:ascii="微軟正黑體" w:eastAsia="微軟正黑體" w:hAnsi="微軟正黑體" w:cs="微軟正黑體"/>
          <w:b/>
          <w:sz w:val="27"/>
        </w:rPr>
        <w:t>需要民主化</w:t>
      </w:r>
    </w:p>
    <w:p w:rsidR="00035E70" w:rsidRDefault="000B3CAA">
      <w:pPr>
        <w:pStyle w:val="2"/>
        <w:spacing w:before="260" w:after="140"/>
      </w:pPr>
      <w:r>
        <w:rPr>
          <w:rFonts w:ascii="微軟正黑體" w:eastAsia="微軟正黑體" w:hAnsi="微軟正黑體" w:cs="微軟正黑體"/>
          <w:b/>
          <w:sz w:val="24"/>
        </w:rPr>
        <w:t>一、從問題定義到</w:t>
      </w:r>
      <w:proofErr w:type="gramStart"/>
      <w:r>
        <w:rPr>
          <w:rFonts w:ascii="微軟正黑體" w:eastAsia="微軟正黑體" w:hAnsi="微軟正黑體" w:cs="微軟正黑體"/>
          <w:b/>
          <w:sz w:val="24"/>
        </w:rPr>
        <w:t>技術化框定</w:t>
      </w:r>
      <w:proofErr w:type="gramEnd"/>
    </w:p>
    <w:p w:rsidR="00035E70" w:rsidRDefault="000B3CAA">
      <w:pPr>
        <w:spacing w:after="160" w:line="300" w:lineRule="auto"/>
        <w:jc w:val="both"/>
      </w:pPr>
      <w:r>
        <w:rPr>
          <w:rFonts w:ascii="微軟正黑體" w:eastAsia="微軟正黑體" w:hAnsi="微軟正黑體" w:cs="微軟正黑體"/>
          <w:sz w:val="22"/>
        </w:rPr>
        <w:t>政策問題並非自然存在，而是經由選擇、命名、因果歸屬與目標群體建構形成</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Stone, </w:t>
      </w:r>
      <w:r>
        <w:rPr>
          <w:rFonts w:ascii="微軟正黑體" w:eastAsia="微軟正黑體" w:hAnsi="微軟正黑體" w:cs="微軟正黑體"/>
          <w:sz w:val="22"/>
        </w:rPr>
        <w:t>1989</w:t>
      </w:r>
      <w:r>
        <w:rPr>
          <w:rFonts w:ascii="微軟正黑體" w:eastAsia="微軟正黑體" w:hAnsi="微軟正黑體" w:cs="微軟正黑體"/>
          <w:sz w:val="22"/>
        </w:rPr>
        <w:t>；</w:t>
      </w:r>
      <w:r>
        <w:rPr>
          <w:rFonts w:ascii="微軟正黑體" w:eastAsia="微軟正黑體" w:hAnsi="微軟正黑體" w:cs="微軟正黑體"/>
          <w:sz w:val="22"/>
        </w:rPr>
        <w:t>Rochefort &amp; Cobb, 1994</w:t>
      </w:r>
      <w:r>
        <w:rPr>
          <w:rFonts w:ascii="微軟正黑體" w:eastAsia="微軟正黑體" w:hAnsi="微軟正黑體" w:cs="微軟正黑體"/>
          <w:sz w:val="22"/>
        </w:rPr>
        <w:t>；</w:t>
      </w:r>
      <w:r>
        <w:rPr>
          <w:rFonts w:ascii="微軟正黑體" w:eastAsia="微軟正黑體" w:hAnsi="微軟正黑體" w:cs="微軟正黑體"/>
          <w:sz w:val="22"/>
        </w:rPr>
        <w:t>Schneider &amp; Ingram, 1993</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proofErr w:type="spellStart"/>
      <w:r>
        <w:rPr>
          <w:rFonts w:ascii="微軟正黑體" w:eastAsia="微軟正黑體" w:hAnsi="微軟正黑體" w:cs="微軟正黑體"/>
          <w:sz w:val="22"/>
        </w:rPr>
        <w:t>Entman</w:t>
      </w:r>
      <w:proofErr w:type="spellEnd"/>
      <w:r>
        <w:rPr>
          <w:rFonts w:ascii="微軟正黑體" w:eastAsia="微軟正黑體" w:hAnsi="微軟正黑體" w:cs="微軟正黑體"/>
          <w:sz w:val="22"/>
        </w:rPr>
        <w:t>（</w:t>
      </w:r>
      <w:r>
        <w:rPr>
          <w:rFonts w:ascii="微軟正黑體" w:eastAsia="微軟正黑體" w:hAnsi="微軟正黑體" w:cs="微軟正黑體"/>
          <w:sz w:val="22"/>
        </w:rPr>
        <w:t>1993</w:t>
      </w:r>
      <w:r>
        <w:rPr>
          <w:rFonts w:ascii="微軟正黑體" w:eastAsia="微軟正黑體" w:hAnsi="微軟正黑體" w:cs="微軟正黑體"/>
          <w:sz w:val="22"/>
        </w:rPr>
        <w:t>）</w:t>
      </w:r>
      <w:proofErr w:type="gramStart"/>
      <w:r>
        <w:rPr>
          <w:rFonts w:ascii="微軟正黑體" w:eastAsia="微軟正黑體" w:hAnsi="微軟正黑體" w:cs="微軟正黑體"/>
          <w:sz w:val="22"/>
        </w:rPr>
        <w:t>所謂框定</w:t>
      </w:r>
      <w:proofErr w:type="gramEnd"/>
      <w:r>
        <w:rPr>
          <w:rFonts w:ascii="微軟正黑體" w:eastAsia="微軟正黑體" w:hAnsi="微軟正黑體" w:cs="微軟正黑體"/>
          <w:sz w:val="22"/>
        </w:rPr>
        <w:t>，是對現實某些面向加以選擇並賦予顯著性。生成式</w:t>
      </w:r>
      <w:r>
        <w:rPr>
          <w:rFonts w:ascii="微軟正黑體" w:eastAsia="微軟正黑體" w:hAnsi="微軟正黑體" w:cs="微軟正黑體"/>
          <w:sz w:val="22"/>
        </w:rPr>
        <w:t>AI</w:t>
      </w:r>
      <w:r>
        <w:rPr>
          <w:rFonts w:ascii="微軟正黑體" w:eastAsia="微軟正黑體" w:hAnsi="微軟正黑體" w:cs="微軟正黑體"/>
          <w:sz w:val="22"/>
        </w:rPr>
        <w:t>與演算法系統則</w:t>
      </w:r>
      <w:proofErr w:type="gramStart"/>
      <w:r>
        <w:rPr>
          <w:rFonts w:ascii="微軟正黑體" w:eastAsia="微軟正黑體" w:hAnsi="微軟正黑體" w:cs="微軟正黑體"/>
          <w:sz w:val="22"/>
        </w:rPr>
        <w:t>把框定</w:t>
      </w:r>
      <w:proofErr w:type="gramEnd"/>
      <w:r>
        <w:rPr>
          <w:rFonts w:ascii="微軟正黑體" w:eastAsia="微軟正黑體" w:hAnsi="微軟正黑體" w:cs="微軟正黑體"/>
          <w:sz w:val="22"/>
        </w:rPr>
        <w:t>進一步下沉至資料欄位、訓練樣本、分類標籤、提示模板、代理變項及風險閾值，使政治與行政選擇可能被呈現為技術結果。</w:t>
      </w:r>
    </w:p>
    <w:p w:rsidR="00035E70" w:rsidRDefault="000B3CAA">
      <w:pPr>
        <w:spacing w:after="160" w:line="300" w:lineRule="auto"/>
        <w:jc w:val="both"/>
      </w:pPr>
      <w:r>
        <w:rPr>
          <w:rFonts w:ascii="微軟正黑體" w:eastAsia="微軟正黑體" w:hAnsi="微軟正黑體" w:cs="微軟正黑體"/>
          <w:sz w:val="22"/>
        </w:rPr>
        <w:t>AI</w:t>
      </w:r>
      <w:proofErr w:type="gramStart"/>
      <w:r>
        <w:rPr>
          <w:rFonts w:ascii="微軟正黑體" w:eastAsia="微軟正黑體" w:hAnsi="微軟正黑體" w:cs="微軟正黑體"/>
          <w:sz w:val="22"/>
        </w:rPr>
        <w:t>框定與</w:t>
      </w:r>
      <w:proofErr w:type="gramEnd"/>
      <w:r>
        <w:rPr>
          <w:rFonts w:ascii="微軟正黑體" w:eastAsia="微軟正黑體" w:hAnsi="微軟正黑體" w:cs="微軟正黑體"/>
          <w:sz w:val="22"/>
        </w:rPr>
        <w:t>人類</w:t>
      </w:r>
      <w:proofErr w:type="gramStart"/>
      <w:r>
        <w:rPr>
          <w:rFonts w:ascii="微軟正黑體" w:eastAsia="微軟正黑體" w:hAnsi="微軟正黑體" w:cs="微軟正黑體"/>
          <w:sz w:val="22"/>
        </w:rPr>
        <w:t>官僚框定</w:t>
      </w:r>
      <w:proofErr w:type="gramEnd"/>
      <w:r>
        <w:rPr>
          <w:rFonts w:ascii="微軟正黑體" w:eastAsia="微軟正黑體" w:hAnsi="微軟正黑體" w:cs="微軟正黑體"/>
          <w:sz w:val="22"/>
        </w:rPr>
        <w:t>的差異，不在於前者</w:t>
      </w:r>
      <w:proofErr w:type="gramStart"/>
      <w:r>
        <w:rPr>
          <w:rFonts w:ascii="微軟正黑體" w:eastAsia="微軟正黑體" w:hAnsi="微軟正黑體" w:cs="微軟正黑體"/>
          <w:sz w:val="22"/>
        </w:rPr>
        <w:t>必然偏</w:t>
      </w:r>
      <w:proofErr w:type="gramEnd"/>
      <w:r>
        <w:rPr>
          <w:rFonts w:ascii="微軟正黑體" w:eastAsia="微軟正黑體" w:hAnsi="微軟正黑體" w:cs="微軟正黑體"/>
          <w:sz w:val="22"/>
        </w:rPr>
        <w:t>誤、後者必然中立，而在於制度嵌入方式。人類官僚原則上位於法定職權、層級監督、國會質詢、行政救濟與司法審查的責任體系中；</w:t>
      </w:r>
      <w:r>
        <w:rPr>
          <w:rFonts w:ascii="微軟正黑體" w:eastAsia="微軟正黑體" w:hAnsi="微軟正黑體" w:cs="微軟正黑體"/>
          <w:sz w:val="22"/>
        </w:rPr>
        <w:t>AI</w:t>
      </w:r>
      <w:r>
        <w:rPr>
          <w:rFonts w:ascii="微軟正黑體" w:eastAsia="微軟正黑體" w:hAnsi="微軟正黑體" w:cs="微軟正黑體"/>
          <w:sz w:val="22"/>
        </w:rPr>
        <w:t>框定則可能分散於私營模</w:t>
      </w:r>
      <w:r>
        <w:rPr>
          <w:rFonts w:ascii="微軟正黑體" w:eastAsia="微軟正黑體" w:hAnsi="微軟正黑體" w:cs="微軟正黑體"/>
          <w:sz w:val="22"/>
        </w:rPr>
        <w:t>型供應鏈、資料工程、軟體設定及不可見參數，使具影響力者未必具有公務員身分，具責任者也未必能理解或控制系統。</w:t>
      </w:r>
      <w:r>
        <w:rPr>
          <w:rFonts w:ascii="微軟正黑體" w:eastAsia="微軟正黑體" w:hAnsi="微軟正黑體" w:cs="微軟正黑體"/>
          <w:sz w:val="22"/>
        </w:rPr>
        <w:t>Cobbe</w:t>
      </w:r>
      <w:r>
        <w:rPr>
          <w:rFonts w:ascii="微軟正黑體" w:eastAsia="微軟正黑體" w:hAnsi="微軟正黑體" w:cs="微軟正黑體"/>
          <w:sz w:val="22"/>
        </w:rPr>
        <w:t>、</w:t>
      </w:r>
      <w:r>
        <w:rPr>
          <w:rFonts w:ascii="微軟正黑體" w:eastAsia="微軟正黑體" w:hAnsi="微軟正黑體" w:cs="微軟正黑體"/>
          <w:sz w:val="22"/>
        </w:rPr>
        <w:t>Veale</w:t>
      </w:r>
      <w:r>
        <w:rPr>
          <w:rFonts w:ascii="微軟正黑體" w:eastAsia="微軟正黑體" w:hAnsi="微軟正黑體" w:cs="微軟正黑體"/>
          <w:sz w:val="22"/>
        </w:rPr>
        <w:t>與</w:t>
      </w:r>
      <w:r>
        <w:rPr>
          <w:rFonts w:ascii="微軟正黑體" w:eastAsia="微軟正黑體" w:hAnsi="微軟正黑體" w:cs="微軟正黑體"/>
          <w:sz w:val="22"/>
        </w:rPr>
        <w:t>Singh</w:t>
      </w:r>
      <w:r>
        <w:rPr>
          <w:rFonts w:ascii="微軟正黑體" w:eastAsia="微軟正黑體" w:hAnsi="微軟正黑體" w:cs="微軟正黑體"/>
          <w:sz w:val="22"/>
        </w:rPr>
        <w:t>（</w:t>
      </w:r>
      <w:r>
        <w:rPr>
          <w:rFonts w:ascii="微軟正黑體" w:eastAsia="微軟正黑體" w:hAnsi="微軟正黑體" w:cs="微軟正黑體"/>
          <w:sz w:val="22"/>
        </w:rPr>
        <w:t>2023</w:t>
      </w:r>
      <w:r>
        <w:rPr>
          <w:rFonts w:ascii="微軟正黑體" w:eastAsia="微軟正黑體" w:hAnsi="微軟正黑體" w:cs="微軟正黑體"/>
          <w:sz w:val="22"/>
        </w:rPr>
        <w:t>）所分析的演算法供應</w:t>
      </w:r>
      <w:proofErr w:type="gramStart"/>
      <w:r>
        <w:rPr>
          <w:rFonts w:ascii="微軟正黑體" w:eastAsia="微軟正黑體" w:hAnsi="微軟正黑體" w:cs="微軟正黑體"/>
          <w:sz w:val="22"/>
        </w:rPr>
        <w:t>鏈課責</w:t>
      </w:r>
      <w:proofErr w:type="gramEnd"/>
      <w:r>
        <w:rPr>
          <w:rFonts w:ascii="微軟正黑體" w:eastAsia="微軟正黑體" w:hAnsi="微軟正黑體" w:cs="微軟正黑體"/>
          <w:sz w:val="22"/>
        </w:rPr>
        <w:t>問題，正說明正式權威與實際影響力可能分離。</w:t>
      </w:r>
    </w:p>
    <w:p w:rsidR="00035E70" w:rsidRDefault="000B3CAA">
      <w:pPr>
        <w:pStyle w:val="2"/>
        <w:spacing w:before="260" w:after="140"/>
      </w:pPr>
      <w:r>
        <w:rPr>
          <w:rFonts w:ascii="微軟正黑體" w:eastAsia="微軟正黑體" w:hAnsi="微軟正黑體" w:cs="微軟正黑體"/>
          <w:b/>
          <w:sz w:val="24"/>
        </w:rPr>
        <w:t>二、三個尚未對接的文獻立足點：演算法統治、政治摩擦與理性化牢籠</w:t>
      </w:r>
    </w:p>
    <w:p w:rsidR="00035E70" w:rsidRDefault="000B3CAA">
      <w:pPr>
        <w:spacing w:after="160" w:line="300" w:lineRule="auto"/>
        <w:jc w:val="both"/>
      </w:pPr>
      <w:r>
        <w:rPr>
          <w:rFonts w:ascii="微軟正黑體" w:eastAsia="微軟正黑體" w:hAnsi="微軟正黑體" w:cs="微軟正黑體"/>
          <w:sz w:val="22"/>
        </w:rPr>
        <w:t>本文在此需要先處理一個方法論上的疑慮：如果情境</w:t>
      </w:r>
      <w:proofErr w:type="gramStart"/>
      <w:r>
        <w:rPr>
          <w:rFonts w:ascii="微軟正黑體" w:eastAsia="微軟正黑體" w:hAnsi="微軟正黑體" w:cs="微軟正黑體"/>
          <w:sz w:val="22"/>
        </w:rPr>
        <w:t>建構權移轉</w:t>
      </w:r>
      <w:proofErr w:type="gramEnd"/>
      <w:r>
        <w:rPr>
          <w:rFonts w:ascii="微軟正黑體" w:eastAsia="微軟正黑體" w:hAnsi="微軟正黑體" w:cs="微軟正黑體"/>
          <w:sz w:val="22"/>
        </w:rPr>
        <w:t>最終可能使正當性、合法性、合理性三種原本分屬不同語言的證成邏輯，被壓縮為單一的「效率即正確」邏輯，那麼在啟動雙階段測量之前，必須先確認這個疑慮是否已有文獻處理，以及既有討論</w:t>
      </w:r>
      <w:r>
        <w:rPr>
          <w:rFonts w:ascii="微軟正黑體" w:eastAsia="微軟正黑體" w:hAnsi="微軟正黑體" w:cs="微軟正黑體"/>
          <w:sz w:val="22"/>
        </w:rPr>
        <w:t>站在哪一個立足點上。檢視現有文獻可以發現，至少存在三個彼此獨立、尚未相互對接的立足點。</w:t>
      </w:r>
    </w:p>
    <w:p w:rsidR="00035E70" w:rsidRDefault="000B3CAA">
      <w:pPr>
        <w:pStyle w:val="3"/>
        <w:keepNext/>
        <w:spacing w:before="180" w:after="70"/>
      </w:pPr>
      <w:r>
        <w:rPr>
          <w:rFonts w:ascii="微軟正黑體" w:eastAsia="微軟正黑體" w:hAnsi="微軟正黑體" w:cs="微軟正黑體"/>
          <w:b/>
        </w:rPr>
        <w:t>（一）知識效率與程序正當性</w:t>
      </w:r>
    </w:p>
    <w:p w:rsidR="00035E70" w:rsidRDefault="000B3CAA">
      <w:pPr>
        <w:spacing w:after="160" w:line="300" w:lineRule="auto"/>
        <w:jc w:val="both"/>
      </w:pPr>
      <w:r>
        <w:rPr>
          <w:rFonts w:ascii="微軟正黑體" w:eastAsia="微軟正黑體" w:hAnsi="微軟正黑體" w:cs="微軟正黑體"/>
          <w:sz w:val="22"/>
        </w:rPr>
        <w:t>Danaher</w:t>
      </w:r>
      <w:r>
        <w:rPr>
          <w:rFonts w:ascii="微軟正黑體" w:eastAsia="微軟正黑體" w:hAnsi="微軟正黑體" w:cs="微軟正黑體"/>
          <w:sz w:val="22"/>
        </w:rPr>
        <w:t>（</w:t>
      </w:r>
      <w:r>
        <w:rPr>
          <w:rFonts w:ascii="微軟正黑體" w:eastAsia="微軟正黑體" w:hAnsi="微軟正黑體" w:cs="微軟正黑體"/>
          <w:sz w:val="22"/>
        </w:rPr>
        <w:t>2016</w:t>
      </w:r>
      <w:r>
        <w:rPr>
          <w:rFonts w:ascii="微軟正黑體" w:eastAsia="微軟正黑體" w:hAnsi="微軟正黑體" w:cs="微軟正黑體"/>
          <w:sz w:val="22"/>
        </w:rPr>
        <w:t>）提出「演算法統治」（</w:t>
      </w:r>
      <w:proofErr w:type="spellStart"/>
      <w:r>
        <w:rPr>
          <w:rFonts w:ascii="微軟正黑體" w:eastAsia="微軟正黑體" w:hAnsi="微軟正黑體" w:cs="微軟正黑體"/>
          <w:sz w:val="22"/>
        </w:rPr>
        <w:t>algocracy</w:t>
      </w:r>
      <w:proofErr w:type="spellEnd"/>
      <w:r>
        <w:rPr>
          <w:rFonts w:ascii="微軟正黑體" w:eastAsia="微軟正黑體" w:hAnsi="微軟正黑體" w:cs="微軟正黑體"/>
          <w:sz w:val="22"/>
        </w:rPr>
        <w:t>）一詞，指出當法院、立法機關與行政機</w:t>
      </w:r>
      <w:r>
        <w:rPr>
          <w:rFonts w:ascii="微軟正黑體" w:eastAsia="微軟正黑體" w:hAnsi="微軟正黑體" w:cs="微軟正黑體"/>
          <w:sz w:val="22"/>
        </w:rPr>
        <w:lastRenderedPageBreak/>
        <w:t>關將權威委託給演算法系統時，可能形成一種他稱為「無理解之治理」的狀態</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r>
        <w:rPr>
          <w:rFonts w:ascii="微軟正黑體" w:eastAsia="微軟正黑體" w:hAnsi="微軟正黑體" w:cs="微軟正黑體"/>
          <w:sz w:val="22"/>
        </w:rPr>
        <w:t>演算法問題解決能力的優越性，與公民理解並質疑決策的民主要求</w:t>
      </w:r>
      <w:proofErr w:type="gramStart"/>
      <w:r>
        <w:rPr>
          <w:rFonts w:ascii="微軟正黑體" w:eastAsia="微軟正黑體" w:hAnsi="微軟正黑體" w:cs="微軟正黑體"/>
          <w:sz w:val="22"/>
        </w:rPr>
        <w:t>之間</w:t>
      </w:r>
      <w:proofErr w:type="gramEnd"/>
      <w:r>
        <w:rPr>
          <w:rFonts w:ascii="微軟正黑體" w:eastAsia="微軟正黑體" w:hAnsi="微軟正黑體" w:cs="微軟正黑體"/>
          <w:sz w:val="22"/>
        </w:rPr>
        <w:t>，存在結構性張力。這條文獻路徑處理的是「治理品質」的兩難，尚未進一步追問：當這種張力持續發生在資料選擇、分類與</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值形成的前端階段時，是否會使後端的正當性語言逐漸失</w:t>
      </w:r>
      <w:r>
        <w:rPr>
          <w:rFonts w:ascii="微軟正黑體" w:eastAsia="微軟正黑體" w:hAnsi="微軟正黑體" w:cs="微軟正黑體"/>
          <w:sz w:val="22"/>
        </w:rPr>
        <w:t>去獨立操作的空間。</w:t>
      </w:r>
    </w:p>
    <w:p w:rsidR="00035E70" w:rsidRDefault="000B3CAA">
      <w:pPr>
        <w:pStyle w:val="3"/>
        <w:keepNext/>
        <w:spacing w:before="180" w:after="70"/>
      </w:pPr>
      <w:r>
        <w:rPr>
          <w:rFonts w:ascii="微軟正黑體" w:eastAsia="微軟正黑體" w:hAnsi="微軟正黑體" w:cs="微軟正黑體"/>
          <w:b/>
        </w:rPr>
        <w:t>（二）民主摩擦與「拒絕的能力」</w:t>
      </w:r>
    </w:p>
    <w:p w:rsidR="00035E70" w:rsidRDefault="000B3CAA">
      <w:pPr>
        <w:spacing w:after="160" w:line="300" w:lineRule="auto"/>
        <w:jc w:val="both"/>
      </w:pPr>
      <w:r>
        <w:rPr>
          <w:rFonts w:ascii="微軟正黑體" w:eastAsia="微軟正黑體" w:hAnsi="微軟正黑體" w:cs="微軟正黑體"/>
          <w:sz w:val="22"/>
        </w:rPr>
        <w:t>Livermore</w:t>
      </w:r>
      <w:r>
        <w:rPr>
          <w:rFonts w:ascii="微軟正黑體" w:eastAsia="微軟正黑體" w:hAnsi="微軟正黑體" w:cs="微軟正黑體"/>
          <w:sz w:val="22"/>
        </w:rPr>
        <w:t>（</w:t>
      </w:r>
      <w:r>
        <w:rPr>
          <w:rFonts w:ascii="微軟正黑體" w:eastAsia="微軟正黑體" w:hAnsi="微軟正黑體" w:cs="微軟正黑體"/>
          <w:sz w:val="22"/>
        </w:rPr>
        <w:t>2025</w:t>
      </w:r>
      <w:r>
        <w:rPr>
          <w:rFonts w:ascii="微軟正黑體" w:eastAsia="微軟正黑體" w:hAnsi="微軟正黑體" w:cs="微軟正黑體"/>
          <w:sz w:val="22"/>
        </w:rPr>
        <w:t>）直接處理「效率是否與自由民主體制在概念上不相容」的問題，並區分「</w:t>
      </w:r>
      <w:proofErr w:type="spellStart"/>
      <w:r>
        <w:rPr>
          <w:rFonts w:ascii="微軟正黑體" w:eastAsia="微軟正黑體" w:hAnsi="微軟正黑體" w:cs="微軟正黑體"/>
          <w:sz w:val="22"/>
        </w:rPr>
        <w:t>algocracy</w:t>
      </w:r>
      <w:proofErr w:type="spellEnd"/>
      <w:r>
        <w:rPr>
          <w:rFonts w:ascii="微軟正黑體" w:eastAsia="微軟正黑體" w:hAnsi="微軟正黑體" w:cs="微軟正黑體"/>
          <w:sz w:val="22"/>
        </w:rPr>
        <w:t>」（演算法在真實人類制度框架內輔助行政）與「</w:t>
      </w:r>
      <w:proofErr w:type="spellStart"/>
      <w:r>
        <w:rPr>
          <w:rFonts w:ascii="微軟正黑體" w:eastAsia="微軟正黑體" w:hAnsi="微軟正黑體" w:cs="微軟正黑體"/>
          <w:sz w:val="22"/>
        </w:rPr>
        <w:t>algoarchy</w:t>
      </w:r>
      <w:proofErr w:type="spellEnd"/>
      <w:r>
        <w:rPr>
          <w:rFonts w:ascii="微軟正黑體" w:eastAsia="微軟正黑體" w:hAnsi="微軟正黑體" w:cs="微軟正黑體"/>
          <w:sz w:val="22"/>
        </w:rPr>
        <w:t>」（演算法取代該框架、直接統治）：自由民主體制的運作向來仰賴摩擦</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r>
        <w:rPr>
          <w:rFonts w:ascii="微軟正黑體" w:eastAsia="微軟正黑體" w:hAnsi="微軟正黑體" w:cs="微軟正黑體"/>
          <w:sz w:val="22"/>
        </w:rPr>
        <w:t>權力遭遇的抵抗是程序性的、科層的、也是道德性的，發生在會彼此爭論、頂撞上級、拖延自己不認同之決定的人所構成的制度之中；這種摩擦不是行政無效率的副作用，而是憲政設計刻意保留的「拒絕的能力」。效率極大化之所以可能與自由民主</w:t>
      </w:r>
      <w:r>
        <w:rPr>
          <w:rFonts w:ascii="微軟正黑體" w:eastAsia="微軟正黑體" w:hAnsi="微軟正黑體" w:cs="微軟正黑體"/>
          <w:sz w:val="22"/>
        </w:rPr>
        <w:t>政府不相容，不只因演算法可能被濫用，也因演算法擅長消除的事物，恰好可能是</w:t>
      </w:r>
      <w:proofErr w:type="gramStart"/>
      <w:r>
        <w:rPr>
          <w:rFonts w:ascii="微軟正黑體" w:eastAsia="微軟正黑體" w:hAnsi="微軟正黑體" w:cs="微軟正黑體"/>
          <w:sz w:val="22"/>
        </w:rPr>
        <w:t>民主賴</w:t>
      </w:r>
      <w:proofErr w:type="gramEnd"/>
      <w:r>
        <w:rPr>
          <w:rFonts w:ascii="微軟正黑體" w:eastAsia="微軟正黑體" w:hAnsi="微軟正黑體" w:cs="微軟正黑體"/>
          <w:sz w:val="22"/>
        </w:rPr>
        <w:t>以存在的摩擦。然而，這條路徑仍停留在政治學與憲政設計層次，尚未處理行政學脈絡下「情境</w:t>
      </w:r>
      <w:proofErr w:type="gramStart"/>
      <w:r>
        <w:rPr>
          <w:rFonts w:ascii="微軟正黑體" w:eastAsia="微軟正黑體" w:hAnsi="微軟正黑體" w:cs="微軟正黑體"/>
          <w:sz w:val="22"/>
        </w:rPr>
        <w:t>建構鏈</w:t>
      </w:r>
      <w:proofErr w:type="gramEnd"/>
      <w:r>
        <w:rPr>
          <w:rFonts w:ascii="微軟正黑體" w:eastAsia="微軟正黑體" w:hAnsi="微軟正黑體" w:cs="微軟正黑體"/>
          <w:sz w:val="22"/>
        </w:rPr>
        <w:t>」這個更前端、更技術化的介入點。</w:t>
      </w:r>
    </w:p>
    <w:p w:rsidR="00035E70" w:rsidRDefault="000B3CAA">
      <w:pPr>
        <w:spacing w:after="160" w:line="300" w:lineRule="auto"/>
        <w:jc w:val="both"/>
      </w:pPr>
      <w:r>
        <w:rPr>
          <w:rFonts w:ascii="微軟正黑體" w:eastAsia="微軟正黑體" w:hAnsi="微軟正黑體" w:cs="微軟正黑體"/>
          <w:sz w:val="22"/>
        </w:rPr>
        <w:t>值得說明的是，</w:t>
      </w:r>
      <w:r>
        <w:rPr>
          <w:rFonts w:ascii="微軟正黑體" w:eastAsia="微軟正黑體" w:hAnsi="微軟正黑體" w:cs="微軟正黑體"/>
          <w:sz w:val="22"/>
        </w:rPr>
        <w:t>Livermore</w:t>
      </w:r>
      <w:r>
        <w:rPr>
          <w:rFonts w:ascii="微軟正黑體" w:eastAsia="微軟正黑體" w:hAnsi="微軟正黑體" w:cs="微軟正黑體"/>
          <w:sz w:val="22"/>
        </w:rPr>
        <w:t>（</w:t>
      </w:r>
      <w:r>
        <w:rPr>
          <w:rFonts w:ascii="微軟正黑體" w:eastAsia="微軟正黑體" w:hAnsi="微軟正黑體" w:cs="微軟正黑體"/>
          <w:sz w:val="22"/>
        </w:rPr>
        <w:t>2025</w:t>
      </w:r>
      <w:r>
        <w:rPr>
          <w:rFonts w:ascii="微軟正黑體" w:eastAsia="微軟正黑體" w:hAnsi="微軟正黑體" w:cs="微軟正黑體"/>
          <w:sz w:val="22"/>
        </w:rPr>
        <w:t>）一文性質上屬評論性文章（</w:t>
      </w:r>
      <w:r>
        <w:rPr>
          <w:rFonts w:ascii="微軟正黑體" w:eastAsia="微軟正黑體" w:hAnsi="微軟正黑體" w:cs="微軟正黑體"/>
          <w:sz w:val="22"/>
        </w:rPr>
        <w:t>op-ed</w:t>
      </w:r>
      <w:r>
        <w:rPr>
          <w:rFonts w:ascii="微軟正黑體" w:eastAsia="微軟正黑體" w:hAnsi="微軟正黑體" w:cs="微軟正黑體"/>
          <w:sz w:val="22"/>
        </w:rPr>
        <w:t>），而非同儕審查之學術論文；但其論點</w:t>
      </w:r>
      <w:proofErr w:type="gramStart"/>
      <w:r>
        <w:rPr>
          <w:rFonts w:ascii="微軟正黑體" w:eastAsia="微軟正黑體" w:hAnsi="微軟正黑體" w:cs="微軟正黑體"/>
          <w:sz w:val="22"/>
        </w:rPr>
        <w:t>並非孤例</w:t>
      </w:r>
      <w:proofErr w:type="gramEnd"/>
      <w:r>
        <w:rPr>
          <w:rFonts w:ascii="微軟正黑體" w:eastAsia="微軟正黑體" w:hAnsi="微軟正黑體" w:cs="微軟正黑體"/>
          <w:sz w:val="22"/>
        </w:rPr>
        <w:t>，而是有紮實的同儕審查文獻可資佐證。</w:t>
      </w:r>
      <w:proofErr w:type="spellStart"/>
      <w:r>
        <w:rPr>
          <w:rFonts w:ascii="微軟正黑體" w:eastAsia="微軟正黑體" w:hAnsi="微軟正黑體" w:cs="微軟正黑體"/>
          <w:sz w:val="22"/>
        </w:rPr>
        <w:t>Alnemr</w:t>
      </w:r>
      <w:proofErr w:type="spellEnd"/>
      <w:r>
        <w:rPr>
          <w:rFonts w:ascii="微軟正黑體" w:eastAsia="微軟正黑體" w:hAnsi="微軟正黑體" w:cs="微軟正黑體"/>
          <w:sz w:val="22"/>
        </w:rPr>
        <w:t>（</w:t>
      </w:r>
      <w:r>
        <w:rPr>
          <w:rFonts w:ascii="微軟正黑體" w:eastAsia="微軟正黑體" w:hAnsi="微軟正黑體" w:cs="微軟正黑體"/>
          <w:sz w:val="22"/>
        </w:rPr>
        <w:t>2024</w:t>
      </w:r>
      <w:r>
        <w:rPr>
          <w:rFonts w:ascii="微軟正黑體" w:eastAsia="微軟正黑體" w:hAnsi="微軟正黑體" w:cs="微軟正黑體"/>
          <w:sz w:val="22"/>
        </w:rPr>
        <w:t>）於《</w:t>
      </w:r>
      <w:r>
        <w:rPr>
          <w:rFonts w:ascii="微軟正黑體" w:eastAsia="微軟正黑體" w:hAnsi="微軟正黑體" w:cs="微軟正黑體"/>
          <w:sz w:val="22"/>
        </w:rPr>
        <w:t>Contemporary Political Theory</w:t>
      </w:r>
      <w:r>
        <w:rPr>
          <w:rFonts w:ascii="微軟正黑體" w:eastAsia="微軟正黑體" w:hAnsi="微軟正黑體" w:cs="微軟正黑體"/>
          <w:sz w:val="22"/>
        </w:rPr>
        <w:t>》期刊延伸</w:t>
      </w:r>
      <w:proofErr w:type="spellStart"/>
      <w:r>
        <w:rPr>
          <w:rFonts w:ascii="微軟正黑體" w:eastAsia="微軟正黑體" w:hAnsi="微軟正黑體" w:cs="微軟正黑體"/>
          <w:sz w:val="22"/>
        </w:rPr>
        <w:t>Lafont</w:t>
      </w:r>
      <w:proofErr w:type="spellEnd"/>
      <w:r>
        <w:rPr>
          <w:rFonts w:ascii="微軟正黑體" w:eastAsia="微軟正黑體" w:hAnsi="微軟正黑體" w:cs="微軟正黑體"/>
          <w:sz w:val="22"/>
        </w:rPr>
        <w:t>（</w:t>
      </w:r>
      <w:r>
        <w:rPr>
          <w:rFonts w:ascii="微軟正黑體" w:eastAsia="微軟正黑體" w:hAnsi="微軟正黑體" w:cs="微軟正黑體"/>
          <w:sz w:val="22"/>
        </w:rPr>
        <w:t>2019</w:t>
      </w:r>
      <w:r>
        <w:rPr>
          <w:rFonts w:ascii="微軟正黑體" w:eastAsia="微軟正黑體" w:hAnsi="微軟正黑體" w:cs="微軟正黑體"/>
          <w:sz w:val="22"/>
        </w:rPr>
        <w:t>）「民主捷徑」（</w:t>
      </w:r>
      <w:r>
        <w:rPr>
          <w:rFonts w:ascii="微軟正黑體" w:eastAsia="微軟正黑體" w:hAnsi="微軟正黑體" w:cs="微軟正黑體"/>
          <w:sz w:val="22"/>
        </w:rPr>
        <w:t>shortcuts</w:t>
      </w:r>
      <w:r>
        <w:rPr>
          <w:rFonts w:ascii="微軟正黑體" w:eastAsia="微軟正黑體" w:hAnsi="微軟正黑體" w:cs="微軟正黑體"/>
          <w:sz w:val="22"/>
        </w:rPr>
        <w:t xml:space="preserve"> to democracy</w:t>
      </w:r>
      <w:r>
        <w:rPr>
          <w:rFonts w:ascii="微軟正黑體" w:eastAsia="微軟正黑體" w:hAnsi="微軟正黑體" w:cs="微軟正黑體"/>
          <w:sz w:val="22"/>
        </w:rPr>
        <w:t>）之批判，提出「演算法捷徑」（</w:t>
      </w:r>
      <w:proofErr w:type="spellStart"/>
      <w:r>
        <w:rPr>
          <w:rFonts w:ascii="微軟正黑體" w:eastAsia="微軟正黑體" w:hAnsi="微軟正黑體" w:cs="微軟正黑體"/>
          <w:sz w:val="22"/>
        </w:rPr>
        <w:t>algocratic</w:t>
      </w:r>
      <w:proofErr w:type="spellEnd"/>
      <w:r>
        <w:rPr>
          <w:rFonts w:ascii="微軟正黑體" w:eastAsia="微軟正黑體" w:hAnsi="微軟正黑體" w:cs="微軟正黑體"/>
          <w:sz w:val="22"/>
        </w:rPr>
        <w:t xml:space="preserve"> shortcut</w:t>
      </w:r>
      <w:r>
        <w:rPr>
          <w:rFonts w:ascii="微軟正黑體" w:eastAsia="微軟正黑體" w:hAnsi="微軟正黑體" w:cs="微軟正黑體"/>
          <w:sz w:val="22"/>
        </w:rPr>
        <w:t>）概念：政府援引演算法之知識權威以迴避公民審議，其後果是削弱公民對決策提出異議、</w:t>
      </w:r>
      <w:proofErr w:type="gramStart"/>
      <w:r>
        <w:rPr>
          <w:rFonts w:ascii="微軟正黑體" w:eastAsia="微軟正黑體" w:hAnsi="微軟正黑體" w:cs="微軟正黑體"/>
          <w:sz w:val="22"/>
        </w:rPr>
        <w:t>參與框定的</w:t>
      </w:r>
      <w:proofErr w:type="gramEnd"/>
      <w:r>
        <w:rPr>
          <w:rFonts w:ascii="微軟正黑體" w:eastAsia="微軟正黑體" w:hAnsi="微軟正黑體" w:cs="微軟正黑體"/>
          <w:sz w:val="22"/>
        </w:rPr>
        <w:t>能力</w:t>
      </w:r>
      <w:r>
        <w:rPr>
          <w:rFonts w:ascii="微軟正黑體" w:eastAsia="微軟正黑體" w:hAnsi="微軟正黑體" w:cs="微軟正黑體"/>
          <w:sz w:val="22"/>
        </w:rPr>
        <w:t>——</w:t>
      </w:r>
      <w:r>
        <w:rPr>
          <w:rFonts w:ascii="微軟正黑體" w:eastAsia="微軟正黑體" w:hAnsi="微軟正黑體" w:cs="微軟正黑體"/>
          <w:sz w:val="22"/>
        </w:rPr>
        <w:t>該文並以</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為實例，說明國會與監察機關之調查如何揭露此一捷徑造成之民主損害，其論證方向與</w:t>
      </w:r>
      <w:r>
        <w:rPr>
          <w:rFonts w:ascii="微軟正黑體" w:eastAsia="微軟正黑體" w:hAnsi="微軟正黑體" w:cs="微軟正黑體"/>
          <w:sz w:val="22"/>
        </w:rPr>
        <w:t>Livermore</w:t>
      </w:r>
      <w:r>
        <w:rPr>
          <w:rFonts w:ascii="微軟正黑體" w:eastAsia="微軟正黑體" w:hAnsi="微軟正黑體" w:cs="微軟正黑體"/>
          <w:sz w:val="22"/>
        </w:rPr>
        <w:t>之摩擦論證高度一致，且提供了本文摩擦論證所需的同儕審查基礎。就行政學層次而言，</w:t>
      </w:r>
      <w:r>
        <w:rPr>
          <w:rFonts w:ascii="微軟正黑體" w:eastAsia="微軟正黑體" w:hAnsi="微軟正黑體" w:cs="微軟正黑體"/>
          <w:sz w:val="22"/>
        </w:rPr>
        <w:t>Bullock</w:t>
      </w:r>
      <w:r>
        <w:rPr>
          <w:rFonts w:ascii="微軟正黑體" w:eastAsia="微軟正黑體" w:hAnsi="微軟正黑體" w:cs="微軟正黑體"/>
          <w:sz w:val="22"/>
        </w:rPr>
        <w:t>（</w:t>
      </w:r>
      <w:r>
        <w:rPr>
          <w:rFonts w:ascii="微軟正黑體" w:eastAsia="微軟正黑體" w:hAnsi="微軟正黑體" w:cs="微軟正黑體"/>
          <w:sz w:val="22"/>
        </w:rPr>
        <w:t>2019</w:t>
      </w:r>
      <w:r>
        <w:rPr>
          <w:rFonts w:ascii="微軟正黑體" w:eastAsia="微軟正黑體" w:hAnsi="微軟正黑體" w:cs="微軟正黑體"/>
          <w:sz w:val="22"/>
        </w:rPr>
        <w:t>）於《</w:t>
      </w:r>
      <w:r>
        <w:rPr>
          <w:rFonts w:ascii="微軟正黑體" w:eastAsia="微軟正黑體" w:hAnsi="微軟正黑體" w:cs="微軟正黑體"/>
          <w:sz w:val="22"/>
        </w:rPr>
        <w:t>American Review of Public Administration</w:t>
      </w:r>
      <w:r>
        <w:rPr>
          <w:rFonts w:ascii="微軟正黑體" w:eastAsia="微軟正黑體" w:hAnsi="微軟正黑體" w:cs="微軟正黑體"/>
          <w:sz w:val="22"/>
        </w:rPr>
        <w:t>》之分析亦指出</w:t>
      </w:r>
      <w:r>
        <w:rPr>
          <w:rFonts w:ascii="微軟正黑體" w:eastAsia="微軟正黑體" w:hAnsi="微軟正黑體" w:cs="微軟正黑體"/>
          <w:sz w:val="22"/>
        </w:rPr>
        <w:t>，</w:t>
      </w:r>
      <w:r>
        <w:rPr>
          <w:rFonts w:ascii="微軟正黑體" w:eastAsia="微軟正黑體" w:hAnsi="微軟正黑體" w:cs="微軟正黑體"/>
          <w:sz w:val="22"/>
        </w:rPr>
        <w:t>AI</w:t>
      </w:r>
      <w:r>
        <w:rPr>
          <w:rFonts w:ascii="微軟正黑體" w:eastAsia="微軟正黑體" w:hAnsi="微軟正黑體" w:cs="微軟正黑體"/>
          <w:sz w:val="22"/>
        </w:rPr>
        <w:t>對</w:t>
      </w:r>
      <w:proofErr w:type="gramStart"/>
      <w:r>
        <w:rPr>
          <w:rFonts w:ascii="微軟正黑體" w:eastAsia="微軟正黑體" w:hAnsi="微軟正黑體" w:cs="微軟正黑體"/>
          <w:sz w:val="22"/>
        </w:rPr>
        <w:t>科層裁量</w:t>
      </w:r>
      <w:proofErr w:type="gramEnd"/>
      <w:r>
        <w:rPr>
          <w:rFonts w:ascii="微軟正黑體" w:eastAsia="微軟正黑體" w:hAnsi="微軟正黑體" w:cs="微軟正黑體"/>
          <w:sz w:val="22"/>
        </w:rPr>
        <w:t>之影響非線性、非單調，其效果因任務性質與組織結構而異，但整體而言</w:t>
      </w:r>
      <w:r>
        <w:rPr>
          <w:rFonts w:ascii="微軟正黑體" w:eastAsia="微軟正黑體" w:hAnsi="微軟正黑體" w:cs="微軟正黑體"/>
          <w:sz w:val="22"/>
        </w:rPr>
        <w:t>AI</w:t>
      </w:r>
      <w:r>
        <w:rPr>
          <w:rFonts w:ascii="微軟正黑體" w:eastAsia="微軟正黑體" w:hAnsi="微軟正黑體" w:cs="微軟正黑體"/>
          <w:sz w:val="22"/>
        </w:rPr>
        <w:t>確有壓縮基層行政人員裁量空間、進而改變科層形式之系統性傾向。三篇文獻</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r>
        <w:rPr>
          <w:rFonts w:ascii="微軟正黑體" w:eastAsia="微軟正黑體" w:hAnsi="微軟正黑體" w:cs="微軟正黑體"/>
          <w:sz w:val="22"/>
        </w:rPr>
        <w:t>一篇評論性文章、一篇政治理論期刊論文、一篇公共行政期刊論文</w:t>
      </w:r>
      <w:r>
        <w:rPr>
          <w:rFonts w:ascii="微軟正黑體" w:eastAsia="微軟正黑體" w:hAnsi="微軟正黑體" w:cs="微軟正黑體"/>
          <w:sz w:val="22"/>
        </w:rPr>
        <w:t>——</w:t>
      </w:r>
      <w:r>
        <w:rPr>
          <w:rFonts w:ascii="微軟正黑體" w:eastAsia="微軟正黑體" w:hAnsi="微軟正黑體" w:cs="微軟正黑體"/>
          <w:sz w:val="22"/>
        </w:rPr>
        <w:t>分屬不同學術社群，卻在「</w:t>
      </w:r>
      <w:r>
        <w:rPr>
          <w:rFonts w:ascii="微軟正黑體" w:eastAsia="微軟正黑體" w:hAnsi="微軟正黑體" w:cs="微軟正黑體"/>
          <w:sz w:val="22"/>
        </w:rPr>
        <w:t>AI</w:t>
      </w:r>
      <w:r>
        <w:rPr>
          <w:rFonts w:ascii="微軟正黑體" w:eastAsia="微軟正黑體" w:hAnsi="微軟正黑體" w:cs="微軟正黑體"/>
          <w:sz w:val="22"/>
        </w:rPr>
        <w:t>擴張以效率之名壓縮既有摩擦來源」這一命題上收斂一致，使本文得以在此命題上引用超過單一評論性文章之學術依據。</w:t>
      </w:r>
    </w:p>
    <w:p w:rsidR="00035E70" w:rsidRDefault="000B3CAA">
      <w:pPr>
        <w:pStyle w:val="3"/>
        <w:keepNext/>
        <w:spacing w:before="180" w:after="70"/>
      </w:pPr>
      <w:r>
        <w:rPr>
          <w:rFonts w:ascii="微軟正黑體" w:eastAsia="微軟正黑體" w:hAnsi="微軟正黑體" w:cs="微軟正黑體"/>
          <w:b/>
        </w:rPr>
        <w:t>（三）形式理性與演算法牢籠</w:t>
      </w:r>
    </w:p>
    <w:p w:rsidR="00035E70" w:rsidRDefault="000B3CAA">
      <w:pPr>
        <w:spacing w:after="160" w:line="300" w:lineRule="auto"/>
        <w:jc w:val="both"/>
      </w:pPr>
      <w:r>
        <w:rPr>
          <w:rFonts w:ascii="微軟正黑體" w:eastAsia="微軟正黑體" w:hAnsi="微軟正黑體" w:cs="微軟正黑體"/>
          <w:sz w:val="22"/>
        </w:rPr>
        <w:t>韋伯區分「形式理性」（</w:t>
      </w:r>
      <w:proofErr w:type="spellStart"/>
      <w:r>
        <w:rPr>
          <w:rFonts w:ascii="微軟正黑體" w:eastAsia="微軟正黑體" w:hAnsi="微軟正黑體" w:cs="微軟正黑體"/>
          <w:sz w:val="22"/>
        </w:rPr>
        <w:t>Zweckrationalität</w:t>
      </w:r>
      <w:proofErr w:type="spellEnd"/>
      <w:r>
        <w:rPr>
          <w:rFonts w:ascii="微軟正黑體" w:eastAsia="微軟正黑體" w:hAnsi="微軟正黑體" w:cs="微軟正黑體"/>
          <w:sz w:val="22"/>
        </w:rPr>
        <w:t>）與「實質理性」（</w:t>
      </w:r>
      <w:proofErr w:type="spellStart"/>
      <w:r>
        <w:rPr>
          <w:rFonts w:ascii="微軟正黑體" w:eastAsia="微軟正黑體" w:hAnsi="微軟正黑體" w:cs="微軟正黑體"/>
          <w:sz w:val="22"/>
        </w:rPr>
        <w:t>Wertrationalität</w:t>
      </w:r>
      <w:proofErr w:type="spellEnd"/>
      <w:r>
        <w:rPr>
          <w:rFonts w:ascii="微軟正黑體" w:eastAsia="微軟正黑體" w:hAnsi="微軟正黑體" w:cs="微軟正黑體"/>
          <w:sz w:val="22"/>
        </w:rPr>
        <w:t>），並警告當形式理性的擴</w:t>
      </w:r>
      <w:r>
        <w:rPr>
          <w:rFonts w:ascii="微軟正黑體" w:eastAsia="微軟正黑體" w:hAnsi="微軟正黑體" w:cs="微軟正黑體"/>
          <w:sz w:val="22"/>
        </w:rPr>
        <w:t>張徹底壓過實質理性時，行動者將被化約為科層機器中的一枚齒輪，困於「鐵</w:t>
      </w:r>
      <w:r>
        <w:rPr>
          <w:rFonts w:ascii="微軟正黑體" w:eastAsia="微軟正黑體" w:hAnsi="微軟正黑體" w:cs="微軟正黑體"/>
          <w:sz w:val="22"/>
        </w:rPr>
        <w:lastRenderedPageBreak/>
        <w:t>籠」（</w:t>
      </w:r>
      <w:proofErr w:type="spellStart"/>
      <w:r>
        <w:rPr>
          <w:rFonts w:ascii="微軟正黑體" w:eastAsia="微軟正黑體" w:hAnsi="微軟正黑體" w:cs="微軟正黑體"/>
          <w:sz w:val="22"/>
        </w:rPr>
        <w:t>stahlhartes</w:t>
      </w:r>
      <w:proofErr w:type="spellEnd"/>
      <w:r>
        <w:rPr>
          <w:rFonts w:ascii="微軟正黑體" w:eastAsia="微軟正黑體" w:hAnsi="微軟正黑體" w:cs="微軟正黑體"/>
          <w:sz w:val="22"/>
        </w:rPr>
        <w:t xml:space="preserve"> </w:t>
      </w:r>
      <w:proofErr w:type="spellStart"/>
      <w:r>
        <w:rPr>
          <w:rFonts w:ascii="微軟正黑體" w:eastAsia="微軟正黑體" w:hAnsi="微軟正黑體" w:cs="微軟正黑體"/>
          <w:sz w:val="22"/>
        </w:rPr>
        <w:t>Gehäuse</w:t>
      </w:r>
      <w:proofErr w:type="spellEnd"/>
      <w:r>
        <w:rPr>
          <w:rFonts w:ascii="微軟正黑體" w:eastAsia="微軟正黑體" w:hAnsi="微軟正黑體" w:cs="微軟正黑體"/>
          <w:sz w:val="22"/>
        </w:rPr>
        <w:t>）之中（</w:t>
      </w:r>
      <w:r>
        <w:rPr>
          <w:rFonts w:ascii="微軟正黑體" w:eastAsia="微軟正黑體" w:hAnsi="微軟正黑體" w:cs="微軟正黑體"/>
          <w:sz w:val="22"/>
        </w:rPr>
        <w:t>Weber, 1930/1992</w:t>
      </w:r>
      <w:r>
        <w:rPr>
          <w:rFonts w:ascii="微軟正黑體" w:eastAsia="微軟正黑體" w:hAnsi="微軟正黑體" w:cs="微軟正黑體"/>
          <w:sz w:val="22"/>
        </w:rPr>
        <w:t>）。</w:t>
      </w:r>
      <w:r>
        <w:rPr>
          <w:rFonts w:ascii="微軟正黑體" w:eastAsia="微軟正黑體" w:hAnsi="微軟正黑體" w:cs="微軟正黑體"/>
          <w:sz w:val="22"/>
        </w:rPr>
        <w:t>De Angelis</w:t>
      </w:r>
      <w:r>
        <w:rPr>
          <w:rFonts w:ascii="微軟正黑體" w:eastAsia="微軟正黑體" w:hAnsi="微軟正黑體" w:cs="微軟正黑體"/>
          <w:sz w:val="22"/>
        </w:rPr>
        <w:t>（</w:t>
      </w:r>
      <w:r>
        <w:rPr>
          <w:rFonts w:ascii="微軟正黑體" w:eastAsia="微軟正黑體" w:hAnsi="微軟正黑體" w:cs="微軟正黑體"/>
          <w:sz w:val="22"/>
        </w:rPr>
        <w:t>2026</w:t>
      </w:r>
      <w:r>
        <w:rPr>
          <w:rFonts w:ascii="微軟正黑體" w:eastAsia="微軟正黑體" w:hAnsi="微軟正黑體" w:cs="微軟正黑體"/>
          <w:sz w:val="22"/>
        </w:rPr>
        <w:t>）延續此一命題，提出「演算法牢籠」概念，主張</w:t>
      </w:r>
      <w:r>
        <w:rPr>
          <w:rFonts w:ascii="微軟正黑體" w:eastAsia="微軟正黑體" w:hAnsi="微軟正黑體" w:cs="微軟正黑體"/>
          <w:sz w:val="22"/>
        </w:rPr>
        <w:t>AI</w:t>
      </w:r>
      <w:r>
        <w:rPr>
          <w:rFonts w:ascii="微軟正黑體" w:eastAsia="微軟正黑體" w:hAnsi="微軟正黑體" w:cs="微軟正黑體"/>
          <w:sz w:val="22"/>
        </w:rPr>
        <w:t>構成韋伯所理論化之現代理性化過程的新階段；其結論並非</w:t>
      </w:r>
      <w:r>
        <w:rPr>
          <w:rFonts w:ascii="微軟正黑體" w:eastAsia="微軟正黑體" w:hAnsi="微軟正黑體" w:cs="微軟正黑體"/>
          <w:sz w:val="22"/>
        </w:rPr>
        <w:t>AI</w:t>
      </w:r>
      <w:proofErr w:type="gramStart"/>
      <w:r>
        <w:rPr>
          <w:rFonts w:ascii="微軟正黑體" w:eastAsia="微軟正黑體" w:hAnsi="微軟正黑體" w:cs="微軟正黑體"/>
          <w:sz w:val="22"/>
        </w:rPr>
        <w:t>打破了韋伯</w:t>
      </w:r>
      <w:proofErr w:type="gramEnd"/>
      <w:r>
        <w:rPr>
          <w:rFonts w:ascii="微軟正黑體" w:eastAsia="微軟正黑體" w:hAnsi="微軟正黑體" w:cs="微軟正黑體"/>
          <w:sz w:val="22"/>
        </w:rPr>
        <w:t>式牢籠，而是將其重構為一種更具滲透性、更不透明、也更具情感誘導力的架構</w:t>
      </w:r>
      <w:r>
        <w:rPr>
          <w:rFonts w:ascii="微軟正黑體" w:eastAsia="微軟正黑體" w:hAnsi="微軟正黑體" w:cs="微軟正黑體"/>
          <w:sz w:val="22"/>
        </w:rPr>
        <w:t>——</w:t>
      </w:r>
      <w:r>
        <w:rPr>
          <w:rFonts w:ascii="微軟正黑體" w:eastAsia="微軟正黑體" w:hAnsi="微軟正黑體" w:cs="微軟正黑體"/>
          <w:sz w:val="22"/>
        </w:rPr>
        <w:t>但這並不因此封閉自主與民主抵抗的可能空間。這條路徑理論資源最為古典，卻也最貼近本文所關切的「正當性、合法性、合理性三值合一」直覺：當形式理</w:t>
      </w:r>
      <w:r>
        <w:rPr>
          <w:rFonts w:ascii="微軟正黑體" w:eastAsia="微軟正黑體" w:hAnsi="微軟正黑體" w:cs="微軟正黑體"/>
          <w:sz w:val="22"/>
        </w:rPr>
        <w:t>性徹底勝出，原本分屬「政治</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實質」、「規範</w:t>
      </w:r>
      <w:r>
        <w:rPr>
          <w:rFonts w:ascii="微軟正黑體" w:eastAsia="微軟正黑體" w:hAnsi="微軟正黑體" w:cs="微軟正黑體"/>
          <w:sz w:val="22"/>
        </w:rPr>
        <w:t>—</w:t>
      </w:r>
      <w:r>
        <w:rPr>
          <w:rFonts w:ascii="微軟正黑體" w:eastAsia="微軟正黑體" w:hAnsi="微軟正黑體" w:cs="微軟正黑體"/>
          <w:sz w:val="22"/>
        </w:rPr>
        <w:t>程序」、「工具</w:t>
      </w:r>
      <w:r>
        <w:rPr>
          <w:rFonts w:ascii="微軟正黑體" w:eastAsia="微軟正黑體" w:hAnsi="微軟正黑體" w:cs="微軟正黑體"/>
          <w:sz w:val="22"/>
        </w:rPr>
        <w:t>—</w:t>
      </w:r>
      <w:r>
        <w:rPr>
          <w:rFonts w:ascii="微軟正黑體" w:eastAsia="微軟正黑體" w:hAnsi="微軟正黑體" w:cs="微軟正黑體"/>
          <w:sz w:val="22"/>
        </w:rPr>
        <w:t>效率」三套不同語言的證成邏輯，確有可能被壓扁為單一的「有效率即正確」邏輯。然而，這條路徑目前仍多停留於社會學與哲學層次的隱喻延伸，尚未被接回到具體的行政法或政策階段操作化問題上。</w:t>
      </w:r>
    </w:p>
    <w:p w:rsidR="00035E70" w:rsidRDefault="000B3CAA">
      <w:pPr>
        <w:pStyle w:val="3"/>
        <w:keepNext/>
        <w:spacing w:before="180" w:after="70"/>
      </w:pPr>
      <w:r>
        <w:rPr>
          <w:rFonts w:ascii="微軟正黑體" w:eastAsia="微軟正黑體" w:hAnsi="微軟正黑體" w:cs="微軟正黑體"/>
          <w:b/>
        </w:rPr>
        <w:t>（四）三個立足點的交集</w:t>
      </w:r>
    </w:p>
    <w:p w:rsidR="00035E70" w:rsidRDefault="000B3CAA">
      <w:pPr>
        <w:spacing w:after="160" w:line="300" w:lineRule="auto"/>
        <w:jc w:val="both"/>
      </w:pPr>
      <w:r>
        <w:rPr>
          <w:rFonts w:ascii="微軟正黑體" w:eastAsia="微軟正黑體" w:hAnsi="微軟正黑體" w:cs="微軟正黑體"/>
          <w:sz w:val="22"/>
        </w:rPr>
        <w:t>三個立足點各自成立，卻彼此平行：第一個問「治理品質是否足夠」，第二</w:t>
      </w:r>
      <w:proofErr w:type="gramStart"/>
      <w:r>
        <w:rPr>
          <w:rFonts w:ascii="微軟正黑體" w:eastAsia="微軟正黑體" w:hAnsi="微軟正黑體" w:cs="微軟正黑體"/>
          <w:sz w:val="22"/>
        </w:rPr>
        <w:t>個</w:t>
      </w:r>
      <w:proofErr w:type="gramEnd"/>
      <w:r>
        <w:rPr>
          <w:rFonts w:ascii="微軟正黑體" w:eastAsia="微軟正黑體" w:hAnsi="微軟正黑體" w:cs="微軟正黑體"/>
          <w:sz w:val="22"/>
        </w:rPr>
        <w:t>問「效率是否與民主概念相容」，第三個問「理性化是否終將吞噬價值理性」，但沒有一個立足點，把問題精確地放在「情境</w:t>
      </w:r>
      <w:proofErr w:type="gramStart"/>
      <w:r>
        <w:rPr>
          <w:rFonts w:ascii="微軟正黑體" w:eastAsia="微軟正黑體" w:hAnsi="微軟正黑體" w:cs="微軟正黑體"/>
          <w:sz w:val="22"/>
        </w:rPr>
        <w:t>建構鏈能</w:t>
      </w:r>
      <w:proofErr w:type="gramEnd"/>
      <w:r>
        <w:rPr>
          <w:rFonts w:ascii="微軟正黑體" w:eastAsia="微軟正黑體" w:hAnsi="微軟正黑體" w:cs="微軟正黑體"/>
          <w:sz w:val="22"/>
        </w:rPr>
        <w:t>否被獨立於權威、理由、責任鏈之外測量」這個位置上。這個文獻缺口</w:t>
      </w:r>
      <w:r>
        <w:rPr>
          <w:rFonts w:ascii="微軟正黑體" w:eastAsia="微軟正黑體" w:hAnsi="微軟正黑體" w:cs="微軟正黑體"/>
          <w:sz w:val="22"/>
        </w:rPr>
        <w:t>本身，恰好呼應了政策階段論長期受到的方法論質疑：</w:t>
      </w:r>
      <w:r>
        <w:rPr>
          <w:rFonts w:ascii="微軟正黑體" w:eastAsia="微軟正黑體" w:hAnsi="微軟正黑體" w:cs="微軟正黑體"/>
          <w:sz w:val="22"/>
        </w:rPr>
        <w:t>Sabatier</w:t>
      </w:r>
      <w:r>
        <w:rPr>
          <w:rFonts w:ascii="微軟正黑體" w:eastAsia="微軟正黑體" w:hAnsi="微軟正黑體" w:cs="微軟正黑體"/>
          <w:sz w:val="22"/>
        </w:rPr>
        <w:t>與</w:t>
      </w:r>
      <w:r>
        <w:rPr>
          <w:rFonts w:ascii="微軟正黑體" w:eastAsia="微軟正黑體" w:hAnsi="微軟正黑體" w:cs="微軟正黑體"/>
          <w:sz w:val="22"/>
        </w:rPr>
        <w:t>Jenkins-Smith</w:t>
      </w:r>
      <w:r>
        <w:rPr>
          <w:rFonts w:ascii="微軟正黑體" w:eastAsia="微軟正黑體" w:hAnsi="微軟正黑體" w:cs="微軟正黑體"/>
          <w:sz w:val="22"/>
        </w:rPr>
        <w:t>（</w:t>
      </w:r>
      <w:r>
        <w:rPr>
          <w:rFonts w:ascii="微軟正黑體" w:eastAsia="微軟正黑體" w:hAnsi="微軟正黑體" w:cs="微軟正黑體"/>
          <w:sz w:val="22"/>
        </w:rPr>
        <w:t>1993</w:t>
      </w:r>
      <w:r>
        <w:rPr>
          <w:rFonts w:ascii="微軟正黑體" w:eastAsia="微軟正黑體" w:hAnsi="微軟正黑體" w:cs="微軟正黑體"/>
          <w:sz w:val="22"/>
        </w:rPr>
        <w:t>）早已指出，階段論並非真正意義上的因果模型，而僅是一種啟發式工具，其存在理由是提供</w:t>
      </w:r>
      <w:proofErr w:type="gramStart"/>
      <w:r>
        <w:rPr>
          <w:rFonts w:ascii="微軟正黑體" w:eastAsia="微軟正黑體" w:hAnsi="微軟正黑體" w:cs="微軟正黑體"/>
          <w:sz w:val="22"/>
        </w:rPr>
        <w:t>外部課責</w:t>
      </w:r>
      <w:proofErr w:type="gramEnd"/>
      <w:r>
        <w:rPr>
          <w:rFonts w:ascii="微軟正黑體" w:eastAsia="微軟正黑體" w:hAnsi="微軟正黑體" w:cs="微軟正黑體"/>
          <w:sz w:val="22"/>
        </w:rPr>
        <w:t>者可資指認、切割的分析裝置，而非宣稱政治過程本身即依線性階段推進。若將這個質疑對照</w:t>
      </w:r>
      <w:r>
        <w:rPr>
          <w:rFonts w:ascii="微軟正黑體" w:eastAsia="微軟正黑體" w:hAnsi="微軟正黑體" w:cs="微軟正黑體"/>
          <w:sz w:val="22"/>
        </w:rPr>
        <w:t>Thompson</w:t>
      </w:r>
      <w:r>
        <w:rPr>
          <w:rFonts w:ascii="微軟正黑體" w:eastAsia="微軟正黑體" w:hAnsi="微軟正黑體" w:cs="微軟正黑體"/>
          <w:sz w:val="22"/>
        </w:rPr>
        <w:t>（</w:t>
      </w:r>
      <w:r>
        <w:rPr>
          <w:rFonts w:ascii="微軟正黑體" w:eastAsia="微軟正黑體" w:hAnsi="微軟正黑體" w:cs="微軟正黑體"/>
          <w:sz w:val="22"/>
        </w:rPr>
        <w:t>1980</w:t>
      </w:r>
      <w:r>
        <w:rPr>
          <w:rFonts w:ascii="微軟正黑體" w:eastAsia="微軟正黑體" w:hAnsi="微軟正黑體" w:cs="微軟正黑體"/>
          <w:sz w:val="22"/>
        </w:rPr>
        <w:t>）所提出的「多手問題」</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w:t>
      </w:r>
      <w:r>
        <w:rPr>
          <w:rFonts w:ascii="微軟正黑體" w:eastAsia="微軟正黑體" w:hAnsi="微軟正黑體" w:cs="微軟正黑體"/>
          <w:sz w:val="22"/>
        </w:rPr>
        <w:t>當決策由眾多行為者協力形成時，責任在邏輯上便難以歸屬於任一具體個人</w:t>
      </w:r>
      <w:r>
        <w:rPr>
          <w:rFonts w:ascii="微軟正黑體" w:eastAsia="微軟正黑體" w:hAnsi="微軟正黑體" w:cs="微軟正黑體"/>
          <w:sz w:val="22"/>
        </w:rPr>
        <w:t>——</w:t>
      </w:r>
      <w:r>
        <w:rPr>
          <w:rFonts w:ascii="微軟正黑體" w:eastAsia="微軟正黑體" w:hAnsi="微軟正黑體" w:cs="微軟正黑體"/>
          <w:sz w:val="22"/>
        </w:rPr>
        <w:t>本文所處理的「行政機關明知情境建構背後是政治妥協的產物，仍要建立一套可指認、可追溯的分析裝置」，其實正是這整條學術傳</w:t>
      </w:r>
      <w:r>
        <w:rPr>
          <w:rFonts w:ascii="微軟正黑體" w:eastAsia="微軟正黑體" w:hAnsi="微軟正黑體" w:cs="微軟正黑體"/>
          <w:sz w:val="22"/>
        </w:rPr>
        <w:t>統一貫的自我定位：不是要否認政治的存在，而是在明知無法消除政治的前提下，仍要為政治的運作過程留下可被指認、可被追問的痕跡。</w:t>
      </w:r>
    </w:p>
    <w:p w:rsidR="00035E70" w:rsidRDefault="000B3CAA">
      <w:pPr>
        <w:pStyle w:val="3"/>
        <w:keepNext/>
        <w:spacing w:before="180" w:after="70"/>
      </w:pPr>
      <w:r>
        <w:rPr>
          <w:rFonts w:ascii="微軟正黑體" w:eastAsia="微軟正黑體" w:hAnsi="微軟正黑體" w:cs="微軟正黑體"/>
          <w:b/>
        </w:rPr>
        <w:t>（五）本文的謙遜立場：保留摩擦與可指認性</w:t>
      </w:r>
    </w:p>
    <w:p w:rsidR="00035E70" w:rsidRDefault="000B3CAA">
      <w:pPr>
        <w:spacing w:after="160" w:line="300" w:lineRule="auto"/>
        <w:jc w:val="both"/>
      </w:pPr>
      <w:r>
        <w:rPr>
          <w:rFonts w:ascii="微軟正黑體" w:eastAsia="微軟正黑體" w:hAnsi="微軟正黑體" w:cs="微軟正黑體"/>
          <w:sz w:val="22"/>
        </w:rPr>
        <w:t>本文因此採取的理論立場是：母架構與其後的雙階段測量，並非宣稱能使</w:t>
      </w:r>
      <w:r>
        <w:rPr>
          <w:rFonts w:ascii="微軟正黑體" w:eastAsia="微軟正黑體" w:hAnsi="微軟正黑體" w:cs="微軟正黑體"/>
          <w:sz w:val="22"/>
        </w:rPr>
        <w:t>AI</w:t>
      </w:r>
      <w:r>
        <w:rPr>
          <w:rFonts w:ascii="微軟正黑體" w:eastAsia="微軟正黑體" w:hAnsi="微軟正黑體" w:cs="微軟正黑體"/>
          <w:sz w:val="22"/>
        </w:rPr>
        <w:t>介入下的情境</w:t>
      </w:r>
      <w:proofErr w:type="gramStart"/>
      <w:r>
        <w:rPr>
          <w:rFonts w:ascii="微軟正黑體" w:eastAsia="微軟正黑體" w:hAnsi="微軟正黑體" w:cs="微軟正黑體"/>
          <w:sz w:val="22"/>
        </w:rPr>
        <w:t>建構鏈脫離</w:t>
      </w:r>
      <w:proofErr w:type="gramEnd"/>
      <w:r>
        <w:rPr>
          <w:rFonts w:ascii="微軟正黑體" w:eastAsia="微軟正黑體" w:hAnsi="微軟正黑體" w:cs="微軟正黑體"/>
          <w:sz w:val="22"/>
        </w:rPr>
        <w:t>政治而恢復純粹理性控制</w:t>
      </w:r>
      <w:r>
        <w:rPr>
          <w:rFonts w:ascii="微軟正黑體" w:eastAsia="微軟正黑體" w:hAnsi="微軟正黑體" w:cs="微軟正黑體"/>
          <w:sz w:val="22"/>
        </w:rPr>
        <w:t>——</w:t>
      </w:r>
      <w:r>
        <w:rPr>
          <w:rFonts w:ascii="微軟正黑體" w:eastAsia="微軟正黑體" w:hAnsi="微軟正黑體" w:cs="微軟正黑體"/>
          <w:sz w:val="22"/>
        </w:rPr>
        <w:t>若如此宣稱，便會落入以卵擊石的樂觀主義，也會迴避</w:t>
      </w:r>
      <w:r>
        <w:rPr>
          <w:rFonts w:ascii="微軟正黑體" w:eastAsia="微軟正黑體" w:hAnsi="微軟正黑體" w:cs="微軟正黑體"/>
          <w:sz w:val="22"/>
        </w:rPr>
        <w:t>Livermore</w:t>
      </w:r>
      <w:r>
        <w:rPr>
          <w:rFonts w:ascii="微軟正黑體" w:eastAsia="微軟正黑體" w:hAnsi="微軟正黑體" w:cs="微軟正黑體"/>
          <w:sz w:val="22"/>
        </w:rPr>
        <w:t>所指出的「效率與民主摩擦不相容」的結構性風險。母架構真正能夠成立的主張，是遠為謙遜、但也更貼近上述三個文獻立足點交集之處的版本：它</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宣稱能消除政治之惡，只宣稱能在政</w:t>
      </w:r>
      <w:r>
        <w:rPr>
          <w:rFonts w:ascii="微軟正黑體" w:eastAsia="微軟正黑體" w:hAnsi="微軟正黑體" w:cs="微軟正黑體"/>
          <w:sz w:val="22"/>
        </w:rPr>
        <w:t>治之惡持續發生的過程中，維持足夠的摩擦與可指認性，使正當性、合法性、合理性三套語言不至於被單一效率邏輯徹底壓平。這個立場，也決定了本文為何必須先完成本節的理論辯證，再</w:t>
      </w:r>
      <w:proofErr w:type="gramStart"/>
      <w:r>
        <w:rPr>
          <w:rFonts w:ascii="微軟正黑體" w:eastAsia="微軟正黑體" w:hAnsi="微軟正黑體" w:cs="微軟正黑體"/>
          <w:sz w:val="22"/>
        </w:rPr>
        <w:t>進入肆節的</w:t>
      </w:r>
      <w:proofErr w:type="gramEnd"/>
      <w:r>
        <w:rPr>
          <w:rFonts w:ascii="微軟正黑體" w:eastAsia="微軟正黑體" w:hAnsi="微軟正黑體" w:cs="微軟正黑體"/>
          <w:sz w:val="22"/>
        </w:rPr>
        <w:t>操作化測量</w:t>
      </w:r>
      <w:r>
        <w:rPr>
          <w:rFonts w:ascii="微軟正黑體" w:eastAsia="微軟正黑體" w:hAnsi="微軟正黑體" w:cs="微軟正黑體"/>
          <w:sz w:val="22"/>
        </w:rPr>
        <w:t>——</w:t>
      </w:r>
      <w:r>
        <w:rPr>
          <w:rFonts w:ascii="微軟正黑體" w:eastAsia="微軟正黑體" w:hAnsi="微軟正黑體" w:cs="微軟正黑體"/>
          <w:sz w:val="22"/>
        </w:rPr>
        <w:t>若理論地基不穩，操作化只會是精緻地重複同一個尚未被檢驗的假設。</w:t>
      </w:r>
    </w:p>
    <w:p w:rsidR="00035E70" w:rsidRDefault="000B3CAA">
      <w:pPr>
        <w:pStyle w:val="2"/>
        <w:spacing w:before="260" w:after="140"/>
      </w:pPr>
      <w:r>
        <w:rPr>
          <w:rFonts w:ascii="微軟正黑體" w:eastAsia="微軟正黑體" w:hAnsi="微軟正黑體" w:cs="微軟正黑體"/>
          <w:b/>
          <w:sz w:val="24"/>
        </w:rPr>
        <w:lastRenderedPageBreak/>
        <w:t>三、民主正當性的三項最低要求</w:t>
      </w:r>
    </w:p>
    <w:p w:rsidR="00035E70" w:rsidRDefault="000B3CAA">
      <w:pPr>
        <w:spacing w:after="160" w:line="300" w:lineRule="auto"/>
        <w:jc w:val="both"/>
      </w:pPr>
      <w:r>
        <w:rPr>
          <w:rFonts w:ascii="微軟正黑體" w:eastAsia="微軟正黑體" w:hAnsi="微軟正黑體" w:cs="微軟正黑體"/>
          <w:sz w:val="22"/>
        </w:rPr>
        <w:t>本文綜合輸入正當性、可爭議性民主、</w:t>
      </w:r>
      <w:proofErr w:type="gramStart"/>
      <w:r>
        <w:rPr>
          <w:rFonts w:ascii="微軟正黑體" w:eastAsia="微軟正黑體" w:hAnsi="微軟正黑體" w:cs="微軟正黑體"/>
          <w:sz w:val="22"/>
        </w:rPr>
        <w:t>課責與</w:t>
      </w:r>
      <w:proofErr w:type="gramEnd"/>
      <w:r>
        <w:rPr>
          <w:rFonts w:ascii="微軟正黑體" w:eastAsia="微軟正黑體" w:hAnsi="微軟正黑體" w:cs="微軟正黑體"/>
          <w:sz w:val="22"/>
        </w:rPr>
        <w:t>認識論正義，將情境</w:t>
      </w:r>
      <w:proofErr w:type="gramStart"/>
      <w:r>
        <w:rPr>
          <w:rFonts w:ascii="微軟正黑體" w:eastAsia="微軟正黑體" w:hAnsi="微軟正黑體" w:cs="微軟正黑體"/>
          <w:sz w:val="22"/>
        </w:rPr>
        <w:t>建構鏈</w:t>
      </w:r>
      <w:proofErr w:type="gramEnd"/>
      <w:r>
        <w:rPr>
          <w:rFonts w:ascii="微軟正黑體" w:eastAsia="微軟正黑體" w:hAnsi="微軟正黑體" w:cs="微軟正黑體"/>
          <w:sz w:val="22"/>
        </w:rPr>
        <w:t>的最低民主要求概括為：</w:t>
      </w:r>
    </w:p>
    <w:p w:rsidR="00035E70" w:rsidRDefault="000B3CAA">
      <w:pPr>
        <w:spacing w:after="120" w:line="300" w:lineRule="auto"/>
        <w:ind w:left="420" w:hanging="420"/>
        <w:jc w:val="both"/>
      </w:pPr>
      <w:r>
        <w:rPr>
          <w:rFonts w:ascii="微軟正黑體" w:eastAsia="微軟正黑體" w:hAnsi="微軟正黑體" w:cs="微軟正黑體"/>
          <w:sz w:val="22"/>
        </w:rPr>
        <w:t xml:space="preserve">1. </w:t>
      </w:r>
      <w:r>
        <w:rPr>
          <w:rFonts w:ascii="微軟正黑體" w:eastAsia="微軟正黑體" w:hAnsi="微軟正黑體" w:cs="微軟正黑體"/>
          <w:sz w:val="22"/>
        </w:rPr>
        <w:t>可追溯性：</w:t>
      </w:r>
      <w:r>
        <w:rPr>
          <w:rFonts w:ascii="微軟正黑體" w:eastAsia="微軟正黑體" w:hAnsi="微軟正黑體" w:cs="微軟正黑體"/>
          <w:sz w:val="22"/>
        </w:rPr>
        <w:t xml:space="preserve"> </w:t>
      </w:r>
      <w:r>
        <w:rPr>
          <w:rFonts w:ascii="微軟正黑體" w:eastAsia="微軟正黑體" w:hAnsi="微軟正黑體" w:cs="微軟正黑體"/>
          <w:sz w:val="22"/>
        </w:rPr>
        <w:t>能指出問題定義、資料選擇、分類與</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值由誰、在何時、依何理由形成及變更。</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可質疑性：</w:t>
      </w:r>
      <w:r>
        <w:rPr>
          <w:rFonts w:ascii="微軟正黑體" w:eastAsia="微軟正黑體" w:hAnsi="微軟正黑體" w:cs="微軟正黑體"/>
          <w:sz w:val="22"/>
        </w:rPr>
        <w:t xml:space="preserve"> </w:t>
      </w:r>
      <w:r>
        <w:rPr>
          <w:rFonts w:ascii="微軟正黑體" w:eastAsia="微軟正黑體" w:hAnsi="微軟正黑體" w:cs="微軟正黑體"/>
          <w:sz w:val="22"/>
        </w:rPr>
        <w:t>受影響者、監督機關或外部專家能</w:t>
      </w:r>
      <w:proofErr w:type="gramStart"/>
      <w:r>
        <w:rPr>
          <w:rFonts w:ascii="微軟正黑體" w:eastAsia="微軟正黑體" w:hAnsi="微軟正黑體" w:cs="微軟正黑體"/>
          <w:sz w:val="22"/>
        </w:rPr>
        <w:t>對</w:t>
      </w:r>
      <w:r>
        <w:rPr>
          <w:rFonts w:ascii="微軟正黑體" w:eastAsia="微軟正黑體" w:hAnsi="微軟正黑體" w:cs="微軟正黑體"/>
          <w:sz w:val="22"/>
        </w:rPr>
        <w:t>框定</w:t>
      </w:r>
      <w:proofErr w:type="gramEnd"/>
      <w:r>
        <w:rPr>
          <w:rFonts w:ascii="微軟正黑體" w:eastAsia="微軟正黑體" w:hAnsi="微軟正黑體" w:cs="微軟正黑體"/>
          <w:sz w:val="22"/>
        </w:rPr>
        <w:t>本身提出異議，而不只對最終輸出申訴。</w:t>
      </w:r>
    </w:p>
    <w:p w:rsidR="00035E70" w:rsidRDefault="000B3CAA">
      <w:pPr>
        <w:spacing w:after="120" w:line="300" w:lineRule="auto"/>
        <w:ind w:left="420" w:hanging="420"/>
        <w:jc w:val="both"/>
      </w:pPr>
      <w:r>
        <w:rPr>
          <w:rFonts w:ascii="微軟正黑體" w:eastAsia="微軟正黑體" w:hAnsi="微軟正黑體" w:cs="微軟正黑體"/>
          <w:sz w:val="22"/>
        </w:rPr>
        <w:t xml:space="preserve">3. </w:t>
      </w:r>
      <w:r>
        <w:rPr>
          <w:rFonts w:ascii="微軟正黑體" w:eastAsia="微軟正黑體" w:hAnsi="微軟正黑體" w:cs="微軟正黑體"/>
          <w:sz w:val="22"/>
        </w:rPr>
        <w:t>可修正性：</w:t>
      </w:r>
      <w:r>
        <w:rPr>
          <w:rFonts w:ascii="微軟正黑體" w:eastAsia="微軟正黑體" w:hAnsi="微軟正黑體" w:cs="微軟正黑體"/>
          <w:sz w:val="22"/>
        </w:rPr>
        <w:t xml:space="preserve"> </w:t>
      </w:r>
      <w:r>
        <w:rPr>
          <w:rFonts w:ascii="微軟正黑體" w:eastAsia="微軟正黑體" w:hAnsi="微軟正黑體" w:cs="微軟正黑體"/>
          <w:sz w:val="22"/>
        </w:rPr>
        <w:t>異議能觸發實質重審，並留下資料範圍、分類、提示或</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值的修正紀錄。</w:t>
      </w:r>
    </w:p>
    <w:p w:rsidR="00035E70" w:rsidRDefault="000B3CAA">
      <w:pPr>
        <w:spacing w:after="160" w:line="300" w:lineRule="auto"/>
        <w:jc w:val="both"/>
      </w:pPr>
      <w:r>
        <w:rPr>
          <w:rFonts w:ascii="微軟正黑體" w:eastAsia="微軟正黑體" w:hAnsi="微軟正黑體" w:cs="微軟正黑體"/>
          <w:sz w:val="22"/>
        </w:rPr>
        <w:t>Pettit</w:t>
      </w:r>
      <w:r>
        <w:rPr>
          <w:rFonts w:ascii="微軟正黑體" w:eastAsia="微軟正黑體" w:hAnsi="微軟正黑體" w:cs="微軟正黑體"/>
          <w:sz w:val="22"/>
        </w:rPr>
        <w:t>（</w:t>
      </w:r>
      <w:r>
        <w:rPr>
          <w:rFonts w:ascii="微軟正黑體" w:eastAsia="微軟正黑體" w:hAnsi="微軟正黑體" w:cs="微軟正黑體"/>
          <w:sz w:val="22"/>
        </w:rPr>
        <w:t>1997</w:t>
      </w:r>
      <w:r>
        <w:rPr>
          <w:rFonts w:ascii="微軟正黑體" w:eastAsia="微軟正黑體" w:hAnsi="微軟正黑體" w:cs="微軟正黑體"/>
          <w:sz w:val="22"/>
        </w:rPr>
        <w:t>）的可爭議性民主指出，非支配不只依賴事前授權，也依賴受影響者挑戰權力的能力；</w:t>
      </w:r>
      <w:r>
        <w:rPr>
          <w:rFonts w:ascii="微軟正黑體" w:eastAsia="微軟正黑體" w:hAnsi="微軟正黑體" w:cs="微軟正黑體"/>
          <w:sz w:val="22"/>
        </w:rPr>
        <w:t>Fricker</w:t>
      </w:r>
      <w:r>
        <w:rPr>
          <w:rFonts w:ascii="微軟正黑體" w:eastAsia="微軟正黑體" w:hAnsi="微軟正黑體" w:cs="微軟正黑體"/>
          <w:sz w:val="22"/>
        </w:rPr>
        <w:t>（</w:t>
      </w:r>
      <w:r>
        <w:rPr>
          <w:rFonts w:ascii="微軟正黑體" w:eastAsia="微軟正黑體" w:hAnsi="微軟正黑體" w:cs="微軟正黑體"/>
          <w:sz w:val="22"/>
        </w:rPr>
        <w:t>2007</w:t>
      </w:r>
      <w:r>
        <w:rPr>
          <w:rFonts w:ascii="微軟正黑體" w:eastAsia="微軟正黑體" w:hAnsi="微軟正黑體" w:cs="微軟正黑體"/>
          <w:sz w:val="22"/>
        </w:rPr>
        <w:t>）的認識論</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正義則提醒，弱勢群體可能因詮釋資源不足而根本無法使其經驗進入資料與分類。民主化因此不能只等同公開技術文件，還必須檢查誰能參與、誰能提出異議，以及異議是否可能改變系統。</w:t>
      </w:r>
    </w:p>
    <w:p w:rsidR="00035E70" w:rsidRDefault="000B3CAA">
      <w:pPr>
        <w:pStyle w:val="2"/>
        <w:spacing w:before="260" w:after="140"/>
      </w:pPr>
      <w:r>
        <w:rPr>
          <w:rFonts w:ascii="微軟正黑體" w:eastAsia="微軟正黑體" w:hAnsi="微軟正黑體" w:cs="微軟正黑體"/>
          <w:b/>
          <w:sz w:val="24"/>
        </w:rPr>
        <w:t>四、四項結構性挑戰與制度回應</w:t>
      </w:r>
    </w:p>
    <w:p w:rsidR="00035E70" w:rsidRDefault="000B3CAA">
      <w:pPr>
        <w:spacing w:after="160" w:line="300" w:lineRule="auto"/>
        <w:jc w:val="both"/>
      </w:pPr>
      <w:r>
        <w:t>為避免工具重疊，表</w:t>
      </w:r>
      <w:r>
        <w:t>3</w:t>
      </w:r>
      <w:r>
        <w:t>只顯示七項治理審計如何輔助證據查漏；它不建立七項審計與</w:t>
      </w:r>
      <w:r>
        <w:t>C1</w:t>
      </w:r>
      <w:r>
        <w:t>的固定一對一對照，也不參與</w:t>
      </w:r>
      <w:r>
        <w:t>C1</w:t>
      </w:r>
      <w:r>
        <w:t>計分。</w:t>
      </w:r>
      <w:r>
        <w:t>C1</w:t>
      </w:r>
      <w:r>
        <w:t>的正式編碼</w:t>
      </w:r>
      <w:proofErr w:type="gramStart"/>
      <w:r>
        <w:t>僅依表</w:t>
      </w:r>
      <w:proofErr w:type="gramEnd"/>
      <w:r>
        <w:t>5</w:t>
      </w:r>
      <w:r>
        <w:t>十二項指標及其證據規則。</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3</w:t>
      </w:r>
      <w:r>
        <w:rPr>
          <w:rFonts w:ascii="微軟正黑體" w:eastAsia="微軟正黑體" w:hAnsi="微軟正黑體" w:cs="微軟正黑體"/>
          <w:b/>
          <w:sz w:val="22"/>
        </w:rPr>
        <w:t xml:space="preserve">　情境</w:t>
      </w:r>
      <w:proofErr w:type="gramStart"/>
      <w:r>
        <w:rPr>
          <w:rFonts w:ascii="微軟正黑體" w:eastAsia="微軟正黑體" w:hAnsi="微軟正黑體" w:cs="微軟正黑體"/>
          <w:b/>
          <w:sz w:val="22"/>
        </w:rPr>
        <w:t>建構鏈的</w:t>
      </w:r>
      <w:proofErr w:type="gramEnd"/>
      <w:r>
        <w:rPr>
          <w:rFonts w:ascii="微軟正黑體" w:eastAsia="微軟正黑體" w:hAnsi="微軟正黑體" w:cs="微軟正黑體"/>
          <w:b/>
          <w:sz w:val="22"/>
        </w:rPr>
        <w:t>制度回應與輔助查漏</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800"/>
        <w:gridCol w:w="4900"/>
        <w:gridCol w:w="2200"/>
      </w:tblGrid>
      <w:tr w:rsidR="00035E70">
        <w:tblPrEx>
          <w:tblCellMar>
            <w:top w:w="0" w:type="dxa"/>
            <w:bottom w:w="0" w:type="dxa"/>
          </w:tblCellMar>
        </w:tblPrEx>
        <w:trPr>
          <w:tblHeader/>
        </w:trPr>
        <w:tc>
          <w:tcPr>
            <w:tcW w:w="18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結構性挑戰</w:t>
            </w:r>
          </w:p>
        </w:tc>
        <w:tc>
          <w:tcPr>
            <w:tcW w:w="49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制度回應</w:t>
            </w:r>
          </w:p>
        </w:tc>
        <w:tc>
          <w:tcPr>
            <w:tcW w:w="2200" w:type="dxa"/>
            <w:shd w:val="clear" w:color="auto" w:fill="1F4E5F"/>
            <w:tcMar>
              <w:top w:w="80" w:type="dxa"/>
              <w:left w:w="100" w:type="dxa"/>
              <w:bottom w:w="80" w:type="dxa"/>
              <w:right w:w="100" w:type="dxa"/>
            </w:tcMar>
          </w:tcPr>
          <w:p w:rsidR="00035E70" w:rsidRDefault="000B3CAA">
            <w:pPr>
              <w:spacing w:after="60" w:line="276" w:lineRule="auto"/>
            </w:pPr>
            <w:r>
              <w:t>七項審計之輔助查漏（不計入</w:t>
            </w:r>
            <w:r>
              <w:t>C1</w:t>
            </w:r>
            <w:r>
              <w:t>）</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技術不透明與專業壟斷</w:t>
            </w:r>
          </w:p>
        </w:tc>
        <w:tc>
          <w:tcPr>
            <w:tcW w:w="4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保存資料字典、分類規則、提示／</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值及版本變更；提供可理解說明</w:t>
            </w:r>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資料代表性、理由說明、組織能力</w:t>
            </w:r>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演算法供應鏈分散</w:t>
            </w:r>
          </w:p>
        </w:tc>
        <w:tc>
          <w:tcPr>
            <w:tcW w:w="4900" w:type="dxa"/>
            <w:tcMar>
              <w:top w:w="80" w:type="dxa"/>
              <w:left w:w="100" w:type="dxa"/>
              <w:bottom w:w="80" w:type="dxa"/>
              <w:right w:w="100" w:type="dxa"/>
            </w:tcMar>
          </w:tcPr>
          <w:p w:rsidR="00035E70" w:rsidRDefault="000B3CAA">
            <w:pPr>
              <w:spacing w:after="60" w:line="276" w:lineRule="auto"/>
            </w:pPr>
            <w:r>
              <w:t>揭露供應商與分工；契約納入審計權、紀錄義務及事故責任</w:t>
            </w:r>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責任歸屬、組織能力、隱私</w:t>
            </w:r>
            <w:proofErr w:type="gramStart"/>
            <w:r>
              <w:rPr>
                <w:rFonts w:ascii="微軟正黑體" w:eastAsia="微軟正黑體" w:hAnsi="微軟正黑體" w:cs="微軟正黑體"/>
                <w:color w:val="000000"/>
                <w:sz w:val="21"/>
                <w:szCs w:val="21"/>
              </w:rPr>
              <w:t>與資安</w:t>
            </w:r>
            <w:proofErr w:type="gramEnd"/>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效率與民主張力</w:t>
            </w:r>
          </w:p>
        </w:tc>
        <w:tc>
          <w:tcPr>
            <w:tcW w:w="4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依</w:t>
            </w:r>
            <w:r>
              <w:rPr>
                <w:rFonts w:ascii="微軟正黑體" w:eastAsia="微軟正黑體" w:hAnsi="微軟正黑體" w:cs="微軟正黑體"/>
                <w:color w:val="000000"/>
                <w:sz w:val="21"/>
                <w:szCs w:val="21"/>
              </w:rPr>
              <w:t>P1</w:t>
            </w:r>
            <w:r>
              <w:rPr>
                <w:rFonts w:ascii="微軟正黑體" w:eastAsia="微軟正黑體" w:hAnsi="微軟正黑體" w:cs="微軟正黑體"/>
                <w:color w:val="000000"/>
                <w:sz w:val="21"/>
                <w:szCs w:val="21"/>
              </w:rPr>
              <w:t>暴露、裁量及權益衝擊分級，不要求所有低風險操作逐案審議</w:t>
            </w:r>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裁量邊界、</w:t>
            </w:r>
            <w:proofErr w:type="gramStart"/>
            <w:r>
              <w:rPr>
                <w:rFonts w:ascii="微軟正黑體" w:eastAsia="微軟正黑體" w:hAnsi="微軟正黑體" w:cs="微軟正黑體"/>
                <w:color w:val="000000"/>
                <w:sz w:val="21"/>
                <w:szCs w:val="21"/>
              </w:rPr>
              <w:t>民主課責</w:t>
            </w:r>
            <w:proofErr w:type="gramEnd"/>
          </w:p>
        </w:tc>
      </w:tr>
      <w:tr w:rsidR="00035E70">
        <w:tblPrEx>
          <w:tblCellMar>
            <w:top w:w="0" w:type="dxa"/>
            <w:bottom w:w="0" w:type="dxa"/>
          </w:tblCellMar>
        </w:tblPrEx>
        <w:tc>
          <w:tcPr>
            <w:tcW w:w="18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弱勢參與落差</w:t>
            </w:r>
          </w:p>
        </w:tc>
        <w:tc>
          <w:tcPr>
            <w:tcW w:w="4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在資料、標籤與</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值設計階段納入受影響群體；</w:t>
            </w:r>
            <w:proofErr w:type="gramStart"/>
            <w:r>
              <w:rPr>
                <w:rFonts w:ascii="微軟正黑體" w:eastAsia="微軟正黑體" w:hAnsi="微軟正黑體" w:cs="微軟正黑體"/>
                <w:color w:val="000000"/>
                <w:sz w:val="21"/>
                <w:szCs w:val="21"/>
              </w:rPr>
              <w:t>建立框定異議</w:t>
            </w:r>
            <w:proofErr w:type="gramEnd"/>
            <w:r>
              <w:rPr>
                <w:rFonts w:ascii="微軟正黑體" w:eastAsia="微軟正黑體" w:hAnsi="微軟正黑體" w:cs="微軟正黑體"/>
                <w:color w:val="000000"/>
                <w:sz w:val="21"/>
                <w:szCs w:val="21"/>
              </w:rPr>
              <w:t>管道</w:t>
            </w:r>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資料代表性、</w:t>
            </w:r>
            <w:proofErr w:type="gramStart"/>
            <w:r>
              <w:rPr>
                <w:rFonts w:ascii="微軟正黑體" w:eastAsia="微軟正黑體" w:hAnsi="微軟正黑體" w:cs="微軟正黑體"/>
                <w:color w:val="000000"/>
                <w:sz w:val="21"/>
                <w:szCs w:val="21"/>
              </w:rPr>
              <w:t>民主課責</w:t>
            </w:r>
            <w:proofErr w:type="gramEnd"/>
          </w:p>
        </w:tc>
      </w:tr>
    </w:tbl>
    <w:p w:rsidR="00035E70" w:rsidRDefault="000B3CAA">
      <w:pPr>
        <w:pStyle w:val="1"/>
        <w:spacing w:before="260" w:after="140"/>
      </w:pPr>
      <w:r>
        <w:rPr>
          <w:rFonts w:ascii="微軟正黑體" w:eastAsia="微軟正黑體" w:hAnsi="微軟正黑體" w:cs="微軟正黑體"/>
          <w:b/>
          <w:sz w:val="27"/>
        </w:rPr>
        <w:t>肆、雙階段測量與編碼程序</w:t>
      </w:r>
    </w:p>
    <w:p w:rsidR="00035E70" w:rsidRDefault="000B3CAA">
      <w:pPr>
        <w:pStyle w:val="2"/>
        <w:spacing w:before="260" w:after="140"/>
      </w:pPr>
      <w:r>
        <w:rPr>
          <w:rFonts w:ascii="微軟正黑體" w:eastAsia="微軟正黑體" w:hAnsi="微軟正黑體" w:cs="微軟正黑體"/>
          <w:b/>
          <w:sz w:val="24"/>
        </w:rPr>
        <w:t>一、為何必須區分兩個測量對象</w:t>
      </w:r>
    </w:p>
    <w:p w:rsidR="00035E70" w:rsidRDefault="000B3CAA">
      <w:pPr>
        <w:spacing w:after="160" w:line="300" w:lineRule="auto"/>
        <w:jc w:val="both"/>
      </w:pPr>
      <w:r>
        <w:rPr>
          <w:rFonts w:ascii="微軟正黑體" w:eastAsia="微軟正黑體" w:hAnsi="微軟正黑體" w:cs="微軟正黑體"/>
          <w:sz w:val="22"/>
        </w:rPr>
        <w:lastRenderedPageBreak/>
        <w:t>「</w:t>
      </w:r>
      <w:r>
        <w:rPr>
          <w:rFonts w:ascii="微軟正黑體" w:eastAsia="微軟正黑體" w:hAnsi="微軟正黑體" w:cs="微軟正黑體"/>
          <w:sz w:val="22"/>
        </w:rPr>
        <w:t>AI</w:t>
      </w:r>
      <w:r>
        <w:rPr>
          <w:rFonts w:ascii="微軟正黑體" w:eastAsia="微軟正黑體" w:hAnsi="微軟正黑體" w:cs="微軟正黑體"/>
          <w:sz w:val="22"/>
        </w:rPr>
        <w:t>高度介入」不等於「民主正當性低」；「制度文件完整」也不等於「</w:t>
      </w:r>
      <w:r>
        <w:rPr>
          <w:rFonts w:ascii="微軟正黑體" w:eastAsia="微軟正黑體" w:hAnsi="微軟正黑體" w:cs="微軟正黑體"/>
          <w:sz w:val="22"/>
        </w:rPr>
        <w:t>AI</w:t>
      </w:r>
      <w:r>
        <w:rPr>
          <w:rFonts w:ascii="微軟正黑體" w:eastAsia="微軟正黑體" w:hAnsi="微軟正黑體" w:cs="微軟正黑體"/>
          <w:sz w:val="22"/>
        </w:rPr>
        <w:t>權力移轉程度高」。若兩者混成單一分數，低度使用但文件不足的系統可能被誤判為高風險，高度自動化但文件充足的系統也可能被誤判為已完全正當。本文因此</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雙階段測量：</w:t>
      </w:r>
    </w:p>
    <w:p w:rsidR="00035E70" w:rsidRDefault="000B3CAA">
      <w:pPr>
        <w:spacing w:after="16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w:t>
      </w:r>
      <w:r>
        <w:rPr>
          <w:rFonts w:ascii="微軟正黑體" w:eastAsia="微軟正黑體" w:hAnsi="微軟正黑體" w:cs="微軟正黑體"/>
          <w:sz w:val="22"/>
        </w:rPr>
        <w:t>第一階段</w:t>
      </w:r>
      <w:r>
        <w:rPr>
          <w:rFonts w:ascii="微軟正黑體" w:eastAsia="微軟正黑體" w:hAnsi="微軟正黑體" w:cs="微軟正黑體"/>
          <w:sz w:val="22"/>
        </w:rPr>
        <w:t>P1</w:t>
      </w:r>
      <w:r>
        <w:rPr>
          <w:rFonts w:ascii="微軟正黑體" w:eastAsia="微軟正黑體" w:hAnsi="微軟正黑體" w:cs="微軟正黑體"/>
          <w:sz w:val="22"/>
        </w:rPr>
        <w:t>暴露：</w:t>
      </w:r>
      <w:r>
        <w:rPr>
          <w:rFonts w:ascii="微軟正黑體" w:eastAsia="微軟正黑體" w:hAnsi="微軟正黑體" w:cs="微軟正黑體"/>
          <w:sz w:val="22"/>
        </w:rPr>
        <w:t xml:space="preserve"> </w:t>
      </w:r>
      <w:r>
        <w:rPr>
          <w:rFonts w:ascii="微軟正黑體" w:eastAsia="微軟正黑體" w:hAnsi="微軟正黑體" w:cs="微軟正黑體"/>
          <w:sz w:val="22"/>
        </w:rPr>
        <w:t>測量情境建構與事實認定權功能性移轉的強度。</w:t>
      </w:r>
    </w:p>
    <w:p w:rsidR="00035E70" w:rsidRDefault="000B3CAA">
      <w:pPr>
        <w:spacing w:after="16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w:t>
      </w:r>
      <w:r>
        <w:rPr>
          <w:rFonts w:ascii="微軟正黑體" w:eastAsia="微軟正黑體" w:hAnsi="微軟正黑體" w:cs="微軟正黑體"/>
          <w:sz w:val="22"/>
        </w:rPr>
        <w:t>第二階段</w:t>
      </w:r>
      <w:r>
        <w:rPr>
          <w:rFonts w:ascii="微軟正黑體" w:eastAsia="微軟正黑體" w:hAnsi="微軟正黑體" w:cs="微軟正黑體"/>
          <w:sz w:val="22"/>
        </w:rPr>
        <w:t>C1</w:t>
      </w:r>
      <w:r>
        <w:rPr>
          <w:rFonts w:ascii="微軟正黑體" w:eastAsia="微軟正黑體" w:hAnsi="微軟正黑體" w:cs="微軟正黑體"/>
          <w:sz w:val="22"/>
        </w:rPr>
        <w:t>完整度：</w:t>
      </w:r>
      <w:r>
        <w:rPr>
          <w:rFonts w:ascii="微軟正黑體" w:eastAsia="微軟正黑體" w:hAnsi="微軟正黑體" w:cs="微軟正黑體"/>
          <w:sz w:val="22"/>
        </w:rPr>
        <w:t xml:space="preserve"> </w:t>
      </w:r>
      <w:r>
        <w:rPr>
          <w:rFonts w:ascii="微軟正黑體" w:eastAsia="微軟正黑體" w:hAnsi="微軟正黑體" w:cs="微軟正黑體"/>
          <w:sz w:val="22"/>
        </w:rPr>
        <w:t>測量該項權力是否具備民主正當性的前置條件。</w:t>
      </w:r>
    </w:p>
    <w:p w:rsidR="00035E70" w:rsidRDefault="000B3CAA">
      <w:pPr>
        <w:spacing w:after="160" w:line="300" w:lineRule="auto"/>
        <w:jc w:val="both"/>
      </w:pPr>
      <w:r>
        <w:rPr>
          <w:rFonts w:ascii="微軟正黑體" w:eastAsia="微軟正黑體" w:hAnsi="微軟正黑體" w:cs="微軟正黑體"/>
          <w:sz w:val="22"/>
        </w:rPr>
        <w:t>P1</w:t>
      </w:r>
      <w:r>
        <w:rPr>
          <w:rFonts w:ascii="微軟正黑體" w:eastAsia="微軟正黑體" w:hAnsi="微軟正黑體" w:cs="微軟正黑體"/>
          <w:sz w:val="22"/>
        </w:rPr>
        <w:t>是暴露／強度指標，分數愈高表示</w:t>
      </w:r>
      <w:r>
        <w:rPr>
          <w:rFonts w:ascii="微軟正黑體" w:eastAsia="微軟正黑體" w:hAnsi="微軟正黑體" w:cs="微軟正黑體"/>
          <w:sz w:val="22"/>
        </w:rPr>
        <w:t>AI</w:t>
      </w:r>
      <w:r>
        <w:rPr>
          <w:rFonts w:ascii="微軟正黑體" w:eastAsia="微軟正黑體" w:hAnsi="微軟正黑體" w:cs="微軟正黑體"/>
          <w:sz w:val="22"/>
        </w:rPr>
        <w:t>或技術系統取得的實質影響力愈大；</w:t>
      </w:r>
      <w:r>
        <w:rPr>
          <w:rFonts w:ascii="微軟正黑體" w:eastAsia="微軟正黑體" w:hAnsi="微軟正黑體" w:cs="微軟正黑體"/>
          <w:sz w:val="22"/>
        </w:rPr>
        <w:t>C1</w:t>
      </w:r>
      <w:r>
        <w:rPr>
          <w:rFonts w:ascii="微軟正黑體" w:eastAsia="微軟正黑體" w:hAnsi="微軟正黑體" w:cs="微軟正黑體"/>
          <w:sz w:val="22"/>
        </w:rPr>
        <w:t>是完整性指標，分數愈高表示可追溯、可質疑與可修正程度愈高。兩組分數方向與意義不同，禁止直接加總。</w:t>
      </w:r>
    </w:p>
    <w:p w:rsidR="00035E70" w:rsidRDefault="000B3CAA">
      <w:pPr>
        <w:spacing w:after="160" w:line="300" w:lineRule="auto"/>
        <w:jc w:val="both"/>
      </w:pPr>
      <w:r>
        <w:rPr>
          <w:rFonts w:ascii="微軟正黑體" w:eastAsia="微軟正黑體" w:hAnsi="微軟正黑體" w:cs="微軟正黑體"/>
          <w:sz w:val="22"/>
        </w:rPr>
        <w:t>在此亦需簡要交代本文</w:t>
      </w:r>
      <w:r>
        <w:rPr>
          <w:rFonts w:ascii="微軟正黑體" w:eastAsia="微軟正黑體" w:hAnsi="微軟正黑體" w:cs="微軟正黑體"/>
          <w:sz w:val="22"/>
        </w:rPr>
        <w:t>P1</w:t>
      </w:r>
      <w:r>
        <w:rPr>
          <w:rFonts w:ascii="微軟正黑體" w:eastAsia="微軟正黑體" w:hAnsi="微軟正黑體" w:cs="微軟正黑體"/>
          <w:sz w:val="22"/>
        </w:rPr>
        <w:t>／</w:t>
      </w:r>
      <w:r>
        <w:rPr>
          <w:rFonts w:ascii="微軟正黑體" w:eastAsia="微軟正黑體" w:hAnsi="微軟正黑體" w:cs="微軟正黑體"/>
          <w:sz w:val="22"/>
        </w:rPr>
        <w:t>C1</w:t>
      </w:r>
      <w:r>
        <w:rPr>
          <w:rFonts w:ascii="微軟正黑體" w:eastAsia="微軟正黑體" w:hAnsi="微軟正黑體" w:cs="微軟正黑體"/>
          <w:sz w:val="22"/>
        </w:rPr>
        <w:t>與同一共同母架構下、另一篇聚焦政策體系五階段之</w:t>
      </w:r>
      <w:r>
        <w:rPr>
          <w:rFonts w:ascii="微軟正黑體" w:eastAsia="微軟正黑體" w:hAnsi="微軟正黑體" w:cs="微軟正黑體"/>
          <w:sz w:val="22"/>
        </w:rPr>
        <w:t>working paper</w:t>
      </w:r>
      <w:r>
        <w:rPr>
          <w:rFonts w:ascii="微軟正黑體" w:eastAsia="微軟正黑體" w:hAnsi="微軟正黑體" w:cs="微軟正黑體"/>
          <w:sz w:val="22"/>
        </w:rPr>
        <w:t>所用</w:t>
      </w:r>
      <w:r>
        <w:rPr>
          <w:rFonts w:ascii="微軟正黑體" w:eastAsia="微軟正黑體" w:hAnsi="微軟正黑體" w:cs="微軟正黑體"/>
          <w:sz w:val="22"/>
        </w:rPr>
        <w:t>PE</w:t>
      </w:r>
      <w:r>
        <w:rPr>
          <w:rFonts w:ascii="微軟正黑體" w:eastAsia="微軟正黑體" w:hAnsi="微軟正黑體" w:cs="微軟正黑體"/>
          <w:sz w:val="22"/>
        </w:rPr>
        <w:t>／</w:t>
      </w:r>
      <w:r>
        <w:rPr>
          <w:rFonts w:ascii="微軟正黑體" w:eastAsia="微軟正黑體" w:hAnsi="微軟正黑體" w:cs="微軟正黑體"/>
          <w:sz w:val="22"/>
        </w:rPr>
        <w:t>PI</w:t>
      </w:r>
      <w:r>
        <w:rPr>
          <w:rFonts w:ascii="微軟正黑體" w:eastAsia="微軟正黑體" w:hAnsi="微軟正黑體" w:cs="微軟正黑體"/>
          <w:sz w:val="22"/>
        </w:rPr>
        <w:t>指標之關係，以避免外部讀者誤認兩者為同一測量邏輯之重複包裝。兩組工具承續同一「暴露強度」與「完整度」雙階段設計</w:t>
      </w:r>
      <w:r>
        <w:rPr>
          <w:rFonts w:ascii="微軟正黑體" w:eastAsia="微軟正黑體" w:hAnsi="微軟正黑體" w:cs="微軟正黑體"/>
          <w:sz w:val="22"/>
        </w:rPr>
        <w:t>原則，但分析單位與顆粒度不同：</w:t>
      </w:r>
      <w:r>
        <w:rPr>
          <w:rFonts w:ascii="微軟正黑體" w:eastAsia="微軟正黑體" w:hAnsi="微軟正黑體" w:cs="微軟正黑體"/>
          <w:sz w:val="22"/>
        </w:rPr>
        <w:t>PE</w:t>
      </w:r>
      <w:r>
        <w:rPr>
          <w:rFonts w:ascii="微軟正黑體" w:eastAsia="微軟正黑體" w:hAnsi="微軟正黑體" w:cs="微軟正黑體"/>
          <w:sz w:val="22"/>
        </w:rPr>
        <w:t>／</w:t>
      </w:r>
      <w:r>
        <w:rPr>
          <w:rFonts w:ascii="微軟正黑體" w:eastAsia="微軟正黑體" w:hAnsi="微軟正黑體" w:cs="微軟正黑體"/>
          <w:sz w:val="22"/>
        </w:rPr>
        <w:t>PI</w:t>
      </w:r>
      <w:r>
        <w:rPr>
          <w:rFonts w:ascii="微軟正黑體" w:eastAsia="微軟正黑體" w:hAnsi="微軟正黑體" w:cs="微軟正黑體"/>
          <w:sz w:val="22"/>
        </w:rPr>
        <w:t>以政策循環五階段（議題判斷、規劃、制訂、評估、回饋）為分析單位，用於追蹤同一政策在跨階段縱向傳導中之暴露與正當性變化；</w:t>
      </w:r>
      <w:r>
        <w:rPr>
          <w:rFonts w:ascii="微軟正黑體" w:eastAsia="微軟正黑體" w:hAnsi="微軟正黑體" w:cs="微軟正黑體"/>
          <w:sz w:val="22"/>
        </w:rPr>
        <w:t>P1</w:t>
      </w:r>
      <w:r>
        <w:rPr>
          <w:rFonts w:ascii="微軟正黑體" w:eastAsia="微軟正黑體" w:hAnsi="微軟正黑體" w:cs="微軟正黑體"/>
          <w:sz w:val="22"/>
        </w:rPr>
        <w:t>／</w:t>
      </w:r>
      <w:r>
        <w:rPr>
          <w:rFonts w:ascii="微軟正黑體" w:eastAsia="微軟正黑體" w:hAnsi="微軟正黑體" w:cs="微軟正黑體"/>
          <w:sz w:val="22"/>
        </w:rPr>
        <w:t>C1</w:t>
      </w:r>
      <w:r>
        <w:rPr>
          <w:rFonts w:ascii="微軟正黑體" w:eastAsia="微軟正黑體" w:hAnsi="微軟正黑體" w:cs="微軟正黑體"/>
          <w:sz w:val="22"/>
        </w:rPr>
        <w:t>則以單一行政系統之情境</w:t>
      </w:r>
      <w:proofErr w:type="gramStart"/>
      <w:r>
        <w:rPr>
          <w:rFonts w:ascii="微軟正黑體" w:eastAsia="微軟正黑體" w:hAnsi="微軟正黑體" w:cs="微軟正黑體"/>
          <w:sz w:val="22"/>
        </w:rPr>
        <w:t>建構鏈為</w:t>
      </w:r>
      <w:proofErr w:type="gramEnd"/>
      <w:r>
        <w:rPr>
          <w:rFonts w:ascii="微軟正黑體" w:eastAsia="微軟正黑體" w:hAnsi="微軟正黑體" w:cs="微軟正黑體"/>
          <w:sz w:val="22"/>
        </w:rPr>
        <w:t>分析單位，聚焦單一案例內部</w:t>
      </w:r>
      <w:proofErr w:type="gramStart"/>
      <w:r>
        <w:rPr>
          <w:rFonts w:ascii="微軟正黑體" w:eastAsia="微軟正黑體" w:hAnsi="微軟正黑體" w:cs="微軟正黑體"/>
          <w:sz w:val="22"/>
        </w:rPr>
        <w:t>之框定機</w:t>
      </w:r>
      <w:proofErr w:type="gramEnd"/>
      <w:r>
        <w:rPr>
          <w:rFonts w:ascii="微軟正黑體" w:eastAsia="微軟正黑體" w:hAnsi="微軟正黑體" w:cs="微軟正黑體"/>
          <w:sz w:val="22"/>
        </w:rPr>
        <w:t>制本身，不涉及該案例是否處於政策循環之哪一階段。讀者可將</w:t>
      </w:r>
      <w:r>
        <w:rPr>
          <w:rFonts w:ascii="微軟正黑體" w:eastAsia="微軟正黑體" w:hAnsi="微軟正黑體" w:cs="微軟正黑體"/>
          <w:sz w:val="22"/>
        </w:rPr>
        <w:t>PE</w:t>
      </w:r>
      <w:r>
        <w:rPr>
          <w:rFonts w:ascii="微軟正黑體" w:eastAsia="微軟正黑體" w:hAnsi="微軟正黑體" w:cs="微軟正黑體"/>
          <w:sz w:val="22"/>
        </w:rPr>
        <w:t>／</w:t>
      </w:r>
      <w:r>
        <w:rPr>
          <w:rFonts w:ascii="微軟正黑體" w:eastAsia="微軟正黑體" w:hAnsi="微軟正黑體" w:cs="微軟正黑體"/>
          <w:sz w:val="22"/>
        </w:rPr>
        <w:t>PI</w:t>
      </w:r>
      <w:r>
        <w:rPr>
          <w:rFonts w:ascii="微軟正黑體" w:eastAsia="微軟正黑體" w:hAnsi="微軟正黑體" w:cs="微軟正黑體"/>
          <w:sz w:val="22"/>
        </w:rPr>
        <w:t>理解為</w:t>
      </w:r>
      <w:r>
        <w:rPr>
          <w:rFonts w:ascii="微軟正黑體" w:eastAsia="微軟正黑體" w:hAnsi="微軟正黑體" w:cs="微軟正黑體"/>
          <w:sz w:val="22"/>
        </w:rPr>
        <w:t>P1</w:t>
      </w:r>
      <w:r>
        <w:rPr>
          <w:rFonts w:ascii="微軟正黑體" w:eastAsia="微軟正黑體" w:hAnsi="微軟正黑體" w:cs="微軟正黑體"/>
          <w:sz w:val="22"/>
        </w:rPr>
        <w:t>／</w:t>
      </w:r>
      <w:r>
        <w:rPr>
          <w:rFonts w:ascii="微軟正黑體" w:eastAsia="微軟正黑體" w:hAnsi="微軟正黑體" w:cs="微軟正黑體"/>
          <w:sz w:val="22"/>
        </w:rPr>
        <w:t>C1</w:t>
      </w:r>
      <w:r>
        <w:rPr>
          <w:rFonts w:ascii="微軟正黑體" w:eastAsia="微軟正黑體" w:hAnsi="微軟正黑體" w:cs="微軟正黑體"/>
          <w:sz w:val="22"/>
        </w:rPr>
        <w:t>沿政策循環五階段之延伸版本，或反過來將</w:t>
      </w:r>
      <w:r>
        <w:rPr>
          <w:rFonts w:ascii="微軟正黑體" w:eastAsia="微軟正黑體" w:hAnsi="微軟正黑體" w:cs="微軟正黑體"/>
          <w:sz w:val="22"/>
        </w:rPr>
        <w:t>P1</w:t>
      </w:r>
      <w:r>
        <w:rPr>
          <w:rFonts w:ascii="微軟正黑體" w:eastAsia="微軟正黑體" w:hAnsi="微軟正黑體" w:cs="微軟正黑體"/>
          <w:sz w:val="22"/>
        </w:rPr>
        <w:t>／</w:t>
      </w:r>
      <w:r>
        <w:rPr>
          <w:rFonts w:ascii="微軟正黑體" w:eastAsia="微軟正黑體" w:hAnsi="微軟正黑體" w:cs="微軟正黑體"/>
          <w:sz w:val="22"/>
        </w:rPr>
        <w:t>C1</w:t>
      </w:r>
      <w:r>
        <w:rPr>
          <w:rFonts w:ascii="微軟正黑體" w:eastAsia="微軟正黑體" w:hAnsi="微軟正黑體" w:cs="微軟正黑體"/>
          <w:sz w:val="22"/>
        </w:rPr>
        <w:t>理解為</w:t>
      </w:r>
      <w:r>
        <w:rPr>
          <w:rFonts w:ascii="微軟正黑體" w:eastAsia="微軟正黑體" w:hAnsi="微軟正黑體" w:cs="微軟正黑體"/>
          <w:sz w:val="22"/>
        </w:rPr>
        <w:t>PE</w:t>
      </w:r>
      <w:r>
        <w:rPr>
          <w:rFonts w:ascii="微軟正黑體" w:eastAsia="微軟正黑體" w:hAnsi="微軟正黑體" w:cs="微軟正黑體"/>
          <w:sz w:val="22"/>
        </w:rPr>
        <w:t>／</w:t>
      </w:r>
      <w:r>
        <w:rPr>
          <w:rFonts w:ascii="微軟正黑體" w:eastAsia="微軟正黑體" w:hAnsi="微軟正黑體" w:cs="微軟正黑體"/>
          <w:sz w:val="22"/>
        </w:rPr>
        <w:t>PI</w:t>
      </w:r>
      <w:r>
        <w:rPr>
          <w:rFonts w:ascii="微軟正黑體" w:eastAsia="微軟正黑體" w:hAnsi="微軟正黑體" w:cs="微軟正黑體"/>
          <w:sz w:val="22"/>
        </w:rPr>
        <w:t>中「政策制訂」或「政策評估」單一階段之深度放大版本；兩者是同一測量哲學在不同分析顆粒度下的具體化，各自服務不同的研究問題，而非</w:t>
      </w:r>
      <w:proofErr w:type="gramStart"/>
      <w:r>
        <w:rPr>
          <w:rFonts w:ascii="微軟正黑體" w:eastAsia="微軟正黑體" w:hAnsi="微軟正黑體" w:cs="微軟正黑體"/>
          <w:sz w:val="22"/>
        </w:rPr>
        <w:t>同一構念</w:t>
      </w:r>
      <w:r>
        <w:rPr>
          <w:rFonts w:ascii="微軟正黑體" w:eastAsia="微軟正黑體" w:hAnsi="微軟正黑體" w:cs="微軟正黑體"/>
          <w:sz w:val="22"/>
        </w:rPr>
        <w:t>的</w:t>
      </w:r>
      <w:proofErr w:type="gramEnd"/>
      <w:r>
        <w:rPr>
          <w:rFonts w:ascii="微軟正黑體" w:eastAsia="微軟正黑體" w:hAnsi="微軟正黑體" w:cs="微軟正黑體"/>
          <w:sz w:val="22"/>
        </w:rPr>
        <w:t>重複驗證。</w:t>
      </w:r>
    </w:p>
    <w:p w:rsidR="00035E70" w:rsidRDefault="000B3CAA">
      <w:pPr>
        <w:pStyle w:val="2"/>
        <w:spacing w:before="260" w:after="140"/>
      </w:pPr>
      <w:r>
        <w:rPr>
          <w:rFonts w:ascii="微軟正黑體" w:eastAsia="微軟正黑體" w:hAnsi="微軟正黑體" w:cs="微軟正黑體"/>
          <w:b/>
          <w:sz w:val="24"/>
        </w:rPr>
        <w:t>二、第一階段：</w:t>
      </w:r>
      <w:r>
        <w:rPr>
          <w:rFonts w:ascii="微軟正黑體" w:eastAsia="微軟正黑體" w:hAnsi="微軟正黑體" w:cs="微軟正黑體"/>
          <w:b/>
          <w:sz w:val="24"/>
        </w:rPr>
        <w:t>P1</w:t>
      </w:r>
      <w:r>
        <w:rPr>
          <w:rFonts w:ascii="微軟正黑體" w:eastAsia="微軟正黑體" w:hAnsi="微軟正黑體" w:cs="微軟正黑體"/>
          <w:b/>
          <w:sz w:val="24"/>
        </w:rPr>
        <w:t>權力移轉暴露指標</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4</w:t>
      </w:r>
      <w:r>
        <w:rPr>
          <w:rFonts w:ascii="微軟正黑體" w:eastAsia="微軟正黑體" w:hAnsi="微軟正黑體" w:cs="微軟正黑體"/>
          <w:b/>
          <w:sz w:val="22"/>
        </w:rPr>
        <w:t xml:space="preserve">　</w:t>
      </w:r>
      <w:r>
        <w:rPr>
          <w:rFonts w:ascii="微軟正黑體" w:eastAsia="微軟正黑體" w:hAnsi="微軟正黑體" w:cs="微軟正黑體"/>
          <w:b/>
          <w:sz w:val="22"/>
        </w:rPr>
        <w:t>P1</w:t>
      </w:r>
      <w:r>
        <w:rPr>
          <w:rFonts w:ascii="微軟正黑體" w:eastAsia="微軟正黑體" w:hAnsi="微軟正黑體" w:cs="微軟正黑體"/>
          <w:b/>
          <w:sz w:val="22"/>
        </w:rPr>
        <w:t>情境建構與事實認定權移轉暴露指標</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50"/>
        <w:gridCol w:w="1700"/>
        <w:gridCol w:w="3200"/>
        <w:gridCol w:w="1650"/>
        <w:gridCol w:w="1600"/>
      </w:tblGrid>
      <w:tr w:rsidR="00035E70">
        <w:tblPrEx>
          <w:tblCellMar>
            <w:top w:w="0" w:type="dxa"/>
            <w:bottom w:w="0" w:type="dxa"/>
          </w:tblCellMar>
        </w:tblPrEx>
        <w:trPr>
          <w:tblHeader/>
        </w:trPr>
        <w:tc>
          <w:tcPr>
            <w:tcW w:w="7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代碼</w:t>
            </w:r>
          </w:p>
        </w:tc>
        <w:tc>
          <w:tcPr>
            <w:tcW w:w="17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指標</w:t>
            </w:r>
          </w:p>
        </w:tc>
        <w:tc>
          <w:tcPr>
            <w:tcW w:w="32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核心問題</w:t>
            </w:r>
          </w:p>
        </w:tc>
        <w:tc>
          <w:tcPr>
            <w:tcW w:w="165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0</w:t>
            </w:r>
            <w:r>
              <w:rPr>
                <w:rFonts w:ascii="微軟正黑體" w:eastAsia="微軟正黑體" w:hAnsi="微軟正黑體" w:cs="微軟正黑體"/>
                <w:b/>
                <w:bCs/>
                <w:color w:val="FFFFFF"/>
                <w:sz w:val="21"/>
                <w:szCs w:val="21"/>
              </w:rPr>
              <w:t>分錨點</w:t>
            </w:r>
          </w:p>
        </w:tc>
        <w:tc>
          <w:tcPr>
            <w:tcW w:w="16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4</w:t>
            </w:r>
            <w:r>
              <w:rPr>
                <w:rFonts w:ascii="微軟正黑體" w:eastAsia="微軟正黑體" w:hAnsi="微軟正黑體" w:cs="微軟正黑體"/>
                <w:b/>
                <w:bCs/>
                <w:color w:val="FFFFFF"/>
                <w:sz w:val="21"/>
                <w:szCs w:val="21"/>
              </w:rPr>
              <w:t>分錨點</w:t>
            </w:r>
          </w:p>
        </w:tc>
      </w:tr>
      <w:tr w:rsidR="00035E70">
        <w:tblPrEx>
          <w:tblCellMar>
            <w:top w:w="0" w:type="dxa"/>
            <w:bottom w:w="0" w:type="dxa"/>
          </w:tblCellMar>
        </w:tblPrEx>
        <w:tc>
          <w:tcPr>
            <w:tcW w:w="7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P1-1</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問題定義介入</w:t>
            </w:r>
          </w:p>
        </w:tc>
        <w:tc>
          <w:tcPr>
            <w:tcW w:w="3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系統是否決定何者被視為風險、違規、需求或政策問題？</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僅依人類明定問題執行</w:t>
            </w:r>
          </w:p>
        </w:tc>
        <w:tc>
          <w:tcPr>
            <w:tcW w:w="1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系統或技術設計實質定義問題</w:t>
            </w:r>
          </w:p>
        </w:tc>
      </w:tr>
      <w:tr w:rsidR="00035E70">
        <w:tblPrEx>
          <w:tblCellMar>
            <w:top w:w="0" w:type="dxa"/>
            <w:bottom w:w="0" w:type="dxa"/>
          </w:tblCellMar>
        </w:tblPrEx>
        <w:tc>
          <w:tcPr>
            <w:tcW w:w="7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P1-2</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資料／分類介入</w:t>
            </w:r>
          </w:p>
        </w:tc>
        <w:tc>
          <w:tcPr>
            <w:tcW w:w="3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系統是否選擇、整合、排除資料或建立分類與代理變項？</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不影響資料與分類</w:t>
            </w:r>
          </w:p>
        </w:tc>
        <w:tc>
          <w:tcPr>
            <w:tcW w:w="1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大量或不透明地決定資料與分類</w:t>
            </w:r>
          </w:p>
        </w:tc>
      </w:tr>
      <w:tr w:rsidR="00035E70">
        <w:tblPrEx>
          <w:tblCellMar>
            <w:top w:w="0" w:type="dxa"/>
            <w:bottom w:w="0" w:type="dxa"/>
          </w:tblCellMar>
        </w:tblPrEx>
        <w:tc>
          <w:tcPr>
            <w:tcW w:w="7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P1-3</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預設效力</w:t>
            </w:r>
          </w:p>
        </w:tc>
        <w:tc>
          <w:tcPr>
            <w:tcW w:w="3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輸出是否成為後續判斷難以偏離的預設起點？</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純資訊參考</w:t>
            </w:r>
          </w:p>
        </w:tc>
        <w:tc>
          <w:tcPr>
            <w:tcW w:w="1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實質不可推翻或自動採用</w:t>
            </w:r>
          </w:p>
        </w:tc>
      </w:tr>
      <w:tr w:rsidR="00035E70">
        <w:tblPrEx>
          <w:tblCellMar>
            <w:top w:w="0" w:type="dxa"/>
            <w:bottom w:w="0" w:type="dxa"/>
          </w:tblCellMar>
        </w:tblPrEx>
        <w:tc>
          <w:tcPr>
            <w:tcW w:w="7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P1-4</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人類可逆性</w:t>
            </w:r>
          </w:p>
        </w:tc>
        <w:tc>
          <w:tcPr>
            <w:tcW w:w="3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人類能否理解、修改或拒絕</w:t>
            </w:r>
            <w:proofErr w:type="gramStart"/>
            <w:r>
              <w:rPr>
                <w:rFonts w:ascii="微軟正黑體" w:eastAsia="微軟正黑體" w:hAnsi="微軟正黑體" w:cs="微軟正黑體"/>
                <w:color w:val="000000"/>
                <w:sz w:val="21"/>
                <w:szCs w:val="21"/>
              </w:rPr>
              <w:t>技術框定</w:t>
            </w:r>
            <w:proofErr w:type="gramEnd"/>
            <w:r>
              <w:rPr>
                <w:rFonts w:ascii="微軟正黑體" w:eastAsia="微軟正黑體" w:hAnsi="微軟正黑體" w:cs="微軟正黑體"/>
                <w:color w:val="000000"/>
                <w:sz w:val="21"/>
                <w:szCs w:val="21"/>
              </w:rPr>
              <w:t>？</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可自由且有理由地改寫</w:t>
            </w:r>
          </w:p>
        </w:tc>
        <w:tc>
          <w:tcPr>
            <w:tcW w:w="1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無實質覆核或推翻極困難</w:t>
            </w:r>
          </w:p>
        </w:tc>
      </w:tr>
      <w:tr w:rsidR="00035E70">
        <w:tblPrEx>
          <w:tblCellMar>
            <w:top w:w="0" w:type="dxa"/>
            <w:bottom w:w="0" w:type="dxa"/>
          </w:tblCellMar>
        </w:tblPrEx>
        <w:tc>
          <w:tcPr>
            <w:tcW w:w="7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P1-5</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後果連結</w:t>
            </w:r>
          </w:p>
        </w:tc>
        <w:tc>
          <w:tcPr>
            <w:tcW w:w="32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技術框定與</w:t>
            </w:r>
            <w:proofErr w:type="gramEnd"/>
            <w:r>
              <w:rPr>
                <w:rFonts w:ascii="微軟正黑體" w:eastAsia="微軟正黑體" w:hAnsi="微軟正黑體" w:cs="微軟正黑體"/>
                <w:color w:val="000000"/>
                <w:sz w:val="21"/>
                <w:szCs w:val="21"/>
              </w:rPr>
              <w:t>調查、給付、債務、裁罰或其他權益效果</w:t>
            </w:r>
            <w:proofErr w:type="gramStart"/>
            <w:r>
              <w:rPr>
                <w:rFonts w:ascii="微軟正黑體" w:eastAsia="微軟正黑體" w:hAnsi="微軟正黑體" w:cs="微軟正黑體"/>
                <w:color w:val="000000"/>
                <w:sz w:val="21"/>
                <w:szCs w:val="21"/>
              </w:rPr>
              <w:t>距離多</w:t>
            </w:r>
            <w:proofErr w:type="gramEnd"/>
            <w:r>
              <w:rPr>
                <w:rFonts w:ascii="微軟正黑體" w:eastAsia="微軟正黑體" w:hAnsi="微軟正黑體" w:cs="微軟正黑體"/>
                <w:color w:val="000000"/>
                <w:sz w:val="21"/>
                <w:szCs w:val="21"/>
              </w:rPr>
              <w:t>近？</w:t>
            </w:r>
          </w:p>
        </w:tc>
        <w:tc>
          <w:tcPr>
            <w:tcW w:w="165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不連結個案效果</w:t>
            </w:r>
          </w:p>
        </w:tc>
        <w:tc>
          <w:tcPr>
            <w:tcW w:w="1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直接或近似直接產生重大效果</w:t>
            </w:r>
          </w:p>
        </w:tc>
      </w:tr>
    </w:tbl>
    <w:p w:rsidR="00035E70" w:rsidRDefault="000B3CAA">
      <w:pPr>
        <w:spacing w:after="160" w:line="300" w:lineRule="auto"/>
        <w:jc w:val="both"/>
      </w:pPr>
      <w:r>
        <w:rPr>
          <w:rFonts w:ascii="微軟正黑體" w:eastAsia="微軟正黑體" w:hAnsi="微軟正黑體" w:cs="微軟正黑體"/>
          <w:sz w:val="22"/>
        </w:rPr>
        <w:t>P1</w:t>
      </w:r>
      <w:r>
        <w:rPr>
          <w:rFonts w:ascii="微軟正黑體" w:eastAsia="微軟正黑體" w:hAnsi="微軟正黑體" w:cs="微軟正黑體"/>
          <w:sz w:val="22"/>
        </w:rPr>
        <w:t>平均只描述暴露程度：</w:t>
      </w:r>
      <w:r>
        <w:rPr>
          <w:rFonts w:ascii="微軟正黑體" w:eastAsia="微軟正黑體" w:hAnsi="微軟正黑體" w:cs="微軟正黑體"/>
          <w:sz w:val="22"/>
        </w:rPr>
        <w:t>0</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0.99</w:t>
      </w:r>
      <w:r>
        <w:rPr>
          <w:rFonts w:ascii="微軟正黑體" w:eastAsia="微軟正黑體" w:hAnsi="微軟正黑體" w:cs="微軟正黑體"/>
          <w:sz w:val="22"/>
        </w:rPr>
        <w:t>為低、</w:t>
      </w:r>
      <w:r>
        <w:rPr>
          <w:rFonts w:ascii="微軟正黑體" w:eastAsia="微軟正黑體" w:hAnsi="微軟正黑體" w:cs="微軟正黑體"/>
          <w:sz w:val="22"/>
        </w:rPr>
        <w:t>1–1.99</w:t>
      </w:r>
      <w:r>
        <w:rPr>
          <w:rFonts w:ascii="微軟正黑體" w:eastAsia="微軟正黑體" w:hAnsi="微軟正黑體" w:cs="微軟正黑體"/>
          <w:sz w:val="22"/>
        </w:rPr>
        <w:t>為中低、</w:t>
      </w:r>
      <w:r>
        <w:rPr>
          <w:rFonts w:ascii="微軟正黑體" w:eastAsia="微軟正黑體" w:hAnsi="微軟正黑體" w:cs="微軟正黑體"/>
          <w:sz w:val="22"/>
        </w:rPr>
        <w:t>2–2.99</w:t>
      </w:r>
      <w:r>
        <w:rPr>
          <w:rFonts w:ascii="微軟正黑體" w:eastAsia="微軟正黑體" w:hAnsi="微軟正黑體" w:cs="微軟正黑體"/>
          <w:sz w:val="22"/>
        </w:rPr>
        <w:t>為中高、</w:t>
      </w:r>
      <w:r>
        <w:rPr>
          <w:rFonts w:ascii="微軟正黑體" w:eastAsia="微軟正黑體" w:hAnsi="微軟正黑體" w:cs="微軟正黑體"/>
          <w:sz w:val="22"/>
        </w:rPr>
        <w:t>3–4</w:t>
      </w:r>
      <w:r>
        <w:rPr>
          <w:rFonts w:ascii="微軟正黑體" w:eastAsia="微軟正黑體" w:hAnsi="微軟正黑體" w:cs="微軟正黑體"/>
          <w:sz w:val="22"/>
        </w:rPr>
        <w:t>為高。四個區間源自</w:t>
      </w:r>
      <w:r>
        <w:rPr>
          <w:rFonts w:ascii="微軟正黑體" w:eastAsia="微軟正黑體" w:hAnsi="微軟正黑體" w:cs="微軟正黑體"/>
          <w:sz w:val="22"/>
        </w:rPr>
        <w:t>0</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4</w:t>
      </w:r>
      <w:r>
        <w:rPr>
          <w:rFonts w:ascii="微軟正黑體" w:eastAsia="微軟正黑體" w:hAnsi="微軟正黑體" w:cs="微軟正黑體"/>
          <w:sz w:val="22"/>
        </w:rPr>
        <w:t>量尺的等距分帶，目的僅在描述與跨案例溝通；它們不是依治理結果、損害發生率或類似</w:t>
      </w:r>
      <w:proofErr w:type="gramStart"/>
      <w:r>
        <w:rPr>
          <w:rFonts w:ascii="微軟正黑體" w:eastAsia="微軟正黑體" w:hAnsi="微軟正黑體" w:cs="微軟正黑體"/>
          <w:sz w:val="22"/>
        </w:rPr>
        <w:t>臨床界值推導</w:t>
      </w:r>
      <w:proofErr w:type="gramEnd"/>
      <w:r>
        <w:rPr>
          <w:rFonts w:ascii="微軟正黑體" w:eastAsia="微軟正黑體" w:hAnsi="微軟正黑體" w:cs="微軟正黑體"/>
          <w:sz w:val="22"/>
        </w:rPr>
        <w:t>的臨界點（</w:t>
      </w:r>
      <w:r>
        <w:rPr>
          <w:rFonts w:ascii="微軟正黑體" w:eastAsia="微軟正黑體" w:hAnsi="微軟正黑體" w:cs="微軟正黑體"/>
          <w:sz w:val="22"/>
        </w:rPr>
        <w:t xml:space="preserve">tipping </w:t>
      </w:r>
      <w:r>
        <w:rPr>
          <w:rFonts w:ascii="微軟正黑體" w:eastAsia="微軟正黑體" w:hAnsi="微軟正黑體" w:cs="微軟正黑體"/>
          <w:sz w:val="22"/>
        </w:rPr>
        <w:t>points</w:t>
      </w:r>
      <w:r>
        <w:rPr>
          <w:rFonts w:ascii="微軟正黑體" w:eastAsia="微軟正黑體" w:hAnsi="微軟正黑體" w:cs="微軟正黑體"/>
          <w:sz w:val="22"/>
        </w:rPr>
        <w:t>），也不表示</w:t>
      </w:r>
      <w:r>
        <w:rPr>
          <w:rFonts w:ascii="微軟正黑體" w:eastAsia="微軟正黑體" w:hAnsi="微軟正黑體" w:cs="微軟正黑體"/>
          <w:sz w:val="22"/>
        </w:rPr>
        <w:t>2.99</w:t>
      </w:r>
      <w:r>
        <w:rPr>
          <w:rFonts w:ascii="微軟正黑體" w:eastAsia="微軟正黑體" w:hAnsi="微軟正黑體" w:cs="微軟正黑體"/>
          <w:sz w:val="22"/>
        </w:rPr>
        <w:t>與</w:t>
      </w:r>
      <w:r>
        <w:rPr>
          <w:rFonts w:ascii="微軟正黑體" w:eastAsia="微軟正黑體" w:hAnsi="微軟正黑體" w:cs="微軟正黑體"/>
          <w:sz w:val="22"/>
        </w:rPr>
        <w:t>3.00</w:t>
      </w:r>
      <w:r>
        <w:rPr>
          <w:rFonts w:ascii="微軟正黑體" w:eastAsia="微軟正黑體" w:hAnsi="微軟正黑體" w:cs="微軟正黑體"/>
          <w:sz w:val="22"/>
        </w:rPr>
        <w:t>之間已證實存在</w:t>
      </w:r>
      <w:proofErr w:type="gramStart"/>
      <w:r>
        <w:rPr>
          <w:rFonts w:ascii="微軟正黑體" w:eastAsia="微軟正黑體" w:hAnsi="微軟正黑體" w:cs="微軟正黑體"/>
          <w:sz w:val="22"/>
        </w:rPr>
        <w:t>實質躍</w:t>
      </w:r>
      <w:proofErr w:type="gramEnd"/>
      <w:r>
        <w:rPr>
          <w:rFonts w:ascii="微軟正黑體" w:eastAsia="微軟正黑體" w:hAnsi="微軟正黑體" w:cs="微軟正黑體"/>
          <w:sz w:val="22"/>
        </w:rPr>
        <w:t>遷。分析時應並列連續平均、五項指標剖面與邊界案例；本文將</w:t>
      </w:r>
      <w:r>
        <w:rPr>
          <w:rFonts w:ascii="微軟正黑體" w:eastAsia="微軟正黑體" w:hAnsi="微軟正黑體" w:cs="微軟正黑體"/>
          <w:sz w:val="22"/>
        </w:rPr>
        <w:t>P1</w:t>
      </w:r>
      <w:r>
        <w:rPr>
          <w:rFonts w:ascii="微軟正黑體" w:eastAsia="微軟正黑體" w:hAnsi="微軟正黑體" w:cs="微軟正黑體"/>
          <w:sz w:val="22"/>
        </w:rPr>
        <w:t>平均達</w:t>
      </w:r>
      <w:r>
        <w:rPr>
          <w:rFonts w:ascii="微軟正黑體" w:eastAsia="微軟正黑體" w:hAnsi="微軟正黑體" w:cs="微軟正黑體"/>
          <w:sz w:val="22"/>
        </w:rPr>
        <w:t>3</w:t>
      </w:r>
      <w:r>
        <w:rPr>
          <w:rFonts w:ascii="微軟正黑體" w:eastAsia="微軟正黑體" w:hAnsi="微軟正黑體" w:cs="微軟正黑體"/>
          <w:sz w:val="22"/>
        </w:rPr>
        <w:t>列為優先治理情境，也只是待校準的決策規則。後續須結合</w:t>
      </w:r>
      <w:r>
        <w:rPr>
          <w:rFonts w:ascii="微軟正黑體" w:eastAsia="微軟正黑體" w:hAnsi="微軟正黑體" w:cs="微軟正黑體"/>
          <w:sz w:val="22"/>
        </w:rPr>
        <w:t>Delphi</w:t>
      </w:r>
      <w:r>
        <w:rPr>
          <w:rFonts w:ascii="微軟正黑體" w:eastAsia="微軟正黑體" w:hAnsi="微軟正黑體" w:cs="微軟正黑體"/>
          <w:sz w:val="22"/>
        </w:rPr>
        <w:t>、擴大案例分布及對後續治理鏈斷裂</w:t>
      </w:r>
      <w:proofErr w:type="gramStart"/>
      <w:r>
        <w:rPr>
          <w:rFonts w:ascii="微軟正黑體" w:eastAsia="微軟正黑體" w:hAnsi="微軟正黑體" w:cs="微軟正黑體"/>
          <w:sz w:val="22"/>
        </w:rPr>
        <w:t>的效標檢驗</w:t>
      </w:r>
      <w:proofErr w:type="gramEnd"/>
      <w:r>
        <w:rPr>
          <w:rFonts w:ascii="微軟正黑體" w:eastAsia="微軟正黑體" w:hAnsi="微軟正黑體" w:cs="微軟正黑體"/>
          <w:sz w:val="22"/>
        </w:rPr>
        <w:t>，決定是否</w:t>
      </w:r>
      <w:proofErr w:type="gramStart"/>
      <w:r>
        <w:rPr>
          <w:rFonts w:ascii="微軟正黑體" w:eastAsia="微軟正黑體" w:hAnsi="微軟正黑體" w:cs="微軟正黑體"/>
          <w:sz w:val="22"/>
        </w:rPr>
        <w:t>調整界值</w:t>
      </w:r>
      <w:proofErr w:type="gramEnd"/>
      <w:r>
        <w:rPr>
          <w:rFonts w:ascii="微軟正黑體" w:eastAsia="微軟正黑體" w:hAnsi="微軟正黑體" w:cs="微軟正黑體"/>
          <w:sz w:val="22"/>
        </w:rPr>
        <w:t>或改採其他分帶方式。</w:t>
      </w:r>
    </w:p>
    <w:p w:rsidR="00035E70" w:rsidRDefault="000B3CAA">
      <w:pPr>
        <w:pStyle w:val="2"/>
        <w:spacing w:before="260" w:after="140"/>
      </w:pPr>
      <w:r>
        <w:rPr>
          <w:rFonts w:ascii="微軟正黑體" w:eastAsia="微軟正黑體" w:hAnsi="微軟正黑體" w:cs="微軟正黑體"/>
          <w:b/>
          <w:sz w:val="24"/>
        </w:rPr>
        <w:t>三、第二階段：</w:t>
      </w:r>
      <w:r>
        <w:rPr>
          <w:rFonts w:ascii="微軟正黑體" w:eastAsia="微軟正黑體" w:hAnsi="微軟正黑體" w:cs="微軟正黑體"/>
          <w:b/>
          <w:sz w:val="24"/>
        </w:rPr>
        <w:t>C1</w:t>
      </w:r>
      <w:r>
        <w:rPr>
          <w:rFonts w:ascii="微軟正黑體" w:eastAsia="微軟正黑體" w:hAnsi="微軟正黑體" w:cs="微軟正黑體"/>
          <w:b/>
          <w:sz w:val="24"/>
        </w:rPr>
        <w:t>民主正當性完整度</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5</w:t>
      </w:r>
      <w:r>
        <w:rPr>
          <w:rFonts w:ascii="微軟正黑體" w:eastAsia="微軟正黑體" w:hAnsi="微軟正黑體" w:cs="微軟正黑體"/>
          <w:b/>
          <w:sz w:val="22"/>
        </w:rPr>
        <w:t xml:space="preserve">　情境</w:t>
      </w:r>
      <w:proofErr w:type="gramStart"/>
      <w:r>
        <w:rPr>
          <w:rFonts w:ascii="微軟正黑體" w:eastAsia="微軟正黑體" w:hAnsi="微軟正黑體" w:cs="微軟正黑體"/>
          <w:b/>
          <w:sz w:val="22"/>
        </w:rPr>
        <w:t>建構鏈</w:t>
      </w:r>
      <w:proofErr w:type="gramEnd"/>
      <w:r>
        <w:rPr>
          <w:rFonts w:ascii="微軟正黑體" w:eastAsia="微軟正黑體" w:hAnsi="微軟正黑體" w:cs="微軟正黑體"/>
          <w:b/>
          <w:sz w:val="22"/>
        </w:rPr>
        <w:t>C1</w:t>
      </w:r>
      <w:r>
        <w:rPr>
          <w:rFonts w:ascii="微軟正黑體" w:eastAsia="微軟正黑體" w:hAnsi="微軟正黑體" w:cs="微軟正黑體"/>
          <w:b/>
          <w:sz w:val="22"/>
        </w:rPr>
        <w:t>四構面十二指標（本文核心測量標的）</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00"/>
        <w:gridCol w:w="1900"/>
        <w:gridCol w:w="4200"/>
        <w:gridCol w:w="1700"/>
      </w:tblGrid>
      <w:tr w:rsidR="00035E70">
        <w:tblPrEx>
          <w:tblCellMar>
            <w:top w:w="0" w:type="dxa"/>
            <w:bottom w:w="0" w:type="dxa"/>
          </w:tblCellMar>
        </w:tblPrEx>
        <w:trPr>
          <w:tblHeader/>
        </w:trPr>
        <w:tc>
          <w:tcPr>
            <w:tcW w:w="11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構面與代碼</w:t>
            </w:r>
          </w:p>
        </w:tc>
        <w:tc>
          <w:tcPr>
            <w:tcW w:w="19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指標名稱</w:t>
            </w:r>
          </w:p>
        </w:tc>
        <w:tc>
          <w:tcPr>
            <w:tcW w:w="42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核心評分問題</w:t>
            </w:r>
          </w:p>
        </w:tc>
        <w:tc>
          <w:tcPr>
            <w:tcW w:w="17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可觀察證據</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D1 C1-1</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問題定義書面化</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公共問題、目標與適用範圍是否明確記錄？</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政策文件、專案章程</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D1 C1-2</w:t>
            </w:r>
          </w:p>
        </w:tc>
        <w:tc>
          <w:tcPr>
            <w:tcW w:w="19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框定決定</w:t>
            </w:r>
            <w:proofErr w:type="gramEnd"/>
            <w:r>
              <w:rPr>
                <w:rFonts w:ascii="微軟正黑體" w:eastAsia="微軟正黑體" w:hAnsi="微軟正黑體" w:cs="微軟正黑體"/>
                <w:color w:val="000000"/>
                <w:sz w:val="21"/>
                <w:szCs w:val="21"/>
              </w:rPr>
              <w:t>者具名</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誰核定問題、標籤、代理變項與主要選擇？</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權責表、會議紀錄、簽核</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D1 C1-3</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問題定義變更歷程</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問題定義與目標變更是否留存理由與版本？</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變更日誌、版本紀錄</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D2 C1-4</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資料來源可追溯</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資料來源、</w:t>
            </w:r>
            <w:proofErr w:type="gramStart"/>
            <w:r>
              <w:rPr>
                <w:rFonts w:ascii="微軟正黑體" w:eastAsia="微軟正黑體" w:hAnsi="微軟正黑體" w:cs="微軟正黑體"/>
                <w:color w:val="000000"/>
                <w:sz w:val="21"/>
                <w:szCs w:val="21"/>
              </w:rPr>
              <w:t>期間、</w:t>
            </w:r>
            <w:proofErr w:type="gramEnd"/>
            <w:r>
              <w:rPr>
                <w:rFonts w:ascii="微軟正黑體" w:eastAsia="微軟正黑體" w:hAnsi="微軟正黑體" w:cs="微軟正黑體"/>
                <w:color w:val="000000"/>
                <w:sz w:val="21"/>
                <w:szCs w:val="21"/>
              </w:rPr>
              <w:t>品質與連結方式是否可辨識？</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資料字典、資料說明</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D2 C1-5</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納入／排除標準</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哪些群體、事實或變項被納入或排除，理由是否說明？</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樣本規則、影響評估</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D2 C1-6</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群體與代理風險檢查</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是否檢查代理變項、錯誤率及差別影響？</w:t>
            </w:r>
          </w:p>
        </w:tc>
        <w:tc>
          <w:tcPr>
            <w:tcW w:w="1700" w:type="dxa"/>
            <w:tcMar>
              <w:top w:w="80" w:type="dxa"/>
              <w:left w:w="100" w:type="dxa"/>
              <w:bottom w:w="80" w:type="dxa"/>
              <w:right w:w="100" w:type="dxa"/>
            </w:tcMar>
          </w:tcPr>
          <w:p w:rsidR="00035E70" w:rsidRDefault="000B3CAA">
            <w:pPr>
              <w:spacing w:after="60" w:line="276" w:lineRule="auto"/>
            </w:pPr>
            <w:r>
              <w:t>公平性、驗證或審計報告</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D3 C1-7</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分類與標籤文件化</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分類、標籤及目標變項是否有明確定義？</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模型卡、技術文件</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D3 C1-8</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提示／</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值決策紀錄</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提示模板、預設類別或</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值由誰決定，是否留存版本？</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提示庫、參數紀錄</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D3 C1-9</w:t>
            </w:r>
          </w:p>
        </w:tc>
        <w:tc>
          <w:tcPr>
            <w:tcW w:w="19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框定邏輯</w:t>
            </w:r>
            <w:proofErr w:type="gramEnd"/>
            <w:r>
              <w:rPr>
                <w:rFonts w:ascii="微軟正黑體" w:eastAsia="微軟正黑體" w:hAnsi="微軟正黑體" w:cs="微軟正黑體"/>
                <w:color w:val="000000"/>
                <w:sz w:val="21"/>
                <w:szCs w:val="21"/>
              </w:rPr>
              <w:t>可重建</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外部審查者能否重建資料如何成為風險或行政事實？</w:t>
            </w:r>
          </w:p>
        </w:tc>
        <w:tc>
          <w:tcPr>
            <w:tcW w:w="1700" w:type="dxa"/>
            <w:tcMar>
              <w:top w:w="80" w:type="dxa"/>
              <w:left w:w="100" w:type="dxa"/>
              <w:bottom w:w="80" w:type="dxa"/>
              <w:right w:w="100" w:type="dxa"/>
            </w:tcMar>
          </w:tcPr>
          <w:p w:rsidR="00035E70" w:rsidRDefault="000B3CAA">
            <w:pPr>
              <w:spacing w:after="60" w:line="276" w:lineRule="auto"/>
            </w:pPr>
            <w:r>
              <w:t>技術文件、審計抽查</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D4 C1-10</w:t>
            </w:r>
          </w:p>
        </w:tc>
        <w:tc>
          <w:tcPr>
            <w:tcW w:w="19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利害關係人參與</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受影響群體是否在資料、分類或</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值形成階段實質參與？</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諮詢紀錄、參與回應表</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D4 C1-11</w:t>
            </w:r>
          </w:p>
        </w:tc>
        <w:tc>
          <w:tcPr>
            <w:tcW w:w="19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框定異議</w:t>
            </w:r>
            <w:proofErr w:type="gramEnd"/>
            <w:r>
              <w:rPr>
                <w:rFonts w:ascii="微軟正黑體" w:eastAsia="微軟正黑體" w:hAnsi="微軟正黑體" w:cs="微軟正黑體"/>
                <w:color w:val="000000"/>
                <w:sz w:val="21"/>
                <w:szCs w:val="21"/>
              </w:rPr>
              <w:t>管道</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是否可對問題定義、資料或分類本身提出正式異議？</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申訴、監察、獨立審查制度</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D4 C1-12</w:t>
            </w:r>
          </w:p>
        </w:tc>
        <w:tc>
          <w:tcPr>
            <w:tcW w:w="19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框定修正</w:t>
            </w:r>
            <w:proofErr w:type="gramEnd"/>
            <w:r>
              <w:rPr>
                <w:rFonts w:ascii="微軟正黑體" w:eastAsia="微軟正黑體" w:hAnsi="微軟正黑體" w:cs="微軟正黑體"/>
                <w:color w:val="000000"/>
                <w:sz w:val="21"/>
                <w:szCs w:val="21"/>
              </w:rPr>
              <w:t>實績</w:t>
            </w:r>
          </w:p>
        </w:tc>
        <w:tc>
          <w:tcPr>
            <w:tcW w:w="4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是否曾因異議實際修正資料、分類、提示或</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w:t>
            </w:r>
          </w:p>
        </w:tc>
        <w:tc>
          <w:tcPr>
            <w:tcW w:w="17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修正紀錄、事件報告</w:t>
            </w:r>
          </w:p>
        </w:tc>
      </w:tr>
    </w:tbl>
    <w:p w:rsidR="00035E70" w:rsidRDefault="000B3CAA">
      <w:pPr>
        <w:spacing w:after="160" w:line="300" w:lineRule="auto"/>
        <w:jc w:val="both"/>
      </w:pPr>
      <w:r>
        <w:t>因此，七項治理審計回答「尚須查核哪些證據」，</w:t>
      </w:r>
      <w:r>
        <w:t>C1</w:t>
      </w:r>
      <w:r>
        <w:t>回答「情境</w:t>
      </w:r>
      <w:proofErr w:type="gramStart"/>
      <w:r>
        <w:t>建構鏈完整</w:t>
      </w:r>
      <w:proofErr w:type="gramEnd"/>
      <w:r>
        <w:t>度如何計分」；前者是橫向查漏工具，後者是專門操作化工具，二者不加總，也不互相替代。</w:t>
      </w:r>
    </w:p>
    <w:p w:rsidR="00035E70" w:rsidRDefault="000B3CAA">
      <w:pPr>
        <w:spacing w:after="160" w:line="300" w:lineRule="auto"/>
        <w:jc w:val="both"/>
      </w:pPr>
      <w:r>
        <w:rPr>
          <w:rFonts w:ascii="微軟正黑體" w:eastAsia="微軟正黑體" w:hAnsi="微軟正黑體" w:cs="微軟正黑體"/>
          <w:sz w:val="22"/>
        </w:rPr>
        <w:t>各指標</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0</w:t>
      </w:r>
      <w:r>
        <w:rPr>
          <w:rFonts w:ascii="微軟正黑體" w:eastAsia="微軟正黑體" w:hAnsi="微軟正黑體" w:cs="微軟正黑體"/>
          <w:sz w:val="22"/>
        </w:rPr>
        <w:t>至</w:t>
      </w:r>
      <w:r>
        <w:rPr>
          <w:rFonts w:ascii="微軟正黑體" w:eastAsia="微軟正黑體" w:hAnsi="微軟正黑體" w:cs="微軟正黑體"/>
          <w:sz w:val="22"/>
        </w:rPr>
        <w:t>4</w:t>
      </w:r>
      <w:r>
        <w:rPr>
          <w:rFonts w:ascii="微軟正黑體" w:eastAsia="微軟正黑體" w:hAnsi="微軟正黑體" w:cs="微軟正黑體"/>
          <w:sz w:val="22"/>
        </w:rPr>
        <w:t>級成熟度：</w:t>
      </w:r>
    </w:p>
    <w:p w:rsidR="00035E70" w:rsidRDefault="000B3CAA">
      <w:pPr>
        <w:spacing w:after="4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0</w:t>
      </w:r>
      <w:r>
        <w:rPr>
          <w:rFonts w:ascii="微軟正黑體" w:eastAsia="微軟正黑體" w:hAnsi="微軟正黑體" w:cs="微軟正黑體"/>
          <w:sz w:val="22"/>
        </w:rPr>
        <w:t>：經確認沒有制度、程序或紀錄；</w:t>
      </w:r>
    </w:p>
    <w:p w:rsidR="00035E70" w:rsidRDefault="000B3CAA">
      <w:pPr>
        <w:spacing w:after="4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1</w:t>
      </w:r>
      <w:r>
        <w:rPr>
          <w:rFonts w:ascii="微軟正黑體" w:eastAsia="微軟正黑體" w:hAnsi="微軟正黑體" w:cs="微軟正黑體"/>
          <w:sz w:val="22"/>
        </w:rPr>
        <w:t>：僅有原則宣示</w:t>
      </w:r>
      <w:proofErr w:type="gramStart"/>
      <w:r>
        <w:rPr>
          <w:rFonts w:ascii="微軟正黑體" w:eastAsia="微軟正黑體" w:hAnsi="微軟正黑體" w:cs="微軟正黑體"/>
          <w:sz w:val="22"/>
        </w:rPr>
        <w:t>或零散</w:t>
      </w:r>
      <w:proofErr w:type="gramEnd"/>
      <w:r>
        <w:rPr>
          <w:rFonts w:ascii="微軟正黑體" w:eastAsia="微軟正黑體" w:hAnsi="微軟正黑體" w:cs="微軟正黑體"/>
          <w:sz w:val="22"/>
        </w:rPr>
        <w:t>作法；</w:t>
      </w:r>
    </w:p>
    <w:p w:rsidR="00035E70" w:rsidRDefault="000B3CAA">
      <w:pPr>
        <w:spacing w:after="4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2</w:t>
      </w:r>
      <w:r>
        <w:rPr>
          <w:rFonts w:ascii="微軟正黑體" w:eastAsia="微軟正黑體" w:hAnsi="微軟正黑體" w:cs="微軟正黑體"/>
          <w:sz w:val="22"/>
        </w:rPr>
        <w:t>：已有部分程序與文件，但涵蓋或執行不一致；</w:t>
      </w:r>
    </w:p>
    <w:p w:rsidR="00035E70" w:rsidRDefault="000B3CAA">
      <w:pPr>
        <w:spacing w:after="4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3</w:t>
      </w:r>
      <w:r>
        <w:rPr>
          <w:rFonts w:ascii="微軟正黑體" w:eastAsia="微軟正黑體" w:hAnsi="微軟正黑體" w:cs="微軟正黑體"/>
          <w:sz w:val="22"/>
        </w:rPr>
        <w:t>：程序制度化、紀錄穩定且可供內部覆核；</w:t>
      </w:r>
    </w:p>
    <w:p w:rsidR="00035E70" w:rsidRDefault="000B3CAA">
      <w:pPr>
        <w:spacing w:after="160" w:line="300" w:lineRule="auto"/>
        <w:ind w:left="420"/>
        <w:jc w:val="both"/>
      </w:pP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 xml:space="preserve"> </w:t>
      </w:r>
      <w:r>
        <w:rPr>
          <w:rFonts w:ascii="微軟正黑體" w:eastAsia="微軟正黑體" w:hAnsi="微軟正黑體" w:cs="微軟正黑體"/>
          <w:sz w:val="22"/>
        </w:rPr>
        <w:t>4</w:t>
      </w:r>
      <w:r>
        <w:rPr>
          <w:rFonts w:ascii="微軟正黑體" w:eastAsia="微軟正黑體" w:hAnsi="微軟正黑體" w:cs="微軟正黑體"/>
          <w:sz w:val="22"/>
        </w:rPr>
        <w:t>：除制度化外，尚有外部檢視、利害關係人實質參與、可提出異議並有修正實績。</w:t>
      </w:r>
    </w:p>
    <w:p w:rsidR="00035E70" w:rsidRDefault="000B3CAA">
      <w:pPr>
        <w:spacing w:after="160" w:line="300" w:lineRule="auto"/>
        <w:jc w:val="both"/>
      </w:pPr>
      <w:r>
        <w:rPr>
          <w:rFonts w:ascii="微軟正黑體" w:eastAsia="微軟正黑體" w:hAnsi="微軟正黑體" w:cs="微軟正黑體"/>
          <w:sz w:val="22"/>
        </w:rPr>
        <w:t>0</w:t>
      </w:r>
      <w:r>
        <w:rPr>
          <w:rFonts w:ascii="微軟正黑體" w:eastAsia="微軟正黑體" w:hAnsi="微軟正黑體" w:cs="微軟正黑體"/>
          <w:sz w:val="22"/>
        </w:rPr>
        <w:t>與</w:t>
      </w:r>
      <w:r>
        <w:rPr>
          <w:rFonts w:ascii="微軟正黑體" w:eastAsia="微軟正黑體" w:hAnsi="微軟正黑體" w:cs="微軟正黑體"/>
          <w:sz w:val="22"/>
        </w:rPr>
        <w:t>NA</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「積極證據」判準。記</w:t>
      </w:r>
      <w:r>
        <w:rPr>
          <w:rFonts w:ascii="微軟正黑體" w:eastAsia="微軟正黑體" w:hAnsi="微軟正黑體" w:cs="微軟正黑體"/>
          <w:sz w:val="22"/>
        </w:rPr>
        <w:t>0</w:t>
      </w:r>
      <w:r>
        <w:rPr>
          <w:rFonts w:ascii="微軟正黑體" w:eastAsia="微軟正黑體" w:hAnsi="微軟正黑體" w:cs="微軟正黑體"/>
          <w:sz w:val="22"/>
        </w:rPr>
        <w:t>須有可引用的正面證據支持制度或程序不存在，例如規範</w:t>
      </w:r>
      <w:r>
        <w:rPr>
          <w:rFonts w:ascii="微軟正黑體" w:eastAsia="微軟正黑體" w:hAnsi="微軟正黑體" w:cs="微軟正黑體"/>
          <w:sz w:val="22"/>
        </w:rPr>
        <w:lastRenderedPageBreak/>
        <w:t>或流程明確未設置、機關正式回覆確認不存在，或司法／調查報告認定欠缺。僅因檢索不到文件、資料未公開或遭拒絕／遮蔽，或證據互相衝突，不得記</w:t>
      </w:r>
      <w:r>
        <w:rPr>
          <w:rFonts w:ascii="微軟正黑體" w:eastAsia="微軟正黑體" w:hAnsi="微軟正黑體" w:cs="微軟正黑體"/>
          <w:sz w:val="22"/>
        </w:rPr>
        <w:t>0</w:t>
      </w:r>
      <w:r>
        <w:rPr>
          <w:rFonts w:ascii="微軟正黑體" w:eastAsia="微軟正黑體" w:hAnsi="微軟正黑體" w:cs="微軟正黑體"/>
          <w:sz w:val="22"/>
        </w:rPr>
        <w:t>。編碼備註再區分</w:t>
      </w:r>
      <w:r>
        <w:rPr>
          <w:rFonts w:ascii="微軟正黑體" w:eastAsia="微軟正黑體" w:hAnsi="微軟正黑體" w:cs="微軟正黑體"/>
          <w:sz w:val="22"/>
        </w:rPr>
        <w:t>NA-O</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opacity</w:t>
      </w:r>
      <w:r>
        <w:rPr>
          <w:rFonts w:ascii="微軟正黑體" w:eastAsia="微軟正黑體" w:hAnsi="微軟正黑體" w:cs="微軟正黑體"/>
          <w:sz w:val="22"/>
        </w:rPr>
        <w:t>：因不公開、拒絕或遮蔽而不可判定</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與</w:t>
      </w:r>
      <w:r>
        <w:rPr>
          <w:rFonts w:ascii="微軟正黑體" w:eastAsia="微軟正黑體" w:hAnsi="微軟正黑體" w:cs="微軟正黑體"/>
          <w:sz w:val="22"/>
        </w:rPr>
        <w:t>NA-U</w:t>
      </w:r>
      <w:r>
        <w:rPr>
          <w:rFonts w:ascii="微軟正黑體" w:eastAsia="微軟正黑體" w:hAnsi="微軟正黑體" w:cs="微軟正黑體"/>
          <w:sz w:val="22"/>
        </w:rPr>
        <w:t>（</w:t>
      </w:r>
      <w:r>
        <w:rPr>
          <w:rFonts w:ascii="微軟正黑體" w:eastAsia="微軟正黑體" w:hAnsi="微軟正黑體" w:cs="微軟正黑體"/>
          <w:sz w:val="22"/>
        </w:rPr>
        <w:t>uncertainty</w:t>
      </w:r>
      <w:r>
        <w:rPr>
          <w:rFonts w:ascii="微軟正黑體" w:eastAsia="微軟正黑體" w:hAnsi="微軟正黑體" w:cs="微軟正黑體"/>
          <w:sz w:val="22"/>
        </w:rPr>
        <w:t>：現有證據不足或相互衝突</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；二者在主分析均維持</w:t>
      </w:r>
      <w:r>
        <w:rPr>
          <w:rFonts w:ascii="微軟正黑體" w:eastAsia="微軟正黑體" w:hAnsi="微軟正黑體" w:cs="微軟正黑體"/>
          <w:sz w:val="22"/>
        </w:rPr>
        <w:t>NA</w:t>
      </w:r>
      <w:r>
        <w:rPr>
          <w:rFonts w:ascii="微軟正黑體" w:eastAsia="微軟正黑體" w:hAnsi="微軟正黑體" w:cs="微軟正黑體"/>
          <w:sz w:val="22"/>
        </w:rPr>
        <w:t>。</w:t>
      </w:r>
    </w:p>
    <w:p w:rsidR="00035E70" w:rsidRDefault="000B3CAA">
      <w:pPr>
        <w:spacing w:after="160" w:line="300" w:lineRule="auto"/>
        <w:jc w:val="both"/>
      </w:pPr>
      <w:r>
        <w:rPr>
          <w:rFonts w:ascii="微軟正黑體" w:eastAsia="微軟正黑體" w:hAnsi="微軟正黑體" w:cs="微軟正黑體"/>
          <w:sz w:val="22"/>
        </w:rPr>
        <w:t>NA</w:t>
      </w:r>
      <w:r>
        <w:rPr>
          <w:rFonts w:ascii="微軟正黑體" w:eastAsia="微軟正黑體" w:hAnsi="微軟正黑體" w:cs="微軟正黑體"/>
          <w:sz w:val="22"/>
        </w:rPr>
        <w:t>不納入主平均，資料涵蓋率仍為「有有效分數的指標數</w:t>
      </w:r>
      <w:r>
        <w:rPr>
          <w:rFonts w:ascii="微軟正黑體" w:eastAsia="微軟正黑體" w:hAnsi="微軟正黑體" w:cs="微軟正黑體"/>
          <w:sz w:val="22"/>
        </w:rPr>
        <w:t>÷1</w:t>
      </w:r>
      <w:r>
        <w:rPr>
          <w:rFonts w:ascii="微軟正黑體" w:eastAsia="微軟正黑體" w:hAnsi="微軟正黑體" w:cs="微軟正黑體"/>
          <w:sz w:val="22"/>
        </w:rPr>
        <w:t>2</w:t>
      </w:r>
      <w:r>
        <w:rPr>
          <w:rFonts w:ascii="微軟正黑體" w:eastAsia="微軟正黑體" w:hAnsi="微軟正黑體" w:cs="微軟正黑體"/>
          <w:sz w:val="22"/>
        </w:rPr>
        <w:t>」；涵蓋率低於</w:t>
      </w:r>
      <w:r>
        <w:rPr>
          <w:rFonts w:ascii="微軟正黑體" w:eastAsia="微軟正黑體" w:hAnsi="微軟正黑體" w:cs="微軟正黑體"/>
          <w:sz w:val="22"/>
        </w:rPr>
        <w:t>75%</w:t>
      </w:r>
      <w:r>
        <w:rPr>
          <w:rFonts w:ascii="微軟正黑體" w:eastAsia="微軟正黑體" w:hAnsi="微軟正黑體" w:cs="微軟正黑體"/>
          <w:sz w:val="22"/>
        </w:rPr>
        <w:t>時，不報</w:t>
      </w:r>
      <w:r>
        <w:rPr>
          <w:rFonts w:ascii="微軟正黑體" w:eastAsia="微軟正黑體" w:hAnsi="微軟正黑體" w:cs="微軟正黑體"/>
          <w:sz w:val="22"/>
        </w:rPr>
        <w:t>C1</w:t>
      </w:r>
      <w:r>
        <w:rPr>
          <w:rFonts w:ascii="微軟正黑體" w:eastAsia="微軟正黑體" w:hAnsi="微軟正黑體" w:cs="微軟正黑體"/>
          <w:sz w:val="22"/>
        </w:rPr>
        <w:t>總平均，只呈現逐項證據與待補資料。即使涵蓋率達</w:t>
      </w:r>
      <w:r>
        <w:rPr>
          <w:rFonts w:ascii="微軟正黑體" w:eastAsia="微軟正黑體" w:hAnsi="微軟正黑體" w:cs="微軟正黑體"/>
          <w:sz w:val="22"/>
        </w:rPr>
        <w:t>75%</w:t>
      </w:r>
      <w:r>
        <w:rPr>
          <w:rFonts w:ascii="微軟正黑體" w:eastAsia="微軟正黑體" w:hAnsi="微軟正黑體" w:cs="微軟正黑體"/>
          <w:sz w:val="22"/>
        </w:rPr>
        <w:t>，仍須報告</w:t>
      </w:r>
      <w:r>
        <w:rPr>
          <w:rFonts w:ascii="微軟正黑體" w:eastAsia="微軟正黑體" w:hAnsi="微軟正黑體" w:cs="微軟正黑體"/>
          <w:sz w:val="22"/>
        </w:rPr>
        <w:t>NA</w:t>
      </w:r>
      <w:r>
        <w:rPr>
          <w:rFonts w:ascii="微軟正黑體" w:eastAsia="微軟正黑體" w:hAnsi="微軟正黑體" w:cs="微軟正黑體"/>
          <w:sz w:val="22"/>
        </w:rPr>
        <w:t>的數量、類型及所在指標；如有</w:t>
      </w:r>
      <w:r>
        <w:rPr>
          <w:rFonts w:ascii="微軟正黑體" w:eastAsia="微軟正黑體" w:hAnsi="微軟正黑體" w:cs="微軟正黑體"/>
          <w:sz w:val="22"/>
        </w:rPr>
        <w:t>NA-O</w:t>
      </w:r>
      <w:r>
        <w:rPr>
          <w:rFonts w:ascii="微軟正黑體" w:eastAsia="微軟正黑體" w:hAnsi="微軟正黑體" w:cs="微軟正黑體"/>
          <w:sz w:val="22"/>
        </w:rPr>
        <w:t>，另將</w:t>
      </w:r>
      <w:r>
        <w:rPr>
          <w:rFonts w:ascii="微軟正黑體" w:eastAsia="微軟正黑體" w:hAnsi="微軟正黑體" w:cs="微軟正黑體"/>
          <w:sz w:val="22"/>
        </w:rPr>
        <w:t>NA-O</w:t>
      </w:r>
      <w:proofErr w:type="gramStart"/>
      <w:r>
        <w:rPr>
          <w:rFonts w:ascii="微軟正黑體" w:eastAsia="微軟正黑體" w:hAnsi="微軟正黑體" w:cs="微軟正黑體"/>
          <w:sz w:val="22"/>
        </w:rPr>
        <w:t>暫按</w:t>
      </w:r>
      <w:proofErr w:type="gramEnd"/>
      <w:r>
        <w:rPr>
          <w:rFonts w:ascii="微軟正黑體" w:eastAsia="微軟正黑體" w:hAnsi="微軟正黑體" w:cs="微軟正黑體"/>
          <w:sz w:val="22"/>
        </w:rPr>
        <w:t>0</w:t>
      </w:r>
      <w:r>
        <w:rPr>
          <w:rFonts w:ascii="微軟正黑體" w:eastAsia="微軟正黑體" w:hAnsi="微軟正黑體" w:cs="微軟正黑體"/>
          <w:sz w:val="22"/>
        </w:rPr>
        <w:t>處理並報告保守下限，作為透明度敏感度分析而非正式得分。</w:t>
      </w:r>
      <w:r>
        <w:rPr>
          <w:rFonts w:ascii="微軟正黑體" w:eastAsia="微軟正黑體" w:hAnsi="微軟正黑體" w:cs="微軟正黑體"/>
          <w:sz w:val="22"/>
        </w:rPr>
        <w:t>C1-11</w:t>
      </w:r>
      <w:r>
        <w:rPr>
          <w:rFonts w:ascii="微軟正黑體" w:eastAsia="微軟正黑體" w:hAnsi="微軟正黑體" w:cs="微軟正黑體"/>
          <w:sz w:val="22"/>
        </w:rPr>
        <w:t>為</w:t>
      </w:r>
      <w:r>
        <w:rPr>
          <w:rFonts w:ascii="微軟正黑體" w:eastAsia="微軟正黑體" w:hAnsi="微軟正黑體" w:cs="微軟正黑體"/>
          <w:sz w:val="22"/>
        </w:rPr>
        <w:t>NA-O</w:t>
      </w:r>
      <w:r>
        <w:rPr>
          <w:rFonts w:ascii="微軟正黑體" w:eastAsia="微軟正黑體" w:hAnsi="微軟正黑體" w:cs="微軟正黑體"/>
          <w:sz w:val="22"/>
        </w:rPr>
        <w:t>或</w:t>
      </w:r>
      <w:r>
        <w:rPr>
          <w:rFonts w:ascii="微軟正黑體" w:eastAsia="微軟正黑體" w:hAnsi="微軟正黑體" w:cs="微軟正黑體"/>
          <w:sz w:val="22"/>
        </w:rPr>
        <w:t>NA-U</w:t>
      </w:r>
      <w:proofErr w:type="gramStart"/>
      <w:r>
        <w:rPr>
          <w:rFonts w:ascii="微軟正黑體" w:eastAsia="微軟正黑體" w:hAnsi="微軟正黑體" w:cs="微軟正黑體"/>
          <w:sz w:val="22"/>
        </w:rPr>
        <w:t>時均只能</w:t>
      </w:r>
      <w:proofErr w:type="gramEnd"/>
      <w:r>
        <w:rPr>
          <w:rFonts w:ascii="微軟正黑體" w:eastAsia="微軟正黑體" w:hAnsi="微軟正黑體" w:cs="微軟正黑體"/>
          <w:sz w:val="22"/>
        </w:rPr>
        <w:t>標示「門檻無法判定」。因此，機關不公開不會被視為制度完整，也不能只因從平均中移除而無條件維持較高診斷。</w:t>
      </w:r>
    </w:p>
    <w:p w:rsidR="00035E70" w:rsidRDefault="000B3CAA">
      <w:pPr>
        <w:pStyle w:val="2"/>
        <w:spacing w:before="260" w:after="140"/>
      </w:pPr>
      <w:r>
        <w:rPr>
          <w:rFonts w:ascii="微軟正黑體" w:eastAsia="微軟正黑體" w:hAnsi="微軟正黑體" w:cs="微軟正黑體"/>
          <w:b/>
          <w:sz w:val="24"/>
        </w:rPr>
        <w:t>四、聚合、門檻與形成性測量</w:t>
      </w:r>
    </w:p>
    <w:p w:rsidR="00035E70" w:rsidRDefault="000B3CAA">
      <w:pPr>
        <w:spacing w:after="160" w:line="300" w:lineRule="auto"/>
        <w:jc w:val="both"/>
      </w:pPr>
      <w:r>
        <w:rPr>
          <w:rFonts w:ascii="微軟正黑體" w:eastAsia="微軟正黑體" w:hAnsi="微軟正黑體" w:cs="微軟正黑體"/>
          <w:sz w:val="22"/>
        </w:rPr>
        <w:t>十二指標共同形成情境</w:t>
      </w:r>
      <w:proofErr w:type="gramStart"/>
      <w:r>
        <w:rPr>
          <w:rFonts w:ascii="微軟正黑體" w:eastAsia="微軟正黑體" w:hAnsi="微軟正黑體" w:cs="微軟正黑體"/>
          <w:sz w:val="22"/>
        </w:rPr>
        <w:t>建構鏈完整</w:t>
      </w:r>
      <w:proofErr w:type="gramEnd"/>
      <w:r>
        <w:rPr>
          <w:rFonts w:ascii="微軟正黑體" w:eastAsia="微軟正黑體" w:hAnsi="微軟正黑體" w:cs="微軟正黑體"/>
          <w:sz w:val="22"/>
        </w:rPr>
        <w:t>度，並非單一潛在特質的反映</w:t>
      </w:r>
      <w:proofErr w:type="gramStart"/>
      <w:r>
        <w:rPr>
          <w:rFonts w:ascii="微軟正黑體" w:eastAsia="微軟正黑體" w:hAnsi="微軟正黑體" w:cs="微軟正黑體"/>
          <w:sz w:val="22"/>
        </w:rPr>
        <w:t>性題</w:t>
      </w:r>
      <w:proofErr w:type="gramEnd"/>
      <w:r>
        <w:rPr>
          <w:rFonts w:ascii="微軟正黑體" w:eastAsia="微軟正黑體" w:hAnsi="微軟正黑體" w:cs="微軟正黑體"/>
          <w:sz w:val="22"/>
        </w:rPr>
        <w:t>項，因此不宜只以</w:t>
      </w:r>
      <w:r>
        <w:rPr>
          <w:rFonts w:ascii="微軟正黑體" w:eastAsia="微軟正黑體" w:hAnsi="微軟正黑體" w:cs="微軟正黑體"/>
          <w:sz w:val="22"/>
        </w:rPr>
        <w:t>Cronbach's α</w:t>
      </w:r>
      <w:proofErr w:type="gramStart"/>
      <w:r>
        <w:rPr>
          <w:rFonts w:ascii="微軟正黑體" w:eastAsia="微軟正黑體" w:hAnsi="微軟正黑體" w:cs="微軟正黑體"/>
          <w:sz w:val="22"/>
        </w:rPr>
        <w:t>判定效</w:t>
      </w:r>
      <w:proofErr w:type="gramEnd"/>
      <w:r>
        <w:rPr>
          <w:rFonts w:ascii="微軟正黑體" w:eastAsia="微軟正黑體" w:hAnsi="微軟正黑體" w:cs="微軟正黑體"/>
          <w:sz w:val="22"/>
        </w:rPr>
        <w:t>度。描述性階段，</w:t>
      </w:r>
      <w:proofErr w:type="gramStart"/>
      <w:r>
        <w:rPr>
          <w:rFonts w:ascii="微軟正黑體" w:eastAsia="微軟正黑體" w:hAnsi="微軟正黑體" w:cs="微軟正黑體"/>
          <w:sz w:val="22"/>
        </w:rPr>
        <w:t>各構面</w:t>
      </w:r>
      <w:proofErr w:type="gramEnd"/>
      <w:r>
        <w:rPr>
          <w:rFonts w:ascii="微軟正黑體" w:eastAsia="微軟正黑體" w:hAnsi="微軟正黑體" w:cs="微軟正黑體"/>
          <w:sz w:val="22"/>
        </w:rPr>
        <w:t>平均</w:t>
      </w:r>
      <w:proofErr w:type="gramStart"/>
      <w:r>
        <w:rPr>
          <w:rFonts w:ascii="微軟正黑體" w:eastAsia="微軟正黑體" w:hAnsi="微軟正黑體" w:cs="微軟正黑體"/>
          <w:sz w:val="22"/>
        </w:rPr>
        <w:t>為該構</w:t>
      </w:r>
      <w:proofErr w:type="gramEnd"/>
      <w:r>
        <w:rPr>
          <w:rFonts w:ascii="微軟正黑體" w:eastAsia="微軟正黑體" w:hAnsi="微軟正黑體" w:cs="微軟正黑體"/>
          <w:sz w:val="22"/>
        </w:rPr>
        <w:t>面可觀察指標之算術平均，</w:t>
      </w:r>
      <w:r>
        <w:rPr>
          <w:rFonts w:ascii="微軟正黑體" w:eastAsia="微軟正黑體" w:hAnsi="微軟正黑體" w:cs="微軟正黑體"/>
          <w:sz w:val="22"/>
        </w:rPr>
        <w:t>C1</w:t>
      </w:r>
      <w:r>
        <w:rPr>
          <w:rFonts w:ascii="微軟正黑體" w:eastAsia="微軟正黑體" w:hAnsi="微軟正黑體" w:cs="微軟正黑體"/>
          <w:sz w:val="22"/>
        </w:rPr>
        <w:t>總平均為全部可觀察指標之算術平均；同時必須呈現四構面剖面、</w:t>
      </w:r>
      <w:r>
        <w:rPr>
          <w:rFonts w:ascii="微軟正黑體" w:eastAsia="微軟正黑體" w:hAnsi="微軟正黑體" w:cs="微軟正黑體"/>
          <w:sz w:val="22"/>
        </w:rPr>
        <w:t>NA</w:t>
      </w:r>
      <w:r>
        <w:rPr>
          <w:rFonts w:ascii="微軟正黑體" w:eastAsia="微軟正黑體" w:hAnsi="微軟正黑體" w:cs="微軟正黑體"/>
          <w:sz w:val="22"/>
        </w:rPr>
        <w:t>及資料涵蓋率。現階段暫</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等權，理由是在</w:t>
      </w:r>
      <w:proofErr w:type="gramStart"/>
      <w:r>
        <w:rPr>
          <w:rFonts w:ascii="微軟正黑體" w:eastAsia="微軟正黑體" w:hAnsi="微軟正黑體" w:cs="微軟正黑體"/>
          <w:sz w:val="22"/>
        </w:rPr>
        <w:t>內容效度</w:t>
      </w:r>
      <w:proofErr w:type="gramEnd"/>
      <w:r>
        <w:rPr>
          <w:rFonts w:ascii="微軟正黑體" w:eastAsia="微軟正黑體" w:hAnsi="微軟正黑體" w:cs="微軟正黑體"/>
          <w:sz w:val="22"/>
        </w:rPr>
        <w:t>與必要條件尚未校準前，不先置入未經證成的價值權重；這只是一種描述性摘要，不表示十二指標的規範重要性相同。若後續</w:t>
      </w:r>
      <w:r>
        <w:rPr>
          <w:rFonts w:ascii="微軟正黑體" w:eastAsia="微軟正黑體" w:hAnsi="微軟正黑體" w:cs="微軟正黑體"/>
          <w:sz w:val="22"/>
        </w:rPr>
        <w:t>Delphi</w:t>
      </w:r>
      <w:r>
        <w:rPr>
          <w:rFonts w:ascii="微軟正黑體" w:eastAsia="微軟正黑體" w:hAnsi="微軟正黑體" w:cs="微軟正黑體"/>
          <w:sz w:val="22"/>
        </w:rPr>
        <w:t>決定</w:t>
      </w:r>
      <w:proofErr w:type="gramStart"/>
      <w:r>
        <w:rPr>
          <w:rFonts w:ascii="微軟正黑體" w:eastAsia="微軟正黑體" w:hAnsi="微軟正黑體" w:cs="微軟正黑體"/>
          <w:sz w:val="22"/>
        </w:rPr>
        <w:t>採</w:t>
      </w:r>
      <w:proofErr w:type="gramEnd"/>
      <w:r>
        <w:rPr>
          <w:rFonts w:ascii="微軟正黑體" w:eastAsia="微軟正黑體" w:hAnsi="微軟正黑體" w:cs="微軟正黑體"/>
          <w:sz w:val="22"/>
        </w:rPr>
        <w:t>差異權重，必須同步報告未加權結果與權重敏感度，避免權重選擇改變案例診斷而未被看見。</w:t>
      </w:r>
    </w:p>
    <w:p w:rsidR="00035E70" w:rsidRDefault="000B3CAA">
      <w:pPr>
        <w:spacing w:after="160" w:line="300" w:lineRule="auto"/>
        <w:jc w:val="both"/>
      </w:pPr>
      <w:r>
        <w:rPr>
          <w:rFonts w:ascii="微軟正黑體" w:eastAsia="微軟正黑體" w:hAnsi="微軟正黑體" w:cs="微軟正黑體"/>
          <w:sz w:val="22"/>
        </w:rPr>
        <w:t>規範門檻另行判定：</w:t>
      </w:r>
    </w:p>
    <w:p w:rsidR="00035E70" w:rsidRDefault="000B3CAA">
      <w:pPr>
        <w:spacing w:after="120" w:line="300" w:lineRule="auto"/>
        <w:ind w:left="420" w:hanging="420"/>
        <w:jc w:val="both"/>
      </w:pPr>
      <w:r>
        <w:rPr>
          <w:rFonts w:ascii="微軟正黑體" w:eastAsia="微軟正黑體" w:hAnsi="微軟正黑體" w:cs="微軟正黑體"/>
          <w:sz w:val="22"/>
        </w:rPr>
        <w:t>1. C1-11</w:t>
      </w:r>
      <w:r>
        <w:rPr>
          <w:rFonts w:ascii="微軟正黑體" w:eastAsia="微軟正黑體" w:hAnsi="微軟正黑體" w:cs="微軟正黑體"/>
          <w:sz w:val="22"/>
        </w:rPr>
        <w:t>經確認為</w:t>
      </w:r>
      <w:r>
        <w:rPr>
          <w:rFonts w:ascii="微軟正黑體" w:eastAsia="微軟正黑體" w:hAnsi="微軟正黑體" w:cs="微軟正黑體"/>
          <w:sz w:val="22"/>
        </w:rPr>
        <w:t>0</w:t>
      </w:r>
      <w:r>
        <w:rPr>
          <w:rFonts w:ascii="微軟正黑體" w:eastAsia="微軟正黑體" w:hAnsi="微軟正黑體" w:cs="微軟正黑體"/>
          <w:sz w:val="22"/>
        </w:rPr>
        <w:t>，標示「</w:t>
      </w:r>
      <w:proofErr w:type="gramStart"/>
      <w:r>
        <w:rPr>
          <w:rFonts w:ascii="微軟正黑體" w:eastAsia="微軟正黑體" w:hAnsi="微軟正黑體" w:cs="微軟正黑體"/>
          <w:sz w:val="22"/>
        </w:rPr>
        <w:t>框定異議</w:t>
      </w:r>
      <w:proofErr w:type="gramEnd"/>
      <w:r>
        <w:rPr>
          <w:rFonts w:ascii="微軟正黑體" w:eastAsia="微軟正黑體" w:hAnsi="微軟正黑體" w:cs="微軟正黑體"/>
          <w:sz w:val="22"/>
        </w:rPr>
        <w:t>門檻未通過」；</w:t>
      </w:r>
    </w:p>
    <w:p w:rsidR="00035E70" w:rsidRDefault="000B3CAA">
      <w:pPr>
        <w:spacing w:after="120" w:line="300" w:lineRule="auto"/>
        <w:ind w:left="420" w:hanging="420"/>
        <w:jc w:val="both"/>
      </w:pPr>
      <w:r>
        <w:rPr>
          <w:rFonts w:ascii="微軟正黑體" w:eastAsia="微軟正黑體" w:hAnsi="微軟正黑體" w:cs="微軟正黑體"/>
          <w:sz w:val="22"/>
        </w:rPr>
        <w:t>2. D4</w:t>
      </w:r>
      <w:r>
        <w:rPr>
          <w:rFonts w:ascii="微軟正黑體" w:eastAsia="微軟正黑體" w:hAnsi="微軟正黑體" w:cs="微軟正黑體"/>
          <w:sz w:val="22"/>
        </w:rPr>
        <w:t>民主檢視與可修正性平均低於</w:t>
      </w:r>
      <w:r>
        <w:rPr>
          <w:rFonts w:ascii="微軟正黑體" w:eastAsia="微軟正黑體" w:hAnsi="微軟正黑體" w:cs="微軟正黑體"/>
          <w:sz w:val="22"/>
        </w:rPr>
        <w:t>1</w:t>
      </w:r>
      <w:r>
        <w:rPr>
          <w:rFonts w:ascii="微軟正黑體" w:eastAsia="微軟正黑體" w:hAnsi="微軟正黑體" w:cs="微軟正黑體"/>
          <w:sz w:val="22"/>
        </w:rPr>
        <w:t>，標示「民主檢視門檻未通過」；</w:t>
      </w:r>
    </w:p>
    <w:p w:rsidR="00035E70" w:rsidRDefault="000B3CAA">
      <w:pPr>
        <w:spacing w:after="120" w:line="300" w:lineRule="auto"/>
        <w:ind w:left="420" w:hanging="420"/>
        <w:jc w:val="both"/>
      </w:pPr>
      <w:r>
        <w:rPr>
          <w:rFonts w:ascii="微軟正黑體" w:eastAsia="微軟正黑體" w:hAnsi="微軟正黑體" w:cs="微軟正黑體"/>
          <w:sz w:val="22"/>
        </w:rPr>
        <w:t>3. C1</w:t>
      </w:r>
      <w:r>
        <w:rPr>
          <w:rFonts w:ascii="微軟正黑體" w:eastAsia="微軟正黑體" w:hAnsi="微軟正黑體" w:cs="微軟正黑體"/>
          <w:sz w:val="22"/>
        </w:rPr>
        <w:t>-11</w:t>
      </w:r>
      <w:r>
        <w:rPr>
          <w:rFonts w:ascii="微軟正黑體" w:eastAsia="微軟正黑體" w:hAnsi="微軟正黑體" w:cs="微軟正黑體"/>
          <w:sz w:val="22"/>
        </w:rPr>
        <w:t>為</w:t>
      </w:r>
      <w:r>
        <w:rPr>
          <w:rFonts w:ascii="微軟正黑體" w:eastAsia="微軟正黑體" w:hAnsi="微軟正黑體" w:cs="微軟正黑體"/>
          <w:sz w:val="22"/>
        </w:rPr>
        <w:t>NA-O</w:t>
      </w:r>
      <w:r>
        <w:rPr>
          <w:rFonts w:ascii="微軟正黑體" w:eastAsia="微軟正黑體" w:hAnsi="微軟正黑體" w:cs="微軟正黑體"/>
          <w:sz w:val="22"/>
        </w:rPr>
        <w:t>或</w:t>
      </w:r>
      <w:r>
        <w:rPr>
          <w:rFonts w:ascii="微軟正黑體" w:eastAsia="微軟正黑體" w:hAnsi="微軟正黑體" w:cs="微軟正黑體"/>
          <w:sz w:val="22"/>
        </w:rPr>
        <w:t>NA-U</w:t>
      </w:r>
      <w:r>
        <w:rPr>
          <w:rFonts w:ascii="微軟正黑體" w:eastAsia="微軟正黑體" w:hAnsi="微軟正黑體" w:cs="微軟正黑體"/>
          <w:sz w:val="22"/>
        </w:rPr>
        <w:t>時，只能標示「門檻無法判定」，不得以其他高分宣稱通過；</w:t>
      </w:r>
    </w:p>
    <w:p w:rsidR="00035E70" w:rsidRDefault="000B3CAA">
      <w:pPr>
        <w:spacing w:after="120" w:line="300" w:lineRule="auto"/>
        <w:ind w:left="420" w:hanging="420"/>
        <w:jc w:val="both"/>
      </w:pPr>
      <w:r>
        <w:rPr>
          <w:rFonts w:ascii="微軟正黑體" w:eastAsia="微軟正黑體" w:hAnsi="微軟正黑體" w:cs="微軟正黑體"/>
          <w:sz w:val="22"/>
        </w:rPr>
        <w:t>4. P1</w:t>
      </w:r>
      <w:r>
        <w:rPr>
          <w:rFonts w:ascii="微軟正黑體" w:eastAsia="微軟正黑體" w:hAnsi="微軟正黑體" w:cs="微軟正黑體"/>
          <w:sz w:val="22"/>
        </w:rPr>
        <w:t>平均達</w:t>
      </w:r>
      <w:r>
        <w:rPr>
          <w:rFonts w:ascii="微軟正黑體" w:eastAsia="微軟正黑體" w:hAnsi="微軟正黑體" w:cs="微軟正黑體"/>
          <w:sz w:val="22"/>
        </w:rPr>
        <w:t>3</w:t>
      </w:r>
      <w:r>
        <w:rPr>
          <w:rFonts w:ascii="微軟正黑體" w:eastAsia="微軟正黑體" w:hAnsi="微軟正黑體" w:cs="微軟正黑體"/>
          <w:sz w:val="22"/>
        </w:rPr>
        <w:t>以上且任一民主門檻未通過，列為「高暴露</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低民主完整度」優先治理情境。</w:t>
      </w:r>
    </w:p>
    <w:p w:rsidR="00035E70" w:rsidRDefault="000B3CAA">
      <w:pPr>
        <w:spacing w:after="160" w:line="300" w:lineRule="auto"/>
        <w:jc w:val="both"/>
      </w:pPr>
      <w:r>
        <w:rPr>
          <w:rFonts w:ascii="微軟正黑體" w:eastAsia="微軟正黑體" w:hAnsi="微軟正黑體" w:cs="微軟正黑體"/>
          <w:sz w:val="22"/>
        </w:rPr>
        <w:t>門檻</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機械調降平均分，也不允許</w:t>
      </w:r>
      <w:proofErr w:type="gramStart"/>
      <w:r>
        <w:rPr>
          <w:rFonts w:ascii="微軟正黑體" w:eastAsia="微軟正黑體" w:hAnsi="微軟正黑體" w:cs="微軟正黑體"/>
          <w:sz w:val="22"/>
        </w:rPr>
        <w:t>其他</w:t>
      </w:r>
      <w:proofErr w:type="gramEnd"/>
      <w:r>
        <w:rPr>
          <w:rFonts w:ascii="微軟正黑體" w:eastAsia="微軟正黑體" w:hAnsi="微軟正黑體" w:cs="微軟正黑體"/>
          <w:sz w:val="22"/>
        </w:rPr>
        <w:t>構面高分補償。未來正式</w:t>
      </w:r>
      <w:proofErr w:type="gramStart"/>
      <w:r>
        <w:rPr>
          <w:rFonts w:ascii="微軟正黑體" w:eastAsia="微軟正黑體" w:hAnsi="微軟正黑體" w:cs="微軟正黑體"/>
          <w:sz w:val="22"/>
        </w:rPr>
        <w:t>施測須先</w:t>
      </w:r>
      <w:proofErr w:type="gramEnd"/>
      <w:r>
        <w:rPr>
          <w:rFonts w:ascii="微軟正黑體" w:eastAsia="微軟正黑體" w:hAnsi="微軟正黑體" w:cs="微軟正黑體"/>
          <w:sz w:val="22"/>
        </w:rPr>
        <w:t>以</w:t>
      </w:r>
      <w:r>
        <w:rPr>
          <w:rFonts w:ascii="微軟正黑體" w:eastAsia="微軟正黑體" w:hAnsi="微軟正黑體" w:cs="微軟正黑體"/>
          <w:sz w:val="22"/>
        </w:rPr>
        <w:t>Delphi</w:t>
      </w:r>
      <w:r>
        <w:rPr>
          <w:rFonts w:ascii="微軟正黑體" w:eastAsia="微軟正黑體" w:hAnsi="微軟正黑體" w:cs="微軟正黑體"/>
          <w:sz w:val="22"/>
        </w:rPr>
        <w:t>確認</w:t>
      </w:r>
      <w:proofErr w:type="gramStart"/>
      <w:r>
        <w:rPr>
          <w:rFonts w:ascii="微軟正黑體" w:eastAsia="微軟正黑體" w:hAnsi="微軟正黑體" w:cs="微軟正黑體"/>
          <w:sz w:val="22"/>
        </w:rPr>
        <w:t>內容效度</w:t>
      </w:r>
      <w:proofErr w:type="gramEnd"/>
      <w:r>
        <w:rPr>
          <w:rFonts w:ascii="微軟正黑體" w:eastAsia="微軟正黑體" w:hAnsi="微軟正黑體" w:cs="微軟正黑體"/>
          <w:sz w:val="22"/>
        </w:rPr>
        <w:t>與必要條件，再檢查</w:t>
      </w:r>
      <w:r>
        <w:rPr>
          <w:rFonts w:ascii="微軟正黑體" w:eastAsia="微軟正黑體" w:hAnsi="微軟正黑體" w:cs="微軟正黑體"/>
          <w:sz w:val="22"/>
        </w:rPr>
        <w:t>VIF</w:t>
      </w:r>
      <w:r>
        <w:rPr>
          <w:rFonts w:ascii="微軟正黑體" w:eastAsia="微軟正黑體" w:hAnsi="微軟正黑體" w:cs="微軟正黑體"/>
          <w:sz w:val="22"/>
        </w:rPr>
        <w:t>與資訊冗餘、雙人編碼信度及對後續治理鏈斷裂的</w:t>
      </w:r>
      <w:proofErr w:type="gramStart"/>
      <w:r>
        <w:rPr>
          <w:rFonts w:ascii="微軟正黑體" w:eastAsia="微軟正黑體" w:hAnsi="微軟正黑體" w:cs="微軟正黑體"/>
          <w:sz w:val="22"/>
        </w:rPr>
        <w:t>預測效</w:t>
      </w:r>
      <w:proofErr w:type="gramEnd"/>
      <w:r>
        <w:rPr>
          <w:rFonts w:ascii="微軟正黑體" w:eastAsia="微軟正黑體" w:hAnsi="微軟正黑體" w:cs="微軟正黑體"/>
          <w:sz w:val="22"/>
        </w:rPr>
        <w:t>度。</w:t>
      </w:r>
    </w:p>
    <w:p w:rsidR="00035E70" w:rsidRDefault="000B3CAA">
      <w:pPr>
        <w:pStyle w:val="2"/>
        <w:spacing w:before="260" w:after="140"/>
      </w:pPr>
      <w:r>
        <w:rPr>
          <w:rFonts w:ascii="微軟正黑體" w:eastAsia="微軟正黑體" w:hAnsi="微軟正黑體" w:cs="微軟正黑體"/>
          <w:b/>
          <w:sz w:val="24"/>
        </w:rPr>
        <w:t>五、重建後的七步驟編碼程序</w:t>
      </w:r>
    </w:p>
    <w:p w:rsidR="00035E70" w:rsidRDefault="000B3CAA">
      <w:pPr>
        <w:spacing w:after="120" w:line="300" w:lineRule="auto"/>
        <w:ind w:left="420" w:hanging="420"/>
        <w:jc w:val="both"/>
      </w:pPr>
      <w:r>
        <w:rPr>
          <w:rFonts w:ascii="微軟正黑體" w:eastAsia="微軟正黑體" w:hAnsi="微軟正黑體" w:cs="微軟正黑體"/>
          <w:sz w:val="22"/>
        </w:rPr>
        <w:t xml:space="preserve">1. </w:t>
      </w:r>
      <w:r>
        <w:rPr>
          <w:rFonts w:ascii="微軟正黑體" w:eastAsia="微軟正黑體" w:hAnsi="微軟正黑體" w:cs="微軟正黑體"/>
          <w:sz w:val="22"/>
        </w:rPr>
        <w:t>案例與決定鏈界定：</w:t>
      </w:r>
      <w:r>
        <w:rPr>
          <w:rFonts w:ascii="微軟正黑體" w:eastAsia="微軟正黑體" w:hAnsi="微軟正黑體" w:cs="微軟正黑體"/>
          <w:sz w:val="22"/>
        </w:rPr>
        <w:t xml:space="preserve"> </w:t>
      </w:r>
      <w:r>
        <w:rPr>
          <w:rFonts w:ascii="微軟正黑體" w:eastAsia="微軟正黑體" w:hAnsi="微軟正黑體" w:cs="微軟正黑體"/>
          <w:sz w:val="22"/>
        </w:rPr>
        <w:t>明確界定系統、時間範圍、行政決定及受影響者。</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二十五座標定位：</w:t>
      </w:r>
      <w:r>
        <w:rPr>
          <w:rFonts w:ascii="微軟正黑體" w:eastAsia="微軟正黑體" w:hAnsi="微軟正黑體" w:cs="微軟正黑體"/>
          <w:sz w:val="22"/>
        </w:rPr>
        <w:t xml:space="preserve"> </w:t>
      </w:r>
      <w:r>
        <w:rPr>
          <w:rFonts w:ascii="微軟正黑體" w:eastAsia="微軟正黑體" w:hAnsi="微軟正黑體" w:cs="微軟正黑體"/>
          <w:sz w:val="22"/>
        </w:rPr>
        <w:t>標定起始格位、延伸格位</w:t>
      </w:r>
      <w:proofErr w:type="gramStart"/>
      <w:r>
        <w:rPr>
          <w:rFonts w:ascii="微軟正黑體" w:eastAsia="微軟正黑體" w:hAnsi="微軟正黑體" w:cs="微軟正黑體"/>
          <w:sz w:val="22"/>
        </w:rPr>
        <w:t>與跨格路徑</w:t>
      </w:r>
      <w:proofErr w:type="gramEnd"/>
      <w:r>
        <w:rPr>
          <w:rFonts w:ascii="微軟正黑體" w:eastAsia="微軟正黑體" w:hAnsi="微軟正黑體" w:cs="微軟正黑體"/>
          <w:sz w:val="22"/>
        </w:rPr>
        <w:t>。</w:t>
      </w:r>
    </w:p>
    <w:p w:rsidR="00035E70" w:rsidRDefault="000B3CAA">
      <w:pPr>
        <w:spacing w:after="120" w:line="300" w:lineRule="auto"/>
        <w:ind w:left="420" w:hanging="420"/>
        <w:jc w:val="both"/>
      </w:pPr>
      <w:r>
        <w:rPr>
          <w:rFonts w:ascii="微軟正黑體" w:eastAsia="微軟正黑體" w:hAnsi="微軟正黑體" w:cs="微軟正黑體"/>
          <w:sz w:val="22"/>
        </w:rPr>
        <w:lastRenderedPageBreak/>
        <w:t>3. P1</w:t>
      </w:r>
      <w:r>
        <w:rPr>
          <w:rFonts w:ascii="微軟正黑體" w:eastAsia="微軟正黑體" w:hAnsi="微軟正黑體" w:cs="微軟正黑體"/>
          <w:sz w:val="22"/>
        </w:rPr>
        <w:t>暴</w:t>
      </w:r>
      <w:r>
        <w:rPr>
          <w:rFonts w:ascii="微軟正黑體" w:eastAsia="微軟正黑體" w:hAnsi="微軟正黑體" w:cs="微軟正黑體"/>
          <w:sz w:val="22"/>
        </w:rPr>
        <w:t>露編碼：</w:t>
      </w:r>
      <w:r>
        <w:rPr>
          <w:rFonts w:ascii="微軟正黑體" w:eastAsia="微軟正黑體" w:hAnsi="微軟正黑體" w:cs="微軟正黑體"/>
          <w:sz w:val="22"/>
        </w:rPr>
        <w:t xml:space="preserve"> </w:t>
      </w:r>
      <w:r>
        <w:rPr>
          <w:rFonts w:ascii="微軟正黑體" w:eastAsia="微軟正黑體" w:hAnsi="微軟正黑體" w:cs="微軟正黑體"/>
          <w:sz w:val="22"/>
        </w:rPr>
        <w:t>依五項指標判斷功能性權力移轉強度。</w:t>
      </w:r>
    </w:p>
    <w:p w:rsidR="00035E70" w:rsidRDefault="000B3CAA">
      <w:pPr>
        <w:spacing w:after="120" w:line="300" w:lineRule="auto"/>
        <w:ind w:left="420" w:hanging="420"/>
        <w:jc w:val="both"/>
      </w:pPr>
      <w:r>
        <w:rPr>
          <w:rFonts w:ascii="微軟正黑體" w:eastAsia="微軟正黑體" w:hAnsi="微軟正黑體" w:cs="微軟正黑體"/>
          <w:sz w:val="22"/>
        </w:rPr>
        <w:t xml:space="preserve">4. </w:t>
      </w:r>
      <w:r>
        <w:rPr>
          <w:rFonts w:ascii="微軟正黑體" w:eastAsia="微軟正黑體" w:hAnsi="微軟正黑體" w:cs="微軟正黑體"/>
          <w:sz w:val="22"/>
        </w:rPr>
        <w:t>結構效應辨識：</w:t>
      </w:r>
      <w:r>
        <w:rPr>
          <w:rFonts w:ascii="微軟正黑體" w:eastAsia="微軟正黑體" w:hAnsi="微軟正黑體" w:cs="微軟正黑體"/>
          <w:sz w:val="22"/>
        </w:rPr>
        <w:t xml:space="preserve"> </w:t>
      </w:r>
      <w:r>
        <w:rPr>
          <w:rFonts w:ascii="微軟正黑體" w:eastAsia="微軟正黑體" w:hAnsi="微軟正黑體" w:cs="微軟正黑體"/>
          <w:sz w:val="22"/>
        </w:rPr>
        <w:t>分別記錄跨座標移動、邊界消解及權威重構證據。</w:t>
      </w:r>
    </w:p>
    <w:p w:rsidR="00035E70" w:rsidRDefault="000B3CAA">
      <w:pPr>
        <w:spacing w:after="120" w:line="300" w:lineRule="auto"/>
        <w:ind w:left="420" w:hanging="420"/>
        <w:jc w:val="both"/>
      </w:pPr>
      <w:r>
        <w:rPr>
          <w:rFonts w:ascii="微軟正黑體" w:eastAsia="微軟正黑體" w:hAnsi="微軟正黑體" w:cs="微軟正黑體"/>
          <w:sz w:val="22"/>
        </w:rPr>
        <w:t>5. C1</w:t>
      </w:r>
      <w:r>
        <w:rPr>
          <w:rFonts w:ascii="微軟正黑體" w:eastAsia="微軟正黑體" w:hAnsi="微軟正黑體" w:cs="微軟正黑體"/>
          <w:sz w:val="22"/>
        </w:rPr>
        <w:t>完整度編碼：</w:t>
      </w:r>
      <w:r>
        <w:rPr>
          <w:rFonts w:ascii="微軟正黑體" w:eastAsia="微軟正黑體" w:hAnsi="微軟正黑體" w:cs="微軟正黑體"/>
          <w:sz w:val="22"/>
        </w:rPr>
        <w:t xml:space="preserve"> </w:t>
      </w:r>
      <w:r>
        <w:rPr>
          <w:rFonts w:ascii="微軟正黑體" w:eastAsia="微軟正黑體" w:hAnsi="微軟正黑體" w:cs="微軟正黑體"/>
          <w:sz w:val="22"/>
        </w:rPr>
        <w:t>依十二指標逐項記錄分數、引文、來源與不確定性。</w:t>
      </w:r>
    </w:p>
    <w:p w:rsidR="00035E70" w:rsidRDefault="000B3CAA">
      <w:pPr>
        <w:spacing w:after="120" w:line="300" w:lineRule="auto"/>
        <w:ind w:left="420" w:hanging="420"/>
        <w:jc w:val="both"/>
      </w:pPr>
      <w:r>
        <w:t xml:space="preserve">6. </w:t>
      </w:r>
      <w:r>
        <w:t>七項審計交叉檢查：</w:t>
      </w:r>
      <w:r>
        <w:t xml:space="preserve"> </w:t>
      </w:r>
      <w:r>
        <w:t>檢查資料、理由、責任、</w:t>
      </w:r>
      <w:proofErr w:type="gramStart"/>
      <w:r>
        <w:t>隱私資安</w:t>
      </w:r>
      <w:proofErr w:type="gramEnd"/>
      <w:r>
        <w:t>、裁量、能力及</w:t>
      </w:r>
      <w:proofErr w:type="gramStart"/>
      <w:r>
        <w:t>民主課責證</w:t>
      </w:r>
      <w:proofErr w:type="gramEnd"/>
      <w:r>
        <w:t>據是否一致。</w:t>
      </w:r>
    </w:p>
    <w:p w:rsidR="00035E70" w:rsidRDefault="000B3CAA">
      <w:pPr>
        <w:spacing w:after="120" w:line="300" w:lineRule="auto"/>
        <w:ind w:left="420" w:hanging="420"/>
        <w:jc w:val="both"/>
      </w:pPr>
      <w:r>
        <w:rPr>
          <w:rFonts w:ascii="微軟正黑體" w:eastAsia="微軟正黑體" w:hAnsi="微軟正黑體" w:cs="微軟正黑體"/>
          <w:sz w:val="22"/>
        </w:rPr>
        <w:t xml:space="preserve">7. </w:t>
      </w:r>
      <w:r>
        <w:rPr>
          <w:rFonts w:ascii="微軟正黑體" w:eastAsia="微軟正黑體" w:hAnsi="微軟正黑體" w:cs="微軟正黑體"/>
          <w:sz w:val="22"/>
        </w:rPr>
        <w:t>後續治理鏈追蹤：</w:t>
      </w:r>
      <w:r>
        <w:rPr>
          <w:rFonts w:ascii="微軟正黑體" w:eastAsia="微軟正黑體" w:hAnsi="微軟正黑體" w:cs="微軟正黑體"/>
          <w:sz w:val="22"/>
        </w:rPr>
        <w:t xml:space="preserve"> </w:t>
      </w:r>
      <w:r>
        <w:rPr>
          <w:rFonts w:ascii="微軟正黑體" w:eastAsia="微軟正黑體" w:hAnsi="微軟正黑體" w:cs="微軟正黑體"/>
          <w:sz w:val="22"/>
        </w:rPr>
        <w:t>判斷</w:t>
      </w:r>
      <w:r>
        <w:rPr>
          <w:rFonts w:ascii="微軟正黑體" w:eastAsia="微軟正黑體" w:hAnsi="微軟正黑體" w:cs="微軟正黑體"/>
          <w:sz w:val="22"/>
        </w:rPr>
        <w:t>P1</w:t>
      </w:r>
      <w:r>
        <w:rPr>
          <w:rFonts w:ascii="微軟正黑體" w:eastAsia="微軟正黑體" w:hAnsi="微軟正黑體" w:cs="微軟正黑體"/>
          <w:sz w:val="22"/>
        </w:rPr>
        <w:t>與</w:t>
      </w:r>
      <w:r>
        <w:rPr>
          <w:rFonts w:ascii="微軟正黑體" w:eastAsia="微軟正黑體" w:hAnsi="微軟正黑體" w:cs="微軟正黑體"/>
          <w:sz w:val="22"/>
        </w:rPr>
        <w:t>C1</w:t>
      </w:r>
      <w:r>
        <w:rPr>
          <w:rFonts w:ascii="微軟正黑體" w:eastAsia="微軟正黑體" w:hAnsi="微軟正黑體" w:cs="微軟正黑體"/>
          <w:sz w:val="22"/>
        </w:rPr>
        <w:t>組合如何傳導至權威、理由及責任鏈。</w:t>
      </w:r>
    </w:p>
    <w:p w:rsidR="00035E70" w:rsidRDefault="000B3CAA">
      <w:pPr>
        <w:spacing w:after="160" w:line="300" w:lineRule="auto"/>
        <w:jc w:val="both"/>
      </w:pPr>
      <w:r>
        <w:rPr>
          <w:rFonts w:ascii="微軟正黑體" w:eastAsia="微軟正黑體" w:hAnsi="微軟正黑體" w:cs="微軟正黑體"/>
          <w:sz w:val="22"/>
        </w:rPr>
        <w:t>正式研究應由兩位編碼者獨立評分，先比較逐項證據再協議分數；名目判斷可報</w:t>
      </w:r>
      <w:r>
        <w:rPr>
          <w:rFonts w:ascii="微軟正黑體" w:eastAsia="微軟正黑體" w:hAnsi="微軟正黑體" w:cs="微軟正黑體"/>
          <w:sz w:val="22"/>
        </w:rPr>
        <w:t>Cohen's κ</w:t>
      </w:r>
      <w:r>
        <w:rPr>
          <w:rFonts w:ascii="微軟正黑體" w:eastAsia="微軟正黑體" w:hAnsi="微軟正黑體" w:cs="微軟正黑體"/>
          <w:sz w:val="22"/>
        </w:rPr>
        <w:t>，序位</w:t>
      </w:r>
      <w:proofErr w:type="gramStart"/>
      <w:r>
        <w:rPr>
          <w:rFonts w:ascii="微軟正黑體" w:eastAsia="微軟正黑體" w:hAnsi="微軟正黑體" w:cs="微軟正黑體"/>
          <w:sz w:val="22"/>
        </w:rPr>
        <w:t>分數宜報加權</w:t>
      </w:r>
      <w:proofErr w:type="gramEnd"/>
      <w:r>
        <w:rPr>
          <w:rFonts w:ascii="微軟正黑體" w:eastAsia="微軟正黑體" w:hAnsi="微軟正黑體" w:cs="微軟正黑體"/>
          <w:sz w:val="22"/>
        </w:rPr>
        <w:t>κ</w:t>
      </w:r>
      <w:r>
        <w:rPr>
          <w:rFonts w:ascii="微軟正黑體" w:eastAsia="微軟正黑體" w:hAnsi="微軟正黑體" w:cs="微軟正黑體"/>
          <w:sz w:val="22"/>
        </w:rPr>
        <w:t>或組內相關係數。本文的單一作者示範重編碼不主張具有</w:t>
      </w:r>
      <w:r>
        <w:rPr>
          <w:rFonts w:ascii="微軟正黑體" w:eastAsia="微軟正黑體" w:hAnsi="微軟正黑體" w:cs="微軟正黑體"/>
          <w:sz w:val="22"/>
        </w:rPr>
        <w:t>評分</w:t>
      </w:r>
      <w:proofErr w:type="gramStart"/>
      <w:r>
        <w:rPr>
          <w:rFonts w:ascii="微軟正黑體" w:eastAsia="微軟正黑體" w:hAnsi="微軟正黑體" w:cs="微軟正黑體"/>
          <w:sz w:val="22"/>
        </w:rPr>
        <w:t>者間信度</w:t>
      </w:r>
      <w:proofErr w:type="gramEnd"/>
      <w:r>
        <w:rPr>
          <w:rFonts w:ascii="微軟正黑體" w:eastAsia="微軟正黑體" w:hAnsi="微軟正黑體" w:cs="微軟正黑體"/>
          <w:sz w:val="22"/>
        </w:rPr>
        <w:t>。</w:t>
      </w:r>
    </w:p>
    <w:p w:rsidR="00035E70" w:rsidRDefault="000B3CAA">
      <w:pPr>
        <w:pStyle w:val="1"/>
        <w:spacing w:before="260" w:after="140"/>
      </w:pPr>
      <w:r>
        <w:rPr>
          <w:rFonts w:ascii="微軟正黑體" w:eastAsia="微軟正黑體" w:hAnsi="微軟正黑體" w:cs="微軟正黑體"/>
          <w:b/>
          <w:sz w:val="27"/>
        </w:rPr>
        <w:t>伍、三案例示範重編碼</w:t>
      </w:r>
    </w:p>
    <w:p w:rsidR="00035E70" w:rsidRDefault="000B3CAA">
      <w:pPr>
        <w:pStyle w:val="2"/>
        <w:spacing w:before="260" w:after="140"/>
      </w:pPr>
      <w:r>
        <w:rPr>
          <w:rFonts w:ascii="微軟正黑體" w:eastAsia="微軟正黑體" w:hAnsi="微軟正黑體" w:cs="微軟正黑體"/>
          <w:b/>
          <w:sz w:val="24"/>
        </w:rPr>
        <w:t>一、案例定位與資料來源</w:t>
      </w:r>
    </w:p>
    <w:p w:rsidR="00035E70" w:rsidRDefault="000B3CAA">
      <w:pPr>
        <w:spacing w:after="160" w:line="300" w:lineRule="auto"/>
        <w:jc w:val="both"/>
      </w:pPr>
      <w:r>
        <w:rPr>
          <w:rFonts w:ascii="微軟正黑體" w:eastAsia="微軟正黑體" w:hAnsi="微軟正黑體" w:cs="微軟正黑體"/>
          <w:sz w:val="22"/>
        </w:rPr>
        <w:t>AFST</w:t>
      </w:r>
      <w:r>
        <w:rPr>
          <w:rFonts w:ascii="微軟正黑體" w:eastAsia="微軟正黑體" w:hAnsi="微軟正黑體" w:cs="微軟正黑體"/>
          <w:sz w:val="22"/>
        </w:rPr>
        <w:t>自</w:t>
      </w:r>
      <w:r>
        <w:rPr>
          <w:rFonts w:ascii="微軟正黑體" w:eastAsia="微軟正黑體" w:hAnsi="微軟正黑體" w:cs="微軟正黑體"/>
          <w:sz w:val="22"/>
        </w:rPr>
        <w:t>2016</w:t>
      </w:r>
      <w:r>
        <w:rPr>
          <w:rFonts w:ascii="微軟正黑體" w:eastAsia="微軟正黑體" w:hAnsi="微軟正黑體" w:cs="微軟正黑體"/>
          <w:sz w:val="22"/>
        </w:rPr>
        <w:t>年起用於美國賓州</w:t>
      </w:r>
      <w:r>
        <w:rPr>
          <w:rFonts w:ascii="微軟正黑體" w:eastAsia="微軟正黑體" w:hAnsi="微軟正黑體" w:cs="微軟正黑體"/>
          <w:sz w:val="22"/>
        </w:rPr>
        <w:t>Allegheny County</w:t>
      </w:r>
      <w:r>
        <w:rPr>
          <w:rFonts w:ascii="微軟正黑體" w:eastAsia="微軟正黑體" w:hAnsi="微軟正黑體" w:cs="微軟正黑體"/>
          <w:sz w:val="22"/>
        </w:rPr>
        <w:t>兒童福利通報篩選，整合跨系統行政資料形成風險分數；高分可形成「</w:t>
      </w:r>
      <w:proofErr w:type="gramStart"/>
      <w:r>
        <w:rPr>
          <w:rFonts w:ascii="微軟正黑體" w:eastAsia="微軟正黑體" w:hAnsi="微軟正黑體" w:cs="微軟正黑體"/>
          <w:sz w:val="22"/>
        </w:rPr>
        <w:t>強制篩入</w:t>
      </w:r>
      <w:proofErr w:type="gramEnd"/>
      <w:r>
        <w:rPr>
          <w:rFonts w:ascii="微軟正黑體" w:eastAsia="微軟正黑體" w:hAnsi="微軟正黑體" w:cs="微軟正黑體"/>
          <w:sz w:val="22"/>
        </w:rPr>
        <w:t>」標記，但主管具有覆核權，覆核會被記錄。公開方法報告、</w:t>
      </w:r>
      <w:r>
        <w:rPr>
          <w:rFonts w:ascii="微軟正黑體" w:eastAsia="微軟正黑體" w:hAnsi="微軟正黑體" w:cs="微軟正黑體"/>
          <w:sz w:val="22"/>
        </w:rPr>
        <w:t>FAQ</w:t>
      </w:r>
      <w:r>
        <w:rPr>
          <w:rFonts w:ascii="微軟正黑體" w:eastAsia="微軟正黑體" w:hAnsi="微軟正黑體" w:cs="微軟正黑體"/>
          <w:sz w:val="22"/>
        </w:rPr>
        <w:t>、倫理分析與影響評估提供相對完整的技術資訊，地方政府亦記錄若干社群諮詢活動。</w:t>
      </w:r>
    </w:p>
    <w:p w:rsidR="00035E70" w:rsidRDefault="000B3CAA">
      <w:pPr>
        <w:spacing w:after="160" w:line="300" w:lineRule="auto"/>
        <w:jc w:val="both"/>
      </w:pP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為荷蘭政府跨機關資料整合與風險指示制度，用於偵測社會福利、津貼與稅務詐欺。海牙地方法院於</w:t>
      </w:r>
      <w:r>
        <w:rPr>
          <w:rFonts w:ascii="微軟正黑體" w:eastAsia="微軟正黑體" w:hAnsi="微軟正黑體" w:cs="微軟正黑體"/>
          <w:sz w:val="22"/>
        </w:rPr>
        <w:t>2020</w:t>
      </w:r>
      <w:r>
        <w:rPr>
          <w:rFonts w:ascii="微軟正黑體" w:eastAsia="微軟正黑體" w:hAnsi="微軟正黑體" w:cs="微軟正黑體"/>
          <w:sz w:val="22"/>
        </w:rPr>
        <w:t>年認定其法律架構在防弊利益與《歐洲人權公約》第</w:t>
      </w:r>
      <w:r>
        <w:rPr>
          <w:rFonts w:ascii="微軟正黑體" w:eastAsia="微軟正黑體" w:hAnsi="微軟正黑體" w:cs="微軟正黑體"/>
          <w:sz w:val="22"/>
        </w:rPr>
        <w:t>8</w:t>
      </w:r>
      <w:r>
        <w:rPr>
          <w:rFonts w:ascii="微軟正黑體" w:eastAsia="微軟正黑體" w:hAnsi="微軟正黑體" w:cs="微軟正黑體"/>
          <w:sz w:val="22"/>
        </w:rPr>
        <w:t>條私人生活</w:t>
      </w:r>
      <w:proofErr w:type="gramStart"/>
      <w:r>
        <w:rPr>
          <w:rFonts w:ascii="微軟正黑體" w:eastAsia="微軟正黑體" w:hAnsi="微軟正黑體" w:cs="微軟正黑體"/>
          <w:sz w:val="22"/>
        </w:rPr>
        <w:t>權間未取得</w:t>
      </w:r>
      <w:proofErr w:type="gramEnd"/>
      <w:r>
        <w:rPr>
          <w:rFonts w:ascii="微軟正黑體" w:eastAsia="微軟正黑體" w:hAnsi="微軟正黑體" w:cs="微軟正黑體"/>
          <w:sz w:val="22"/>
        </w:rPr>
        <w:t>公平平衡，並特別指出透明度與可驗證性不足。</w:t>
      </w:r>
    </w:p>
    <w:p w:rsidR="00035E70" w:rsidRDefault="000B3CAA">
      <w:pPr>
        <w:spacing w:after="160" w:line="300" w:lineRule="auto"/>
        <w:jc w:val="both"/>
      </w:pP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以所得平均化方法將年度稅務資料轉換為個別期間所得推定，進而形成福利債務與追繳流程。澳洲聯邦法院和皇家調查委員會文件顯示，此一</w:t>
      </w:r>
      <w:proofErr w:type="gramStart"/>
      <w:r>
        <w:rPr>
          <w:rFonts w:ascii="微軟正黑體" w:eastAsia="微軟正黑體" w:hAnsi="微軟正黑體" w:cs="微軟正黑體"/>
          <w:sz w:val="22"/>
        </w:rPr>
        <w:t>統計框定取代</w:t>
      </w:r>
      <w:proofErr w:type="gramEnd"/>
      <w:r>
        <w:rPr>
          <w:rFonts w:ascii="微軟正黑體" w:eastAsia="微軟正黑體" w:hAnsi="微軟正黑體" w:cs="微軟正黑體"/>
          <w:sz w:val="22"/>
        </w:rPr>
        <w:t>個案實際所得認定，法律審查、停止機制與責任配置長期失靈。</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6</w:t>
      </w:r>
      <w:r>
        <w:rPr>
          <w:rFonts w:ascii="微軟正黑體" w:eastAsia="微軟正黑體" w:hAnsi="微軟正黑體" w:cs="微軟正黑體"/>
          <w:b/>
          <w:sz w:val="22"/>
        </w:rPr>
        <w:t xml:space="preserve">　三案例在</w:t>
      </w:r>
      <w:r>
        <w:rPr>
          <w:rFonts w:ascii="微軟正黑體" w:eastAsia="微軟正黑體" w:hAnsi="微軟正黑體" w:cs="微軟正黑體"/>
          <w:b/>
          <w:sz w:val="22"/>
        </w:rPr>
        <w:t>25</w:t>
      </w:r>
      <w:r>
        <w:rPr>
          <w:rFonts w:ascii="微軟正黑體" w:eastAsia="微軟正黑體" w:hAnsi="微軟正黑體" w:cs="微軟正黑體"/>
          <w:b/>
          <w:sz w:val="22"/>
        </w:rPr>
        <w:t>格、三種權力與三項結構效應中的定位</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3"/>
        <w:gridCol w:w="2175"/>
        <w:gridCol w:w="2569"/>
        <w:gridCol w:w="2963"/>
      </w:tblGrid>
      <w:tr w:rsidR="00035E70">
        <w:tblPrEx>
          <w:tblCellMar>
            <w:top w:w="0" w:type="dxa"/>
            <w:bottom w:w="0" w:type="dxa"/>
          </w:tblCellMar>
        </w:tblPrEx>
        <w:trPr>
          <w:tblHeader/>
        </w:trPr>
        <w:tc>
          <w:tcPr>
            <w:tcW w:w="11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案例</w:t>
            </w:r>
          </w:p>
        </w:tc>
        <w:tc>
          <w:tcPr>
            <w:tcW w:w="22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起始與延伸座標</w:t>
            </w:r>
          </w:p>
        </w:tc>
        <w:tc>
          <w:tcPr>
            <w:tcW w:w="26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主要權力移轉</w:t>
            </w:r>
          </w:p>
        </w:tc>
        <w:tc>
          <w:tcPr>
            <w:tcW w:w="30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三項結構效應</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AFST</w:t>
            </w:r>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管理運作</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個人／團體，延伸至政策體系</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社會</w:t>
            </w:r>
          </w:p>
        </w:tc>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w:t>
            </w:r>
            <w:r>
              <w:rPr>
                <w:rFonts w:ascii="微軟正黑體" w:eastAsia="微軟正黑體" w:hAnsi="微軟正黑體" w:cs="微軟正黑體"/>
                <w:color w:val="000000"/>
                <w:sz w:val="21"/>
                <w:szCs w:val="21"/>
              </w:rPr>
              <w:t>資料與風險分類；</w:t>
            </w:r>
            <w:r>
              <w:rPr>
                <w:rFonts w:ascii="微軟正黑體" w:eastAsia="微軟正黑體" w:hAnsi="微軟正黑體" w:cs="微軟正黑體"/>
                <w:color w:val="000000"/>
                <w:sz w:val="21"/>
                <w:szCs w:val="21"/>
              </w:rPr>
              <w:t>P2</w:t>
            </w:r>
            <w:proofErr w:type="gramStart"/>
            <w:r>
              <w:rPr>
                <w:rFonts w:ascii="微軟正黑體" w:eastAsia="微軟正黑體" w:hAnsi="微軟正黑體" w:cs="微軟正黑體"/>
                <w:color w:val="000000"/>
                <w:sz w:val="21"/>
                <w:szCs w:val="21"/>
              </w:rPr>
              <w:t>篩入裁量受</w:t>
            </w:r>
            <w:proofErr w:type="gramEnd"/>
            <w:r>
              <w:rPr>
                <w:rFonts w:ascii="微軟正黑體" w:eastAsia="微軟正黑體" w:hAnsi="微軟正黑體" w:cs="微軟正黑體"/>
                <w:color w:val="000000"/>
                <w:sz w:val="21"/>
                <w:szCs w:val="21"/>
              </w:rPr>
              <w:t>分數影響</w:t>
            </w:r>
          </w:p>
        </w:tc>
        <w:tc>
          <w:tcPr>
            <w:tcW w:w="3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個案工具跨至群體政策；人機判斷邊界部分消解；模型與主管共同形成實際權威</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color w:val="000000"/>
                <w:sz w:val="21"/>
                <w:szCs w:val="21"/>
              </w:rPr>
              <w:t>SyRI</w:t>
            </w:r>
            <w:proofErr w:type="spellEnd"/>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制度分工</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個人／社會，延伸至政策體系</w:t>
            </w:r>
            <w:r>
              <w:rPr>
                <w:rFonts w:ascii="微軟正黑體" w:eastAsia="微軟正黑體" w:hAnsi="微軟正黑體" w:cs="微軟正黑體"/>
                <w:color w:val="000000"/>
                <w:sz w:val="21"/>
                <w:szCs w:val="21"/>
              </w:rPr>
              <w:lastRenderedPageBreak/>
              <w:t>×</w:t>
            </w:r>
            <w:r>
              <w:rPr>
                <w:rFonts w:ascii="微軟正黑體" w:eastAsia="微軟正黑體" w:hAnsi="微軟正黑體" w:cs="微軟正黑體"/>
                <w:color w:val="000000"/>
                <w:sz w:val="21"/>
                <w:szCs w:val="21"/>
              </w:rPr>
              <w:t>社會</w:t>
            </w:r>
          </w:p>
        </w:tc>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lastRenderedPageBreak/>
              <w:t>P1</w:t>
            </w:r>
            <w:r>
              <w:rPr>
                <w:rFonts w:ascii="微軟正黑體" w:eastAsia="微軟正黑體" w:hAnsi="微軟正黑體" w:cs="微軟正黑體"/>
                <w:color w:val="000000"/>
                <w:sz w:val="21"/>
                <w:szCs w:val="21"/>
              </w:rPr>
              <w:t>跨機關資料與風險指示；</w:t>
            </w:r>
            <w:r>
              <w:rPr>
                <w:rFonts w:ascii="微軟正黑體" w:eastAsia="微軟正黑體" w:hAnsi="微軟正黑體" w:cs="微軟正黑體"/>
                <w:color w:val="000000"/>
                <w:sz w:val="21"/>
                <w:szCs w:val="21"/>
              </w:rPr>
              <w:t>P2</w:t>
            </w:r>
            <w:r>
              <w:rPr>
                <w:rFonts w:ascii="微軟正黑體" w:eastAsia="微軟正黑體" w:hAnsi="微軟正黑體" w:cs="微軟正黑體"/>
                <w:color w:val="000000"/>
                <w:sz w:val="21"/>
                <w:szCs w:val="21"/>
              </w:rPr>
              <w:t>調查優先順序</w:t>
            </w:r>
          </w:p>
        </w:tc>
        <w:tc>
          <w:tcPr>
            <w:tcW w:w="3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跨</w:t>
            </w:r>
            <w:proofErr w:type="gramStart"/>
            <w:r>
              <w:rPr>
                <w:rFonts w:ascii="微軟正黑體" w:eastAsia="微軟正黑體" w:hAnsi="微軟正黑體" w:cs="微軟正黑體"/>
                <w:color w:val="000000"/>
                <w:sz w:val="21"/>
                <w:szCs w:val="21"/>
              </w:rPr>
              <w:t>機關跨格</w:t>
            </w:r>
            <w:proofErr w:type="gramEnd"/>
            <w:r>
              <w:rPr>
                <w:rFonts w:ascii="微軟正黑體" w:eastAsia="微軟正黑體" w:hAnsi="微軟正黑體" w:cs="微軟正黑體"/>
                <w:color w:val="000000"/>
                <w:sz w:val="21"/>
                <w:szCs w:val="21"/>
              </w:rPr>
              <w:t>；資料處理與執法界線消解；風險模型與合作機</w:t>
            </w:r>
            <w:r>
              <w:rPr>
                <w:rFonts w:ascii="微軟正黑體" w:eastAsia="微軟正黑體" w:hAnsi="微軟正黑體" w:cs="微軟正黑體"/>
                <w:color w:val="000000"/>
                <w:sz w:val="21"/>
                <w:szCs w:val="21"/>
              </w:rPr>
              <w:lastRenderedPageBreak/>
              <w:t>關重構權威</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color w:val="000000"/>
                <w:sz w:val="21"/>
                <w:szCs w:val="21"/>
              </w:rPr>
              <w:lastRenderedPageBreak/>
              <w:t>Robodebt</w:t>
            </w:r>
            <w:proofErr w:type="spellEnd"/>
          </w:p>
        </w:tc>
        <w:tc>
          <w:tcPr>
            <w:tcW w:w="22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管理運作</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個人，延伸至制度分工</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社會</w:t>
            </w:r>
          </w:p>
        </w:tc>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P1</w:t>
            </w:r>
            <w:r>
              <w:rPr>
                <w:rFonts w:ascii="微軟正黑體" w:eastAsia="微軟正黑體" w:hAnsi="微軟正黑體" w:cs="微軟正黑體"/>
                <w:color w:val="000000"/>
                <w:sz w:val="21"/>
                <w:szCs w:val="21"/>
              </w:rPr>
              <w:t>所得事實推定；</w:t>
            </w:r>
            <w:r>
              <w:rPr>
                <w:rFonts w:ascii="微軟正黑體" w:eastAsia="微軟正黑體" w:hAnsi="微軟正黑體" w:cs="微軟正黑體"/>
                <w:color w:val="000000"/>
                <w:sz w:val="21"/>
                <w:szCs w:val="21"/>
              </w:rPr>
              <w:t>P2</w:t>
            </w:r>
            <w:r>
              <w:rPr>
                <w:rFonts w:ascii="微軟正黑體" w:eastAsia="微軟正黑體" w:hAnsi="微軟正黑體" w:cs="微軟正黑體"/>
                <w:color w:val="000000"/>
                <w:sz w:val="21"/>
                <w:szCs w:val="21"/>
              </w:rPr>
              <w:t>舉證與追繳裁量；</w:t>
            </w:r>
            <w:r>
              <w:rPr>
                <w:rFonts w:ascii="微軟正黑體" w:eastAsia="微軟正黑體" w:hAnsi="微軟正黑體" w:cs="微軟正黑體"/>
                <w:color w:val="000000"/>
                <w:sz w:val="21"/>
                <w:szCs w:val="21"/>
              </w:rPr>
              <w:t>P3</w:t>
            </w:r>
            <w:r>
              <w:rPr>
                <w:rFonts w:ascii="微軟正黑體" w:eastAsia="微軟正黑體" w:hAnsi="微軟正黑體" w:cs="微軟正黑體"/>
                <w:color w:val="000000"/>
                <w:sz w:val="21"/>
                <w:szCs w:val="21"/>
              </w:rPr>
              <w:t>債務效果</w:t>
            </w:r>
          </w:p>
        </w:tc>
        <w:tc>
          <w:tcPr>
            <w:tcW w:w="3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大規模自動追</w:t>
            </w:r>
            <w:proofErr w:type="gramStart"/>
            <w:r>
              <w:rPr>
                <w:rFonts w:ascii="微軟正黑體" w:eastAsia="微軟正黑體" w:hAnsi="微軟正黑體" w:cs="微軟正黑體"/>
                <w:color w:val="000000"/>
                <w:sz w:val="21"/>
                <w:szCs w:val="21"/>
              </w:rPr>
              <w:t>債跨格</w:t>
            </w:r>
            <w:proofErr w:type="gramEnd"/>
            <w:r>
              <w:rPr>
                <w:rFonts w:ascii="微軟正黑體" w:eastAsia="微軟正黑體" w:hAnsi="微軟正黑體" w:cs="微軟正黑體"/>
                <w:color w:val="000000"/>
                <w:sz w:val="21"/>
                <w:szCs w:val="21"/>
              </w:rPr>
              <w:t>；規則、執行與審查邊界消解；實際</w:t>
            </w:r>
            <w:proofErr w:type="gramStart"/>
            <w:r>
              <w:rPr>
                <w:rFonts w:ascii="微軟正黑體" w:eastAsia="微軟正黑體" w:hAnsi="微軟正黑體" w:cs="微軟正黑體"/>
                <w:color w:val="000000"/>
                <w:sz w:val="21"/>
                <w:szCs w:val="21"/>
              </w:rPr>
              <w:t>決定力移向</w:t>
            </w:r>
            <w:proofErr w:type="gramEnd"/>
            <w:r>
              <w:rPr>
                <w:rFonts w:ascii="微軟正黑體" w:eastAsia="微軟正黑體" w:hAnsi="微軟正黑體" w:cs="微軟正黑體"/>
                <w:color w:val="000000"/>
                <w:sz w:val="21"/>
                <w:szCs w:val="21"/>
              </w:rPr>
              <w:t>編碼規則</w:t>
            </w:r>
          </w:p>
        </w:tc>
      </w:tr>
    </w:tbl>
    <w:p w:rsidR="00035E70" w:rsidRDefault="000B3CAA">
      <w:pPr>
        <w:pStyle w:val="2"/>
        <w:spacing w:before="260" w:after="140"/>
      </w:pPr>
      <w:r>
        <w:rPr>
          <w:rFonts w:ascii="微軟正黑體" w:eastAsia="微軟正黑體" w:hAnsi="微軟正黑體" w:cs="微軟正黑體"/>
          <w:b/>
          <w:sz w:val="24"/>
        </w:rPr>
        <w:t>二、第一階段：</w:t>
      </w:r>
      <w:r>
        <w:rPr>
          <w:rFonts w:ascii="微軟正黑體" w:eastAsia="微軟正黑體" w:hAnsi="微軟正黑體" w:cs="微軟正黑體"/>
          <w:b/>
          <w:sz w:val="24"/>
        </w:rPr>
        <w:t>P1</w:t>
      </w:r>
      <w:r>
        <w:rPr>
          <w:rFonts w:ascii="微軟正黑體" w:eastAsia="微軟正黑體" w:hAnsi="微軟正黑體" w:cs="微軟正黑體"/>
          <w:b/>
          <w:sz w:val="24"/>
        </w:rPr>
        <w:t>暴露重評</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7</w:t>
      </w:r>
      <w:r>
        <w:rPr>
          <w:rFonts w:ascii="微軟正黑體" w:eastAsia="微軟正黑體" w:hAnsi="微軟正黑體" w:cs="微軟正黑體"/>
          <w:b/>
          <w:sz w:val="22"/>
        </w:rPr>
        <w:t xml:space="preserve">　</w:t>
      </w:r>
      <w:r>
        <w:rPr>
          <w:rFonts w:ascii="微軟正黑體" w:eastAsia="微軟正黑體" w:hAnsi="微軟正黑體" w:cs="微軟正黑體"/>
          <w:b/>
          <w:sz w:val="22"/>
        </w:rPr>
        <w:t>P1</w:t>
      </w:r>
      <w:r>
        <w:rPr>
          <w:rFonts w:ascii="微軟正黑體" w:eastAsia="微軟正黑體" w:hAnsi="微軟正黑體" w:cs="微軟正黑體"/>
          <w:b/>
          <w:sz w:val="22"/>
        </w:rPr>
        <w:t>權力移轉暴露示範評分</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100"/>
        <w:gridCol w:w="2100"/>
        <w:gridCol w:w="2100"/>
      </w:tblGrid>
      <w:tr w:rsidR="00035E70">
        <w:tblPrEx>
          <w:tblCellMar>
            <w:top w:w="0" w:type="dxa"/>
            <w:bottom w:w="0" w:type="dxa"/>
          </w:tblCellMar>
        </w:tblPrEx>
        <w:trPr>
          <w:tblHeader/>
        </w:trPr>
        <w:tc>
          <w:tcPr>
            <w:tcW w:w="26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指標</w:t>
            </w:r>
          </w:p>
        </w:tc>
        <w:tc>
          <w:tcPr>
            <w:tcW w:w="21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AFST</w:t>
            </w:r>
          </w:p>
        </w:tc>
        <w:tc>
          <w:tcPr>
            <w:tcW w:w="2100" w:type="dxa"/>
            <w:shd w:val="clear" w:color="auto" w:fill="1F4E5F"/>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b/>
                <w:bCs/>
                <w:color w:val="FFFFFF"/>
                <w:sz w:val="21"/>
                <w:szCs w:val="21"/>
              </w:rPr>
              <w:t>SyRI</w:t>
            </w:r>
            <w:proofErr w:type="spellEnd"/>
          </w:p>
        </w:tc>
        <w:tc>
          <w:tcPr>
            <w:tcW w:w="2100" w:type="dxa"/>
            <w:shd w:val="clear" w:color="auto" w:fill="1F4E5F"/>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b/>
                <w:bCs/>
                <w:color w:val="FFFFFF"/>
                <w:sz w:val="21"/>
                <w:szCs w:val="21"/>
              </w:rPr>
              <w:t>Robodebt</w:t>
            </w:r>
            <w:proofErr w:type="spellEnd"/>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P1-1 </w:t>
            </w:r>
            <w:r>
              <w:rPr>
                <w:rFonts w:ascii="微軟正黑體" w:eastAsia="微軟正黑體" w:hAnsi="微軟正黑體" w:cs="微軟正黑體"/>
                <w:color w:val="000000"/>
                <w:sz w:val="21"/>
                <w:szCs w:val="21"/>
              </w:rPr>
              <w:t>問題定義介入</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P1-2 </w:t>
            </w:r>
            <w:r>
              <w:rPr>
                <w:rFonts w:ascii="微軟正黑體" w:eastAsia="微軟正黑體" w:hAnsi="微軟正黑體" w:cs="微軟正黑體"/>
                <w:color w:val="000000"/>
                <w:sz w:val="21"/>
                <w:szCs w:val="21"/>
              </w:rPr>
              <w:t>資料／分類介入</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P1-3 </w:t>
            </w:r>
            <w:r>
              <w:rPr>
                <w:rFonts w:ascii="微軟正黑體" w:eastAsia="微軟正黑體" w:hAnsi="微軟正黑體" w:cs="微軟正黑體"/>
                <w:color w:val="000000"/>
                <w:sz w:val="21"/>
                <w:szCs w:val="21"/>
              </w:rPr>
              <w:t>預設效力</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P1-4 </w:t>
            </w:r>
            <w:r>
              <w:rPr>
                <w:rFonts w:ascii="微軟正黑體" w:eastAsia="微軟正黑體" w:hAnsi="微軟正黑體" w:cs="微軟正黑體"/>
                <w:color w:val="000000"/>
                <w:sz w:val="21"/>
                <w:szCs w:val="21"/>
              </w:rPr>
              <w:t>人類可逆性</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P1-5 </w:t>
            </w:r>
            <w:r>
              <w:rPr>
                <w:rFonts w:ascii="微軟正黑體" w:eastAsia="微軟正黑體" w:hAnsi="微軟正黑體" w:cs="微軟正黑體"/>
                <w:color w:val="000000"/>
                <w:sz w:val="21"/>
                <w:szCs w:val="21"/>
              </w:rPr>
              <w:t>後果連結</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平均</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2.4</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3.8</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判定</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中高暴露</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高暴露</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高暴露</w:t>
            </w:r>
          </w:p>
        </w:tc>
      </w:tr>
    </w:tbl>
    <w:p w:rsidR="00035E70" w:rsidRDefault="000B3CAA">
      <w:pPr>
        <w:spacing w:after="160" w:line="300" w:lineRule="auto"/>
        <w:jc w:val="both"/>
      </w:pPr>
      <w:r>
        <w:rPr>
          <w:rFonts w:ascii="微軟正黑體" w:eastAsia="微軟正黑體" w:hAnsi="微軟正黑體" w:cs="微軟正黑體"/>
          <w:sz w:val="22"/>
        </w:rPr>
        <w:t>AFST</w:t>
      </w:r>
      <w:r>
        <w:rPr>
          <w:rFonts w:ascii="微軟正黑體" w:eastAsia="微軟正黑體" w:hAnsi="微軟正黑體" w:cs="微軟正黑體"/>
          <w:sz w:val="22"/>
        </w:rPr>
        <w:t>以大量行政資料及模型分數形塑兒童福利風險，但分數原則上支援通報篩選，主管可覆核「</w:t>
      </w:r>
      <w:proofErr w:type="gramStart"/>
      <w:r>
        <w:rPr>
          <w:rFonts w:ascii="微軟正黑體" w:eastAsia="微軟正黑體" w:hAnsi="微軟正黑體" w:cs="微軟正黑體"/>
          <w:sz w:val="22"/>
        </w:rPr>
        <w:t>強制篩入</w:t>
      </w:r>
      <w:proofErr w:type="gramEnd"/>
      <w:r>
        <w:rPr>
          <w:rFonts w:ascii="微軟正黑體" w:eastAsia="微軟正黑體" w:hAnsi="微軟正黑體" w:cs="微軟正黑體"/>
          <w:sz w:val="22"/>
        </w:rPr>
        <w:t>」標記，因此</w:t>
      </w:r>
      <w:r>
        <w:rPr>
          <w:rFonts w:ascii="微軟正黑體" w:eastAsia="微軟正黑體" w:hAnsi="微軟正黑體" w:cs="微軟正黑體"/>
          <w:sz w:val="22"/>
        </w:rPr>
        <w:t>P1-4</w:t>
      </w:r>
      <w:r>
        <w:rPr>
          <w:rFonts w:ascii="微軟正黑體" w:eastAsia="微軟正黑體" w:hAnsi="微軟正黑體" w:cs="微軟正黑體"/>
          <w:sz w:val="22"/>
        </w:rPr>
        <w:t>與</w:t>
      </w:r>
      <w:r>
        <w:rPr>
          <w:rFonts w:ascii="微軟正黑體" w:eastAsia="微軟正黑體" w:hAnsi="微軟正黑體" w:cs="微軟正黑體"/>
          <w:sz w:val="22"/>
        </w:rPr>
        <w:t>P1-5</w:t>
      </w:r>
      <w:proofErr w:type="gramStart"/>
      <w:r>
        <w:rPr>
          <w:rFonts w:ascii="微軟正黑體" w:eastAsia="微軟正黑體" w:hAnsi="微軟正黑體" w:cs="微軟正黑體"/>
          <w:sz w:val="22"/>
        </w:rPr>
        <w:t>未評</w:t>
      </w:r>
      <w:proofErr w:type="gramEnd"/>
      <w:r>
        <w:rPr>
          <w:rFonts w:ascii="微軟正黑體" w:eastAsia="微軟正黑體" w:hAnsi="微軟正黑體" w:cs="微軟正黑體"/>
          <w:sz w:val="22"/>
        </w:rPr>
        <w:t>為最高。</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的資料整合、風險指示與部署對象高度依賴不可見</w:t>
      </w:r>
      <w:proofErr w:type="gramStart"/>
      <w:r>
        <w:rPr>
          <w:rFonts w:ascii="微軟正黑體" w:eastAsia="微軟正黑體" w:hAnsi="微軟正黑體" w:cs="微軟正黑體"/>
          <w:sz w:val="22"/>
        </w:rPr>
        <w:t>技術框定</w:t>
      </w:r>
      <w:proofErr w:type="gramEnd"/>
      <w:r>
        <w:rPr>
          <w:rFonts w:ascii="微軟正黑體" w:eastAsia="微軟正黑體" w:hAnsi="微軟正黑體" w:cs="微軟正黑體"/>
          <w:sz w:val="22"/>
        </w:rPr>
        <w:t>，但風險指示與最終裁</w:t>
      </w:r>
      <w:proofErr w:type="gramStart"/>
      <w:r>
        <w:rPr>
          <w:rFonts w:ascii="微軟正黑體" w:eastAsia="微軟正黑體" w:hAnsi="微軟正黑體" w:cs="微軟正黑體"/>
          <w:sz w:val="22"/>
        </w:rPr>
        <w:t>罰間仍存</w:t>
      </w:r>
      <w:proofErr w:type="gramEnd"/>
      <w:r>
        <w:rPr>
          <w:rFonts w:ascii="微軟正黑體" w:eastAsia="微軟正黑體" w:hAnsi="微軟正黑體" w:cs="微軟正黑體"/>
          <w:sz w:val="22"/>
        </w:rPr>
        <w:t>在調查環節。</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則以所得平均化直接取代個別期間事實，並與債務形成、通知及追繳緊密連結，呈現三案最高的</w:t>
      </w:r>
      <w:r>
        <w:rPr>
          <w:rFonts w:ascii="微軟正黑體" w:eastAsia="微軟正黑體" w:hAnsi="微軟正黑體" w:cs="微軟正黑體"/>
          <w:sz w:val="22"/>
        </w:rPr>
        <w:t>P1</w:t>
      </w:r>
      <w:r>
        <w:rPr>
          <w:rFonts w:ascii="微軟正黑體" w:eastAsia="微軟正黑體" w:hAnsi="微軟正黑體" w:cs="微軟正黑體"/>
          <w:sz w:val="22"/>
        </w:rPr>
        <w:t>暴露。</w:t>
      </w:r>
    </w:p>
    <w:p w:rsidR="00035E70" w:rsidRDefault="000B3CAA">
      <w:pPr>
        <w:pStyle w:val="2"/>
        <w:spacing w:before="260" w:after="140"/>
      </w:pPr>
      <w:r>
        <w:rPr>
          <w:rFonts w:ascii="微軟正黑體" w:eastAsia="微軟正黑體" w:hAnsi="微軟正黑體" w:cs="微軟正黑體"/>
          <w:b/>
          <w:sz w:val="24"/>
        </w:rPr>
        <w:t>三、第二階段：</w:t>
      </w:r>
      <w:r>
        <w:rPr>
          <w:rFonts w:ascii="微軟正黑體" w:eastAsia="微軟正黑體" w:hAnsi="微軟正黑體" w:cs="微軟正黑體"/>
          <w:b/>
          <w:sz w:val="24"/>
        </w:rPr>
        <w:t>C1</w:t>
      </w:r>
      <w:r>
        <w:rPr>
          <w:rFonts w:ascii="微軟正黑體" w:eastAsia="微軟正黑體" w:hAnsi="微軟正黑體" w:cs="微軟正黑體"/>
          <w:b/>
          <w:sz w:val="24"/>
        </w:rPr>
        <w:t>完整度重評</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8</w:t>
      </w:r>
      <w:r>
        <w:rPr>
          <w:rFonts w:ascii="微軟正黑體" w:eastAsia="微軟正黑體" w:hAnsi="微軟正黑體" w:cs="微軟正黑體"/>
          <w:b/>
          <w:sz w:val="22"/>
        </w:rPr>
        <w:t xml:space="preserve">　三案例</w:t>
      </w:r>
      <w:r>
        <w:rPr>
          <w:rFonts w:ascii="微軟正黑體" w:eastAsia="微軟正黑體" w:hAnsi="微軟正黑體" w:cs="微軟正黑體"/>
          <w:b/>
          <w:sz w:val="22"/>
        </w:rPr>
        <w:t>C1</w:t>
      </w:r>
      <w:r>
        <w:rPr>
          <w:rFonts w:ascii="微軟正黑體" w:eastAsia="微軟正黑體" w:hAnsi="微軟正黑體" w:cs="微軟正黑體"/>
          <w:b/>
          <w:sz w:val="22"/>
        </w:rPr>
        <w:t>十二指標示範重編碼</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100"/>
        <w:gridCol w:w="2100"/>
        <w:gridCol w:w="2100"/>
      </w:tblGrid>
      <w:tr w:rsidR="00035E70">
        <w:tblPrEx>
          <w:tblCellMar>
            <w:top w:w="0" w:type="dxa"/>
            <w:bottom w:w="0" w:type="dxa"/>
          </w:tblCellMar>
        </w:tblPrEx>
        <w:trPr>
          <w:tblHeader/>
        </w:trPr>
        <w:tc>
          <w:tcPr>
            <w:tcW w:w="26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lastRenderedPageBreak/>
              <w:t>指標</w:t>
            </w:r>
          </w:p>
        </w:tc>
        <w:tc>
          <w:tcPr>
            <w:tcW w:w="21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AFST</w:t>
            </w:r>
          </w:p>
        </w:tc>
        <w:tc>
          <w:tcPr>
            <w:tcW w:w="2100" w:type="dxa"/>
            <w:shd w:val="clear" w:color="auto" w:fill="1F4E5F"/>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b/>
                <w:bCs/>
                <w:color w:val="FFFFFF"/>
                <w:sz w:val="21"/>
                <w:szCs w:val="21"/>
              </w:rPr>
              <w:t>SyRI</w:t>
            </w:r>
            <w:proofErr w:type="spellEnd"/>
          </w:p>
        </w:tc>
        <w:tc>
          <w:tcPr>
            <w:tcW w:w="2100" w:type="dxa"/>
            <w:shd w:val="clear" w:color="auto" w:fill="1F4E5F"/>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b/>
                <w:bCs/>
                <w:color w:val="FFFFFF"/>
                <w:sz w:val="21"/>
                <w:szCs w:val="21"/>
              </w:rPr>
              <w:t>Robodebt</w:t>
            </w:r>
            <w:proofErr w:type="spellEnd"/>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C1-1 </w:t>
            </w:r>
            <w:r>
              <w:rPr>
                <w:rFonts w:ascii="微軟正黑體" w:eastAsia="微軟正黑體" w:hAnsi="微軟正黑體" w:cs="微軟正黑體"/>
                <w:color w:val="000000"/>
                <w:sz w:val="21"/>
                <w:szCs w:val="21"/>
              </w:rPr>
              <w:t>問題定義書面化</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C1-2 </w:t>
            </w:r>
            <w:proofErr w:type="gramStart"/>
            <w:r>
              <w:rPr>
                <w:rFonts w:ascii="微軟正黑體" w:eastAsia="微軟正黑體" w:hAnsi="微軟正黑體" w:cs="微軟正黑體"/>
                <w:color w:val="000000"/>
                <w:sz w:val="21"/>
                <w:szCs w:val="21"/>
              </w:rPr>
              <w:t>框定決定</w:t>
            </w:r>
            <w:proofErr w:type="gramEnd"/>
            <w:r>
              <w:rPr>
                <w:rFonts w:ascii="微軟正黑體" w:eastAsia="微軟正黑體" w:hAnsi="微軟正黑體" w:cs="微軟正黑體"/>
                <w:color w:val="000000"/>
                <w:sz w:val="21"/>
                <w:szCs w:val="21"/>
              </w:rPr>
              <w:t>者具名</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C1-3 </w:t>
            </w:r>
            <w:r>
              <w:rPr>
                <w:rFonts w:ascii="微軟正黑體" w:eastAsia="微軟正黑體" w:hAnsi="微軟正黑體" w:cs="微軟正黑體"/>
                <w:color w:val="000000"/>
                <w:sz w:val="21"/>
                <w:szCs w:val="21"/>
              </w:rPr>
              <w:t>問題定義變更歷程</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C1-4 </w:t>
            </w:r>
            <w:r>
              <w:rPr>
                <w:rFonts w:ascii="微軟正黑體" w:eastAsia="微軟正黑體" w:hAnsi="微軟正黑體" w:cs="微軟正黑體"/>
                <w:color w:val="000000"/>
                <w:sz w:val="21"/>
                <w:szCs w:val="21"/>
              </w:rPr>
              <w:t>資料來源可追溯</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4</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C1-5 </w:t>
            </w:r>
            <w:r>
              <w:rPr>
                <w:rFonts w:ascii="微軟正黑體" w:eastAsia="微軟正黑體" w:hAnsi="微軟正黑體" w:cs="微軟正黑體"/>
                <w:color w:val="000000"/>
                <w:sz w:val="21"/>
                <w:szCs w:val="21"/>
              </w:rPr>
              <w:t>納入／排除標準</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C1-6 </w:t>
            </w:r>
            <w:r>
              <w:rPr>
                <w:rFonts w:ascii="微軟正黑體" w:eastAsia="微軟正黑體" w:hAnsi="微軟正黑體" w:cs="微軟正黑體"/>
                <w:color w:val="000000"/>
                <w:sz w:val="21"/>
                <w:szCs w:val="21"/>
              </w:rPr>
              <w:t>群體與代理風險檢查</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C1-7 </w:t>
            </w:r>
            <w:r>
              <w:rPr>
                <w:rFonts w:ascii="微軟正黑體" w:eastAsia="微軟正黑體" w:hAnsi="微軟正黑體" w:cs="微軟正黑體"/>
                <w:color w:val="000000"/>
                <w:sz w:val="21"/>
                <w:szCs w:val="21"/>
              </w:rPr>
              <w:t>分類與標籤文件化</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C1-8 </w:t>
            </w:r>
            <w:r>
              <w:rPr>
                <w:rFonts w:ascii="微軟正黑體" w:eastAsia="微軟正黑體" w:hAnsi="微軟正黑體" w:cs="微軟正黑體"/>
                <w:color w:val="000000"/>
                <w:sz w:val="21"/>
                <w:szCs w:val="21"/>
              </w:rPr>
              <w:t>提示／</w:t>
            </w:r>
            <w:proofErr w:type="gramStart"/>
            <w:r>
              <w:rPr>
                <w:rFonts w:ascii="微軟正黑體" w:eastAsia="微軟正黑體" w:hAnsi="微軟正黑體" w:cs="微軟正黑體"/>
                <w:color w:val="000000"/>
                <w:sz w:val="21"/>
                <w:szCs w:val="21"/>
              </w:rPr>
              <w:t>閾</w:t>
            </w:r>
            <w:proofErr w:type="gramEnd"/>
            <w:r>
              <w:rPr>
                <w:rFonts w:ascii="微軟正黑體" w:eastAsia="微軟正黑體" w:hAnsi="微軟正黑體" w:cs="微軟正黑體"/>
                <w:color w:val="000000"/>
                <w:sz w:val="21"/>
                <w:szCs w:val="21"/>
              </w:rPr>
              <w:t>值決策紀錄</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C1-9 </w:t>
            </w:r>
            <w:proofErr w:type="gramStart"/>
            <w:r>
              <w:rPr>
                <w:rFonts w:ascii="微軟正黑體" w:eastAsia="微軟正黑體" w:hAnsi="微軟正黑體" w:cs="微軟正黑體"/>
                <w:color w:val="000000"/>
                <w:sz w:val="21"/>
                <w:szCs w:val="21"/>
              </w:rPr>
              <w:t>框定邏輯</w:t>
            </w:r>
            <w:proofErr w:type="gramEnd"/>
            <w:r>
              <w:rPr>
                <w:rFonts w:ascii="微軟正黑體" w:eastAsia="微軟正黑體" w:hAnsi="微軟正黑體" w:cs="微軟正黑體"/>
                <w:color w:val="000000"/>
                <w:sz w:val="21"/>
                <w:szCs w:val="21"/>
              </w:rPr>
              <w:t>可重建</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C1-10 </w:t>
            </w:r>
            <w:r>
              <w:rPr>
                <w:rFonts w:ascii="微軟正黑體" w:eastAsia="微軟正黑體" w:hAnsi="微軟正黑體" w:cs="微軟正黑體"/>
                <w:color w:val="000000"/>
                <w:sz w:val="21"/>
                <w:szCs w:val="21"/>
              </w:rPr>
              <w:t>利害關係人參與</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C1-11 </w:t>
            </w:r>
            <w:proofErr w:type="gramStart"/>
            <w:r>
              <w:rPr>
                <w:rFonts w:ascii="微軟正黑體" w:eastAsia="微軟正黑體" w:hAnsi="微軟正黑體" w:cs="微軟正黑體"/>
                <w:color w:val="000000"/>
                <w:sz w:val="21"/>
                <w:szCs w:val="21"/>
              </w:rPr>
              <w:t>框定異議</w:t>
            </w:r>
            <w:proofErr w:type="gramEnd"/>
            <w:r>
              <w:rPr>
                <w:rFonts w:ascii="微軟正黑體" w:eastAsia="微軟正黑體" w:hAnsi="微軟正黑體" w:cs="微軟正黑體"/>
                <w:color w:val="000000"/>
                <w:sz w:val="21"/>
                <w:szCs w:val="21"/>
              </w:rPr>
              <w:t>管道</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NA</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NA-U</w:t>
            </w:r>
            <w:r>
              <w:rPr>
                <w:rFonts w:ascii="微軟正黑體" w:eastAsia="微軟正黑體" w:hAnsi="微軟正黑體" w:cs="微軟正黑體"/>
                <w:color w:val="000000"/>
                <w:sz w:val="21"/>
                <w:szCs w:val="21"/>
              </w:rPr>
              <w:t>）</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 xml:space="preserve">C1-12 </w:t>
            </w:r>
            <w:proofErr w:type="gramStart"/>
            <w:r>
              <w:rPr>
                <w:rFonts w:ascii="微軟正黑體" w:eastAsia="微軟正黑體" w:hAnsi="微軟正黑體" w:cs="微軟正黑體"/>
                <w:color w:val="000000"/>
                <w:sz w:val="21"/>
                <w:szCs w:val="21"/>
              </w:rPr>
              <w:t>框定修正</w:t>
            </w:r>
            <w:proofErr w:type="gramEnd"/>
            <w:r>
              <w:rPr>
                <w:rFonts w:ascii="微軟正黑體" w:eastAsia="微軟正黑體" w:hAnsi="微軟正黑體" w:cs="微軟正黑體"/>
                <w:color w:val="000000"/>
                <w:sz w:val="21"/>
                <w:szCs w:val="21"/>
              </w:rPr>
              <w:t>實績</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有效指標／涵蓋率</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11</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91.7%</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12</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100%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12</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100%</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C1</w:t>
            </w:r>
            <w:r>
              <w:rPr>
                <w:rFonts w:ascii="微軟正黑體" w:eastAsia="微軟正黑體" w:hAnsi="微軟正黑體" w:cs="微軟正黑體"/>
                <w:color w:val="000000"/>
                <w:sz w:val="21"/>
                <w:szCs w:val="21"/>
              </w:rPr>
              <w:t>描述性平均</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3.00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1.17</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0.75</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D4</w:t>
            </w:r>
            <w:r>
              <w:rPr>
                <w:rFonts w:ascii="微軟正黑體" w:eastAsia="微軟正黑體" w:hAnsi="微軟正黑體" w:cs="微軟正黑體"/>
                <w:color w:val="000000"/>
                <w:sz w:val="21"/>
                <w:szCs w:val="21"/>
              </w:rPr>
              <w:t>平均</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2.00</w:t>
            </w:r>
            <w:r>
              <w:rPr>
                <w:rFonts w:ascii="微軟正黑體" w:eastAsia="微軟正黑體" w:hAnsi="微軟正黑體" w:cs="微軟正黑體"/>
                <w:color w:val="000000"/>
                <w:sz w:val="21"/>
                <w:szCs w:val="21"/>
              </w:rPr>
              <w:t>（</w:t>
            </w:r>
            <w:r>
              <w:rPr>
                <w:rFonts w:ascii="微軟正黑體" w:eastAsia="微軟正黑體" w:hAnsi="微軟正黑體" w:cs="微軟正黑體"/>
                <w:color w:val="000000"/>
                <w:sz w:val="21"/>
                <w:szCs w:val="21"/>
              </w:rPr>
              <w:t>C1-11</w:t>
            </w:r>
            <w:r>
              <w:rPr>
                <w:rFonts w:ascii="微軟正黑體" w:eastAsia="微軟正黑體" w:hAnsi="微軟正黑體" w:cs="微軟正黑體"/>
                <w:color w:val="000000"/>
                <w:sz w:val="21"/>
                <w:szCs w:val="21"/>
              </w:rPr>
              <w:t>為</w:t>
            </w:r>
            <w:r>
              <w:rPr>
                <w:rFonts w:ascii="微軟正黑體" w:eastAsia="微軟正黑體" w:hAnsi="微軟正黑體" w:cs="微軟正黑體"/>
                <w:color w:val="000000"/>
                <w:sz w:val="21"/>
                <w:szCs w:val="21"/>
              </w:rPr>
              <w:t>NA</w:t>
            </w:r>
            <w:r>
              <w:rPr>
                <w:rFonts w:ascii="微軟正黑體" w:eastAsia="微軟正黑體" w:hAnsi="微軟正黑體" w:cs="微軟正黑體"/>
                <w:color w:val="000000"/>
                <w:sz w:val="21"/>
                <w:szCs w:val="21"/>
              </w:rPr>
              <w:t>）</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1.00</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0.33</w:t>
            </w:r>
          </w:p>
        </w:tc>
      </w:tr>
      <w:tr w:rsidR="00035E70">
        <w:tblPrEx>
          <w:tblCellMar>
            <w:top w:w="0" w:type="dxa"/>
            <w:bottom w:w="0" w:type="dxa"/>
          </w:tblCellMar>
        </w:tblPrEx>
        <w:tc>
          <w:tcPr>
            <w:tcW w:w="26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規範門檻</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無法判定</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最低邊界</w:t>
            </w:r>
          </w:p>
        </w:tc>
        <w:tc>
          <w:tcPr>
            <w:tcW w:w="2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未通過</w:t>
            </w:r>
          </w:p>
        </w:tc>
      </w:tr>
    </w:tbl>
    <w:p w:rsidR="00035E70" w:rsidRDefault="000B3CAA">
      <w:pPr>
        <w:spacing w:after="160" w:line="300" w:lineRule="auto"/>
        <w:jc w:val="both"/>
      </w:pPr>
      <w:r>
        <w:rPr>
          <w:rFonts w:ascii="微軟正黑體" w:eastAsia="微軟正黑體" w:hAnsi="微軟正黑體" w:cs="微軟正黑體"/>
          <w:sz w:val="22"/>
        </w:rPr>
        <w:t>AFST</w:t>
      </w:r>
      <w:r>
        <w:rPr>
          <w:rFonts w:ascii="微軟正黑體" w:eastAsia="微軟正黑體" w:hAnsi="微軟正黑體" w:cs="微軟正黑體"/>
          <w:sz w:val="22"/>
        </w:rPr>
        <w:t>的公開技術文件、資料來源說明、模型更新及若干社群會議，使</w:t>
      </w:r>
      <w:r>
        <w:rPr>
          <w:rFonts w:ascii="微軟正黑體" w:eastAsia="微軟正黑體" w:hAnsi="微軟正黑體" w:cs="微軟正黑體"/>
          <w:sz w:val="22"/>
        </w:rPr>
        <w:t>D1</w:t>
      </w:r>
      <w:r>
        <w:rPr>
          <w:rFonts w:ascii="微軟正黑體" w:eastAsia="微軟正黑體" w:hAnsi="微軟正黑體" w:cs="微軟正黑體"/>
          <w:sz w:val="22"/>
        </w:rPr>
        <w:t>至</w:t>
      </w:r>
      <w:r>
        <w:rPr>
          <w:rFonts w:ascii="微軟正黑體" w:eastAsia="微軟正黑體" w:hAnsi="微軟正黑體" w:cs="微軟正黑體"/>
          <w:sz w:val="22"/>
        </w:rPr>
        <w:t>D3</w:t>
      </w:r>
      <w:r>
        <w:rPr>
          <w:rFonts w:ascii="微軟正黑體" w:eastAsia="微軟正黑體" w:hAnsi="微軟正黑體" w:cs="微軟正黑體"/>
          <w:sz w:val="22"/>
        </w:rPr>
        <w:t>表現相對較高；然而，公開資料不足以確認是否存在可對「資料、分類或風險</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值本身」提出正式異議的制度，因此</w:t>
      </w:r>
      <w:r>
        <w:rPr>
          <w:rFonts w:ascii="微軟正黑體" w:eastAsia="微軟正黑體" w:hAnsi="微軟正黑體" w:cs="微軟正黑體"/>
          <w:sz w:val="22"/>
        </w:rPr>
        <w:t>C1-11</w:t>
      </w:r>
      <w:r>
        <w:rPr>
          <w:rFonts w:ascii="微軟正黑體" w:eastAsia="微軟正黑體" w:hAnsi="微軟正黑體" w:cs="微軟正黑體"/>
          <w:sz w:val="22"/>
        </w:rPr>
        <w:t>記為</w:t>
      </w:r>
      <w:r>
        <w:rPr>
          <w:rFonts w:ascii="微軟正黑體" w:eastAsia="微軟正黑體" w:hAnsi="微軟正黑體" w:cs="微軟正黑體"/>
          <w:sz w:val="22"/>
        </w:rPr>
        <w:t>NA-U</w:t>
      </w:r>
      <w:r>
        <w:rPr>
          <w:rFonts w:ascii="微軟正黑體" w:eastAsia="微軟正黑體" w:hAnsi="微軟正黑體" w:cs="微軟正黑體"/>
          <w:sz w:val="22"/>
        </w:rPr>
        <w:t>（主分析仍為</w:t>
      </w:r>
      <w:r>
        <w:rPr>
          <w:rFonts w:ascii="微軟正黑體" w:eastAsia="微軟正黑體" w:hAnsi="微軟正黑體" w:cs="微軟正黑體"/>
          <w:sz w:val="22"/>
        </w:rPr>
        <w:t>NA</w:t>
      </w:r>
      <w:r>
        <w:rPr>
          <w:rFonts w:ascii="微軟正黑體" w:eastAsia="微軟正黑體" w:hAnsi="微軟正黑體" w:cs="微軟正黑體"/>
          <w:sz w:val="22"/>
        </w:rPr>
        <w:t>），而不是以一般個案申訴或主管覆核替代，也不是在沒有積極證據時逕記</w:t>
      </w:r>
      <w:r>
        <w:rPr>
          <w:rFonts w:ascii="微軟正黑體" w:eastAsia="微軟正黑體" w:hAnsi="微軟正黑體" w:cs="微軟正黑體"/>
          <w:sz w:val="22"/>
        </w:rPr>
        <w:t>0</w:t>
      </w:r>
      <w:r>
        <w:rPr>
          <w:rFonts w:ascii="微軟正黑體" w:eastAsia="微軟正黑體" w:hAnsi="微軟正黑體" w:cs="微軟正黑體"/>
          <w:sz w:val="22"/>
        </w:rPr>
        <w:t>。其結論應是「技術可追溯性較高，但民主異議門檻無法由現</w:t>
      </w:r>
      <w:r>
        <w:rPr>
          <w:rFonts w:ascii="微軟正黑體" w:eastAsia="微軟正黑體" w:hAnsi="微軟正黑體" w:cs="微軟正黑體"/>
          <w:sz w:val="22"/>
        </w:rPr>
        <w:lastRenderedPageBreak/>
        <w:t>有文件判定」，不能直接宣稱已通過民主正當性門檻。</w:t>
      </w:r>
    </w:p>
    <w:p w:rsidR="00035E70" w:rsidRDefault="000B3CAA">
      <w:pPr>
        <w:spacing w:after="160" w:line="300" w:lineRule="auto"/>
        <w:jc w:val="both"/>
      </w:pP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具有法定目的與制度文件，但風險模型、指標、</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值及資料處理邏輯的透明度不足；司法訴訟提供外部可爭議性，並最終導致制度受限</w:t>
      </w:r>
      <w:r>
        <w:rPr>
          <w:rFonts w:ascii="微軟正黑體" w:eastAsia="微軟正黑體" w:hAnsi="微軟正黑體" w:cs="微軟正黑體"/>
          <w:sz w:val="22"/>
        </w:rPr>
        <w:t>，故</w:t>
      </w:r>
      <w:r>
        <w:rPr>
          <w:rFonts w:ascii="微軟正黑體" w:eastAsia="微軟正黑體" w:hAnsi="微軟正黑體" w:cs="微軟正黑體"/>
          <w:sz w:val="22"/>
        </w:rPr>
        <w:t>C1-11</w:t>
      </w:r>
      <w:r>
        <w:rPr>
          <w:rFonts w:ascii="微軟正黑體" w:eastAsia="微軟正黑體" w:hAnsi="微軟正黑體" w:cs="微軟正黑體"/>
          <w:sz w:val="22"/>
        </w:rPr>
        <w:t>與</w:t>
      </w:r>
      <w:r>
        <w:rPr>
          <w:rFonts w:ascii="微軟正黑體" w:eastAsia="微軟正黑體" w:hAnsi="微軟正黑體" w:cs="微軟正黑體"/>
          <w:sz w:val="22"/>
        </w:rPr>
        <w:t>C1-12</w:t>
      </w:r>
      <w:proofErr w:type="gramStart"/>
      <w:r>
        <w:rPr>
          <w:rFonts w:ascii="微軟正黑體" w:eastAsia="微軟正黑體" w:hAnsi="微軟正黑體" w:cs="微軟正黑體"/>
          <w:sz w:val="22"/>
        </w:rPr>
        <w:t>不評為</w:t>
      </w:r>
      <w:proofErr w:type="gramEnd"/>
      <w:r>
        <w:rPr>
          <w:rFonts w:ascii="微軟正黑體" w:eastAsia="微軟正黑體" w:hAnsi="微軟正黑體" w:cs="微軟正黑體"/>
          <w:sz w:val="22"/>
        </w:rPr>
        <w:t>零。然而，這種事後司法矯正不能取代系統部署前或運作</w:t>
      </w:r>
      <w:proofErr w:type="gramStart"/>
      <w:r>
        <w:rPr>
          <w:rFonts w:ascii="微軟正黑體" w:eastAsia="微軟正黑體" w:hAnsi="微軟正黑體" w:cs="微軟正黑體"/>
          <w:sz w:val="22"/>
        </w:rPr>
        <w:t>中的框定參與</w:t>
      </w:r>
      <w:proofErr w:type="gramEnd"/>
      <w:r>
        <w:rPr>
          <w:rFonts w:ascii="微軟正黑體" w:eastAsia="微軟正黑體" w:hAnsi="微軟正黑體" w:cs="微軟正黑體"/>
          <w:sz w:val="22"/>
        </w:rPr>
        <w:t>，其整體仍為「高</w:t>
      </w:r>
      <w:r>
        <w:rPr>
          <w:rFonts w:ascii="微軟正黑體" w:eastAsia="微軟正黑體" w:hAnsi="微軟正黑體" w:cs="微軟正黑體"/>
          <w:sz w:val="22"/>
        </w:rPr>
        <w:t>P1</w:t>
      </w:r>
      <w:r>
        <w:rPr>
          <w:rFonts w:ascii="微軟正黑體" w:eastAsia="微軟正黑體" w:hAnsi="微軟正黑體" w:cs="微軟正黑體"/>
          <w:sz w:val="22"/>
        </w:rPr>
        <w:t>暴露</w:t>
      </w:r>
      <w:r>
        <w:rPr>
          <w:rFonts w:ascii="微軟正黑體" w:eastAsia="微軟正黑體" w:hAnsi="微軟正黑體" w:cs="微軟正黑體"/>
          <w:sz w:val="22"/>
        </w:rPr>
        <w:t>—</w:t>
      </w:r>
      <w:r>
        <w:rPr>
          <w:rFonts w:ascii="微軟正黑體" w:eastAsia="微軟正黑體" w:hAnsi="微軟正黑體" w:cs="微軟正黑體"/>
          <w:sz w:val="22"/>
        </w:rPr>
        <w:t>低</w:t>
      </w:r>
      <w:r>
        <w:rPr>
          <w:rFonts w:ascii="微軟正黑體" w:eastAsia="微軟正黑體" w:hAnsi="微軟正黑體" w:cs="微軟正黑體"/>
          <w:sz w:val="22"/>
        </w:rPr>
        <w:t>C1</w:t>
      </w:r>
      <w:r>
        <w:rPr>
          <w:rFonts w:ascii="微軟正黑體" w:eastAsia="微軟正黑體" w:hAnsi="微軟正黑體" w:cs="微軟正黑體"/>
          <w:sz w:val="22"/>
        </w:rPr>
        <w:t>完整度」。</w:t>
      </w:r>
    </w:p>
    <w:p w:rsidR="00035E70" w:rsidRDefault="000B3CAA">
      <w:pPr>
        <w:spacing w:after="160" w:line="300" w:lineRule="auto"/>
        <w:jc w:val="both"/>
      </w:pP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的</w:t>
      </w:r>
      <w:proofErr w:type="gramStart"/>
      <w:r>
        <w:rPr>
          <w:rFonts w:ascii="微軟正黑體" w:eastAsia="微軟正黑體" w:hAnsi="微軟正黑體" w:cs="微軟正黑體"/>
          <w:sz w:val="22"/>
        </w:rPr>
        <w:t>核心框定是</w:t>
      </w:r>
      <w:proofErr w:type="gramEnd"/>
      <w:r>
        <w:rPr>
          <w:rFonts w:ascii="微軟正黑體" w:eastAsia="微軟正黑體" w:hAnsi="微軟正黑體" w:cs="微軟正黑體"/>
          <w:sz w:val="22"/>
        </w:rPr>
        <w:t>以年度所得平均值推定個別期間所得。資料來源雖可辨識，但納入／排除、個案差異、法律基礎</w:t>
      </w:r>
      <w:proofErr w:type="gramStart"/>
      <w:r>
        <w:rPr>
          <w:rFonts w:ascii="微軟正黑體" w:eastAsia="微軟正黑體" w:hAnsi="微軟正黑體" w:cs="微軟正黑體"/>
          <w:sz w:val="22"/>
        </w:rPr>
        <w:t>與框定</w:t>
      </w:r>
      <w:proofErr w:type="gramEnd"/>
      <w:r>
        <w:rPr>
          <w:rFonts w:ascii="微軟正黑體" w:eastAsia="微軟正黑體" w:hAnsi="微軟正黑體" w:cs="微軟正黑體"/>
          <w:sz w:val="22"/>
        </w:rPr>
        <w:t>邏輯未受到充分檢查；一般申訴存在，卻將舉證負擔轉向受影響者，不能視為完整</w:t>
      </w:r>
      <w:proofErr w:type="gramStart"/>
      <w:r>
        <w:rPr>
          <w:rFonts w:ascii="微軟正黑體" w:eastAsia="微軟正黑體" w:hAnsi="微軟正黑體" w:cs="微軟正黑體"/>
          <w:sz w:val="22"/>
        </w:rPr>
        <w:t>的框定異議</w:t>
      </w:r>
      <w:proofErr w:type="gramEnd"/>
      <w:r>
        <w:rPr>
          <w:rFonts w:ascii="微軟正黑體" w:eastAsia="微軟正黑體" w:hAnsi="微軟正黑體" w:cs="微軟正黑體"/>
          <w:sz w:val="22"/>
        </w:rPr>
        <w:t>管道。</w:t>
      </w:r>
      <w:r>
        <w:rPr>
          <w:rFonts w:ascii="微軟正黑體" w:eastAsia="微軟正黑體" w:hAnsi="微軟正黑體" w:cs="微軟正黑體"/>
          <w:sz w:val="22"/>
        </w:rPr>
        <w:t>D4</w:t>
      </w:r>
      <w:r>
        <w:rPr>
          <w:rFonts w:ascii="微軟正黑體" w:eastAsia="微軟正黑體" w:hAnsi="微軟正黑體" w:cs="微軟正黑體"/>
          <w:sz w:val="22"/>
        </w:rPr>
        <w:t>平均低於</w:t>
      </w:r>
      <w:r>
        <w:rPr>
          <w:rFonts w:ascii="微軟正黑體" w:eastAsia="微軟正黑體" w:hAnsi="微軟正黑體" w:cs="微軟正黑體"/>
          <w:sz w:val="22"/>
        </w:rPr>
        <w:t>1</w:t>
      </w:r>
      <w:r>
        <w:rPr>
          <w:rFonts w:ascii="微軟正黑體" w:eastAsia="微軟正黑體" w:hAnsi="微軟正黑體" w:cs="微軟正黑體"/>
          <w:sz w:val="22"/>
        </w:rPr>
        <w:t>，規範門檻未通過，且</w:t>
      </w:r>
      <w:r>
        <w:rPr>
          <w:rFonts w:ascii="微軟正黑體" w:eastAsia="微軟正黑體" w:hAnsi="微軟正黑體" w:cs="微軟正黑體"/>
          <w:sz w:val="22"/>
        </w:rPr>
        <w:t>P1</w:t>
      </w:r>
      <w:r>
        <w:rPr>
          <w:rFonts w:ascii="微軟正黑體" w:eastAsia="微軟正黑體" w:hAnsi="微軟正黑體" w:cs="微軟正黑體"/>
          <w:sz w:val="22"/>
        </w:rPr>
        <w:t>暴露達</w:t>
      </w:r>
      <w:r>
        <w:rPr>
          <w:rFonts w:ascii="微軟正黑體" w:eastAsia="微軟正黑體" w:hAnsi="微軟正黑體" w:cs="微軟正黑體"/>
          <w:sz w:val="22"/>
        </w:rPr>
        <w:t>3.8</w:t>
      </w:r>
      <w:r>
        <w:rPr>
          <w:rFonts w:ascii="微軟正黑體" w:eastAsia="微軟正黑體" w:hAnsi="微軟正黑體" w:cs="微軟正黑體"/>
          <w:sz w:val="22"/>
        </w:rPr>
        <w:t>，屬優先治理情境。</w:t>
      </w:r>
    </w:p>
    <w:p w:rsidR="00035E70" w:rsidRDefault="000B3CAA">
      <w:pPr>
        <w:pStyle w:val="2"/>
        <w:spacing w:before="260" w:after="140"/>
      </w:pPr>
      <w:r>
        <w:rPr>
          <w:rFonts w:ascii="微軟正黑體" w:eastAsia="微軟正黑體" w:hAnsi="微軟正黑體" w:cs="微軟正黑體"/>
          <w:b/>
          <w:sz w:val="24"/>
        </w:rPr>
        <w:t>四、雙軸比較與後續治理鏈</w:t>
      </w:r>
    </w:p>
    <w:p w:rsidR="00035E70" w:rsidRDefault="000B3CAA">
      <w:pPr>
        <w:spacing w:after="120" w:line="288" w:lineRule="auto"/>
      </w:pPr>
      <w:r>
        <w:rPr>
          <w:rFonts w:ascii="微軟正黑體" w:eastAsia="微軟正黑體" w:hAnsi="微軟正黑體" w:cs="微軟正黑體"/>
          <w:b/>
          <w:sz w:val="22"/>
        </w:rPr>
        <w:t>表</w:t>
      </w:r>
      <w:r>
        <w:rPr>
          <w:rFonts w:ascii="微軟正黑體" w:eastAsia="微軟正黑體" w:hAnsi="微軟正黑體" w:cs="微軟正黑體"/>
          <w:b/>
          <w:sz w:val="22"/>
        </w:rPr>
        <w:t>9</w:t>
      </w:r>
      <w:r>
        <w:rPr>
          <w:rFonts w:ascii="微軟正黑體" w:eastAsia="微軟正黑體" w:hAnsi="微軟正黑體" w:cs="微軟正黑體"/>
          <w:b/>
          <w:sz w:val="22"/>
        </w:rPr>
        <w:t xml:space="preserve">　權力移轉</w:t>
      </w:r>
      <w:proofErr w:type="gramStart"/>
      <w:r>
        <w:rPr>
          <w:rFonts w:ascii="微軟正黑體" w:eastAsia="微軟正黑體" w:hAnsi="微軟正黑體" w:cs="微軟正黑體"/>
          <w:b/>
          <w:sz w:val="22"/>
        </w:rPr>
        <w:t>—</w:t>
      </w:r>
      <w:proofErr w:type="gramEnd"/>
      <w:r>
        <w:rPr>
          <w:rFonts w:ascii="微軟正黑體" w:eastAsia="微軟正黑體" w:hAnsi="微軟正黑體" w:cs="微軟正黑體"/>
          <w:b/>
          <w:sz w:val="22"/>
        </w:rPr>
        <w:t>民主</w:t>
      </w:r>
      <w:proofErr w:type="gramStart"/>
      <w:r>
        <w:rPr>
          <w:rFonts w:ascii="微軟正黑體" w:eastAsia="微軟正黑體" w:hAnsi="微軟正黑體" w:cs="微軟正黑體"/>
          <w:b/>
          <w:sz w:val="22"/>
        </w:rPr>
        <w:t>完整度雙</w:t>
      </w:r>
      <w:proofErr w:type="gramEnd"/>
      <w:r>
        <w:rPr>
          <w:rFonts w:ascii="微軟正黑體" w:eastAsia="微軟正黑體" w:hAnsi="微軟正黑體" w:cs="微軟正黑體"/>
          <w:b/>
          <w:sz w:val="22"/>
        </w:rPr>
        <w:t>軸診斷</w:t>
      </w:r>
    </w:p>
    <w:tbl>
      <w:tblPr>
        <w:tblW w:w="89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94"/>
        <w:gridCol w:w="991"/>
        <w:gridCol w:w="993"/>
        <w:gridCol w:w="3254"/>
        <w:gridCol w:w="2468"/>
      </w:tblGrid>
      <w:tr w:rsidR="00035E70">
        <w:tblPrEx>
          <w:tblCellMar>
            <w:top w:w="0" w:type="dxa"/>
            <w:bottom w:w="0" w:type="dxa"/>
          </w:tblCellMar>
        </w:tblPrEx>
        <w:trPr>
          <w:tblHeader/>
        </w:trPr>
        <w:tc>
          <w:tcPr>
            <w:tcW w:w="11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案例</w:t>
            </w:r>
          </w:p>
        </w:tc>
        <w:tc>
          <w:tcPr>
            <w:tcW w:w="10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P1</w:t>
            </w:r>
            <w:r>
              <w:rPr>
                <w:rFonts w:ascii="微軟正黑體" w:eastAsia="微軟正黑體" w:hAnsi="微軟正黑體" w:cs="微軟正黑體"/>
                <w:b/>
                <w:bCs/>
                <w:color w:val="FFFFFF"/>
                <w:sz w:val="21"/>
                <w:szCs w:val="21"/>
              </w:rPr>
              <w:t>暴露</w:t>
            </w:r>
          </w:p>
        </w:tc>
        <w:tc>
          <w:tcPr>
            <w:tcW w:w="10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C1</w:t>
            </w:r>
            <w:r>
              <w:rPr>
                <w:rFonts w:ascii="微軟正黑體" w:eastAsia="微軟正黑體" w:hAnsi="微軟正黑體" w:cs="微軟正黑體"/>
                <w:b/>
                <w:bCs/>
                <w:color w:val="FFFFFF"/>
                <w:sz w:val="21"/>
                <w:szCs w:val="21"/>
              </w:rPr>
              <w:t>完整度</w:t>
            </w:r>
          </w:p>
        </w:tc>
        <w:tc>
          <w:tcPr>
            <w:tcW w:w="33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雙軸診斷</w:t>
            </w:r>
          </w:p>
        </w:tc>
        <w:tc>
          <w:tcPr>
            <w:tcW w:w="2500" w:type="dxa"/>
            <w:shd w:val="clear" w:color="auto" w:fill="1F4E5F"/>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b/>
                <w:bCs/>
                <w:color w:val="FFFFFF"/>
                <w:sz w:val="21"/>
                <w:szCs w:val="21"/>
              </w:rPr>
              <w:t>後續鏈條主要壓力</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AFST</w:t>
            </w:r>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2.4</w:t>
            </w:r>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3.00</w:t>
            </w:r>
          </w:p>
        </w:tc>
        <w:tc>
          <w:tcPr>
            <w:tcW w:w="33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中高暴露／較高文件完整度，但異議門檻無法判定</w:t>
            </w:r>
          </w:p>
        </w:tc>
        <w:tc>
          <w:tcPr>
            <w:tcW w:w="2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權威鏈與裁量邊界仍須檢查人工覆核是否實質</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color w:val="000000"/>
                <w:sz w:val="21"/>
                <w:szCs w:val="21"/>
              </w:rPr>
              <w:t>SyRI</w:t>
            </w:r>
            <w:proofErr w:type="spellEnd"/>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3.0</w:t>
            </w:r>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1.17</w:t>
            </w:r>
          </w:p>
        </w:tc>
        <w:tc>
          <w:tcPr>
            <w:tcW w:w="33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高暴露／低完整度</w:t>
            </w:r>
          </w:p>
        </w:tc>
        <w:tc>
          <w:tcPr>
            <w:tcW w:w="25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隱私、權威及</w:t>
            </w:r>
            <w:proofErr w:type="gramStart"/>
            <w:r>
              <w:rPr>
                <w:rFonts w:ascii="微軟正黑體" w:eastAsia="微軟正黑體" w:hAnsi="微軟正黑體" w:cs="微軟正黑體"/>
                <w:color w:val="000000"/>
                <w:sz w:val="21"/>
                <w:szCs w:val="21"/>
              </w:rPr>
              <w:t>理由鏈受壓</w:t>
            </w:r>
            <w:proofErr w:type="gramEnd"/>
            <w:r>
              <w:rPr>
                <w:rFonts w:ascii="微軟正黑體" w:eastAsia="微軟正黑體" w:hAnsi="微軟正黑體" w:cs="微軟正黑體"/>
                <w:color w:val="000000"/>
                <w:sz w:val="21"/>
                <w:szCs w:val="21"/>
              </w:rPr>
              <w:t>，司法外部矯正</w:t>
            </w:r>
          </w:p>
        </w:tc>
      </w:tr>
      <w:tr w:rsidR="00035E70">
        <w:tblPrEx>
          <w:tblCellMar>
            <w:top w:w="0" w:type="dxa"/>
            <w:bottom w:w="0" w:type="dxa"/>
          </w:tblCellMar>
        </w:tblPrEx>
        <w:tc>
          <w:tcPr>
            <w:tcW w:w="1100" w:type="dxa"/>
            <w:tcMar>
              <w:top w:w="80" w:type="dxa"/>
              <w:left w:w="100" w:type="dxa"/>
              <w:bottom w:w="80" w:type="dxa"/>
              <w:right w:w="100" w:type="dxa"/>
            </w:tcMar>
          </w:tcPr>
          <w:p w:rsidR="00035E70" w:rsidRDefault="000B3CAA">
            <w:pPr>
              <w:spacing w:after="60" w:line="276" w:lineRule="auto"/>
            </w:pPr>
            <w:proofErr w:type="spellStart"/>
            <w:r>
              <w:rPr>
                <w:rFonts w:ascii="微軟正黑體" w:eastAsia="微軟正黑體" w:hAnsi="微軟正黑體" w:cs="微軟正黑體"/>
                <w:color w:val="000000"/>
                <w:sz w:val="21"/>
                <w:szCs w:val="21"/>
              </w:rPr>
              <w:t>Robodebt</w:t>
            </w:r>
            <w:proofErr w:type="spellEnd"/>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3.8</w:t>
            </w:r>
          </w:p>
        </w:tc>
        <w:tc>
          <w:tcPr>
            <w:tcW w:w="10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0.75</w:t>
            </w:r>
          </w:p>
        </w:tc>
        <w:tc>
          <w:tcPr>
            <w:tcW w:w="3300" w:type="dxa"/>
            <w:tcMar>
              <w:top w:w="80" w:type="dxa"/>
              <w:left w:w="100" w:type="dxa"/>
              <w:bottom w:w="80" w:type="dxa"/>
              <w:right w:w="100" w:type="dxa"/>
            </w:tcMar>
          </w:tcPr>
          <w:p w:rsidR="00035E70" w:rsidRDefault="000B3CAA">
            <w:pPr>
              <w:spacing w:after="60" w:line="276" w:lineRule="auto"/>
            </w:pPr>
            <w:r>
              <w:rPr>
                <w:rFonts w:ascii="微軟正黑體" w:eastAsia="微軟正黑體" w:hAnsi="微軟正黑體" w:cs="微軟正黑體"/>
                <w:color w:val="000000"/>
                <w:sz w:val="21"/>
                <w:szCs w:val="21"/>
              </w:rPr>
              <w:t>高暴露／低</w:t>
            </w:r>
            <w:proofErr w:type="gramStart"/>
            <w:r>
              <w:rPr>
                <w:rFonts w:ascii="微軟正黑體" w:eastAsia="微軟正黑體" w:hAnsi="微軟正黑體" w:cs="微軟正黑體"/>
                <w:color w:val="000000"/>
                <w:sz w:val="21"/>
                <w:szCs w:val="21"/>
              </w:rPr>
              <w:t>完整度且民主</w:t>
            </w:r>
            <w:proofErr w:type="gramEnd"/>
            <w:r>
              <w:rPr>
                <w:rFonts w:ascii="微軟正黑體" w:eastAsia="微軟正黑體" w:hAnsi="微軟正黑體" w:cs="微軟正黑體"/>
                <w:color w:val="000000"/>
                <w:sz w:val="21"/>
                <w:szCs w:val="21"/>
              </w:rPr>
              <w:t>門檻未通過</w:t>
            </w:r>
          </w:p>
        </w:tc>
        <w:tc>
          <w:tcPr>
            <w:tcW w:w="2500" w:type="dxa"/>
            <w:tcMar>
              <w:top w:w="80" w:type="dxa"/>
              <w:left w:w="100" w:type="dxa"/>
              <w:bottom w:w="80" w:type="dxa"/>
              <w:right w:w="100" w:type="dxa"/>
            </w:tcMar>
          </w:tcPr>
          <w:p w:rsidR="00035E70" w:rsidRDefault="000B3CAA">
            <w:pPr>
              <w:spacing w:after="60" w:line="276" w:lineRule="auto"/>
            </w:pPr>
            <w:proofErr w:type="gramStart"/>
            <w:r>
              <w:rPr>
                <w:rFonts w:ascii="微軟正黑體" w:eastAsia="微軟正黑體" w:hAnsi="微軟正黑體" w:cs="微軟正黑體"/>
                <w:color w:val="000000"/>
                <w:sz w:val="21"/>
                <w:szCs w:val="21"/>
              </w:rPr>
              <w:t>理由鏈先斷裂</w:t>
            </w:r>
            <w:proofErr w:type="gramEnd"/>
            <w:r>
              <w:rPr>
                <w:rFonts w:ascii="微軟正黑體" w:eastAsia="微軟正黑體" w:hAnsi="微軟正黑體" w:cs="微軟正黑體"/>
                <w:color w:val="000000"/>
                <w:sz w:val="21"/>
                <w:szCs w:val="21"/>
              </w:rPr>
              <w:t>，責任鏈與救濟隨後失靈</w:t>
            </w:r>
          </w:p>
        </w:tc>
      </w:tr>
    </w:tbl>
    <w:p w:rsidR="00035E70" w:rsidRDefault="000B3CAA">
      <w:pPr>
        <w:spacing w:after="160" w:line="300" w:lineRule="auto"/>
        <w:jc w:val="both"/>
      </w:pPr>
      <w:r>
        <w:rPr>
          <w:rFonts w:ascii="微軟正黑體" w:eastAsia="微軟正黑體" w:hAnsi="微軟正黑體" w:cs="微軟正黑體"/>
          <w:sz w:val="22"/>
        </w:rPr>
        <w:t>比較結果否定以單一</w:t>
      </w:r>
      <w:r>
        <w:rPr>
          <w:rFonts w:ascii="微軟正黑體" w:eastAsia="微軟正黑體" w:hAnsi="微軟正黑體" w:cs="微軟正黑體"/>
          <w:sz w:val="22"/>
        </w:rPr>
        <w:t>C1</w:t>
      </w:r>
      <w:r>
        <w:rPr>
          <w:rFonts w:ascii="微軟正黑體" w:eastAsia="微軟正黑體" w:hAnsi="微軟正黑體" w:cs="微軟正黑體"/>
          <w:sz w:val="22"/>
        </w:rPr>
        <w:t>平均分代表全部治理風險。</w:t>
      </w:r>
      <w:r>
        <w:rPr>
          <w:rFonts w:ascii="微軟正黑體" w:eastAsia="微軟正黑體" w:hAnsi="微軟正黑體" w:cs="微軟正黑體"/>
          <w:sz w:val="22"/>
        </w:rPr>
        <w:t>AFST</w:t>
      </w:r>
      <w:r>
        <w:rPr>
          <w:rFonts w:ascii="微軟正黑體" w:eastAsia="微軟正黑體" w:hAnsi="微軟正黑體" w:cs="微軟正黑體"/>
          <w:sz w:val="22"/>
        </w:rPr>
        <w:t>顯示高技術透明</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必然等於具有正式民主異議管道；</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顯示法定依據</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必然使風險建構可理解；</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則顯示</w:t>
      </w:r>
      <w:proofErr w:type="gramStart"/>
      <w:r>
        <w:rPr>
          <w:rFonts w:ascii="微軟正黑體" w:eastAsia="微軟正黑體" w:hAnsi="微軟正黑體" w:cs="微軟正黑體"/>
          <w:sz w:val="22"/>
        </w:rPr>
        <w:t>統計框定一旦</w:t>
      </w:r>
      <w:proofErr w:type="gramEnd"/>
      <w:r>
        <w:rPr>
          <w:rFonts w:ascii="微軟正黑體" w:eastAsia="微軟正黑體" w:hAnsi="微軟正黑體" w:cs="微軟正黑體"/>
          <w:sz w:val="22"/>
        </w:rPr>
        <w:t>直接取得公權力效果，前端事實認定錯誤可沿理由與責任鏈放大。</w:t>
      </w:r>
      <w:r>
        <w:rPr>
          <w:rFonts w:ascii="微軟正黑體" w:eastAsia="微軟正黑體" w:hAnsi="微軟正黑體" w:cs="微軟正黑體"/>
          <w:sz w:val="22"/>
        </w:rPr>
        <w:t>P1</w:t>
      </w:r>
      <w:r>
        <w:rPr>
          <w:rFonts w:ascii="微軟正黑體" w:eastAsia="微軟正黑體" w:hAnsi="微軟正黑體" w:cs="微軟正黑體"/>
          <w:sz w:val="22"/>
        </w:rPr>
        <w:t>與</w:t>
      </w:r>
      <w:r>
        <w:rPr>
          <w:rFonts w:ascii="微軟正黑體" w:eastAsia="微軟正黑體" w:hAnsi="微軟正黑體" w:cs="微軟正黑體"/>
          <w:sz w:val="22"/>
        </w:rPr>
        <w:t>C1</w:t>
      </w:r>
      <w:r>
        <w:rPr>
          <w:rFonts w:ascii="微軟正黑體" w:eastAsia="微軟正黑體" w:hAnsi="微軟正黑體" w:cs="微軟正黑體"/>
          <w:sz w:val="22"/>
        </w:rPr>
        <w:t>必須並列呈現，才能區分「權力尚未高度移轉」「高度移轉但控制較完整」與「高度移轉且控制不足」。</w:t>
      </w:r>
    </w:p>
    <w:p w:rsidR="00035E70" w:rsidRDefault="000B3CAA">
      <w:pPr>
        <w:pStyle w:val="2"/>
        <w:spacing w:before="260" w:after="140"/>
      </w:pPr>
      <w:r>
        <w:rPr>
          <w:rFonts w:ascii="微軟正黑體" w:eastAsia="微軟正黑體" w:hAnsi="微軟正黑體" w:cs="微軟正黑體"/>
          <w:b/>
          <w:sz w:val="24"/>
        </w:rPr>
        <w:t>五、事前預警與輔導：尚未爆發摩擦的系統</w:t>
      </w:r>
    </w:p>
    <w:p w:rsidR="00035E70" w:rsidRDefault="000B3CAA">
      <w:pPr>
        <w:spacing w:after="160" w:line="300" w:lineRule="auto"/>
        <w:jc w:val="both"/>
      </w:pPr>
      <w:r>
        <w:rPr>
          <w:rFonts w:ascii="微軟正黑體" w:eastAsia="微軟正黑體" w:hAnsi="微軟正黑體" w:cs="微軟正黑體"/>
          <w:sz w:val="22"/>
        </w:rPr>
        <w:t>上述</w:t>
      </w:r>
      <w:proofErr w:type="gramStart"/>
      <w:r>
        <w:rPr>
          <w:rFonts w:ascii="微軟正黑體" w:eastAsia="微軟正黑體" w:hAnsi="微軟正黑體" w:cs="微軟正黑體"/>
          <w:sz w:val="22"/>
        </w:rPr>
        <w:t>三</w:t>
      </w:r>
      <w:proofErr w:type="gramEnd"/>
      <w:r>
        <w:rPr>
          <w:rFonts w:ascii="微軟正黑體" w:eastAsia="微軟正黑體" w:hAnsi="微軟正黑體" w:cs="微軟正黑體"/>
          <w:sz w:val="22"/>
        </w:rPr>
        <w:t>案例的公開資料多來自部署後的監督、訴訟或調查，但雙階段測量並不以摩擦已經爆發為適用前提。對剛部署或尚未發生外部爭議的一般稅務核算、補助資格初步篩選等系統，可在設計或採購階段依預定</w:t>
      </w:r>
      <w:proofErr w:type="gramStart"/>
      <w:r>
        <w:rPr>
          <w:rFonts w:ascii="微軟正黑體" w:eastAsia="微軟正黑體" w:hAnsi="微軟正黑體" w:cs="微軟正黑體"/>
          <w:sz w:val="22"/>
        </w:rPr>
        <w:t>功能先評</w:t>
      </w:r>
      <w:proofErr w:type="gramEnd"/>
      <w:r>
        <w:rPr>
          <w:rFonts w:ascii="微軟正黑體" w:eastAsia="微軟正黑體" w:hAnsi="微軟正黑體" w:cs="微軟正黑體"/>
          <w:sz w:val="22"/>
        </w:rPr>
        <w:t>P1</w:t>
      </w:r>
      <w:r>
        <w:rPr>
          <w:rFonts w:ascii="微軟正黑體" w:eastAsia="微軟正黑體" w:hAnsi="微軟正黑體" w:cs="微軟正黑體"/>
          <w:sz w:val="22"/>
        </w:rPr>
        <w:t>：重點不在系統是否自稱「僅供參考」，而在其輸出是否</w:t>
      </w:r>
      <w:r>
        <w:rPr>
          <w:rFonts w:ascii="微軟正黑體" w:eastAsia="微軟正黑體" w:hAnsi="微軟正黑體" w:cs="微軟正黑體"/>
          <w:sz w:val="22"/>
        </w:rPr>
        <w:lastRenderedPageBreak/>
        <w:t>成為難以偏離的預設起點，以及與權利義務效果的距離。達中高或高暴露者即提前進入</w:t>
      </w:r>
      <w:r>
        <w:rPr>
          <w:rFonts w:ascii="微軟正黑體" w:eastAsia="微軟正黑體" w:hAnsi="微軟正黑體" w:cs="微軟正黑體"/>
          <w:sz w:val="22"/>
        </w:rPr>
        <w:t>C1</w:t>
      </w:r>
      <w:r>
        <w:rPr>
          <w:rFonts w:ascii="微軟正黑體" w:eastAsia="微軟正黑體" w:hAnsi="微軟正黑體" w:cs="微軟正黑體"/>
          <w:sz w:val="22"/>
        </w:rPr>
        <w:t>檢視，不必等待申訴或損害發生。</w:t>
      </w:r>
    </w:p>
    <w:p w:rsidR="00035E70" w:rsidRDefault="000B3CAA">
      <w:pPr>
        <w:spacing w:after="160" w:line="300" w:lineRule="auto"/>
        <w:jc w:val="both"/>
      </w:pPr>
      <w:r>
        <w:rPr>
          <w:rFonts w:ascii="微軟正黑體" w:eastAsia="微軟正黑體" w:hAnsi="微軟正黑體" w:cs="微軟正黑體"/>
          <w:sz w:val="22"/>
        </w:rPr>
        <w:t>上線前，</w:t>
      </w:r>
      <w:r>
        <w:rPr>
          <w:rFonts w:ascii="微軟正黑體" w:eastAsia="微軟正黑體" w:hAnsi="微軟正黑體" w:cs="微軟正黑體"/>
          <w:sz w:val="22"/>
        </w:rPr>
        <w:t>C1</w:t>
      </w:r>
      <w:r>
        <w:rPr>
          <w:rFonts w:ascii="微軟正黑體" w:eastAsia="微軟正黑體" w:hAnsi="微軟正黑體" w:cs="微軟正黑體"/>
          <w:sz w:val="22"/>
        </w:rPr>
        <w:t>可作為制度準備度與補強清單：要求提出問題定義及版本、資料字典與納入／排除標準、提示或</w:t>
      </w:r>
      <w:proofErr w:type="gramStart"/>
      <w:r>
        <w:rPr>
          <w:rFonts w:ascii="微軟正黑體" w:eastAsia="微軟正黑體" w:hAnsi="微軟正黑體" w:cs="微軟正黑體"/>
          <w:sz w:val="22"/>
        </w:rPr>
        <w:t>閾</w:t>
      </w:r>
      <w:proofErr w:type="gramEnd"/>
      <w:r>
        <w:rPr>
          <w:rFonts w:ascii="微軟正黑體" w:eastAsia="微軟正黑體" w:hAnsi="微軟正黑體" w:cs="微軟正黑體"/>
          <w:sz w:val="22"/>
        </w:rPr>
        <w:t>值核定責任、人工覆核紀錄、受影響群體參與方案，以及能直接</w:t>
      </w:r>
      <w:proofErr w:type="gramStart"/>
      <w:r>
        <w:rPr>
          <w:rFonts w:ascii="微軟正黑體" w:eastAsia="微軟正黑體" w:hAnsi="微軟正黑體" w:cs="微軟正黑體"/>
          <w:sz w:val="22"/>
        </w:rPr>
        <w:t>質疑框定本</w:t>
      </w:r>
      <w:proofErr w:type="gramEnd"/>
      <w:r>
        <w:rPr>
          <w:rFonts w:ascii="微軟正黑體" w:eastAsia="微軟正黑體" w:hAnsi="微軟正黑體" w:cs="微軟正黑體"/>
          <w:sz w:val="22"/>
        </w:rPr>
        <w:t>身的正式管道。</w:t>
      </w:r>
      <w:proofErr w:type="gramStart"/>
      <w:r>
        <w:rPr>
          <w:rFonts w:ascii="微軟正黑體" w:eastAsia="微軟正黑體" w:hAnsi="微軟正黑體" w:cs="微軟正黑體"/>
          <w:sz w:val="22"/>
        </w:rPr>
        <w:t>缺項的</w:t>
      </w:r>
      <w:proofErr w:type="gramEnd"/>
      <w:r>
        <w:rPr>
          <w:rFonts w:ascii="微軟正黑體" w:eastAsia="微軟正黑體" w:hAnsi="微軟正黑體" w:cs="微軟正黑體"/>
          <w:sz w:val="22"/>
        </w:rPr>
        <w:t>功能是產生補正責任與期限，而非事後貼上失敗標籤；若</w:t>
      </w:r>
      <w:r>
        <w:rPr>
          <w:rFonts w:ascii="微軟正黑體" w:eastAsia="微軟正黑體" w:hAnsi="微軟正黑體" w:cs="微軟正黑體"/>
          <w:sz w:val="22"/>
        </w:rPr>
        <w:t>P1</w:t>
      </w:r>
      <w:r>
        <w:rPr>
          <w:rFonts w:ascii="微軟正黑體" w:eastAsia="微軟正黑體" w:hAnsi="微軟正黑體" w:cs="微軟正黑體"/>
          <w:sz w:val="22"/>
        </w:rPr>
        <w:t>平均達</w:t>
      </w:r>
      <w:r>
        <w:rPr>
          <w:rFonts w:ascii="微軟正黑體" w:eastAsia="微軟正黑體" w:hAnsi="微軟正黑體" w:cs="微軟正黑體"/>
          <w:sz w:val="22"/>
        </w:rPr>
        <w:t>3</w:t>
      </w:r>
      <w:r>
        <w:rPr>
          <w:rFonts w:ascii="微軟正黑體" w:eastAsia="微軟正黑體" w:hAnsi="微軟正黑體" w:cs="微軟正黑體"/>
          <w:sz w:val="22"/>
        </w:rPr>
        <w:t>，而</w:t>
      </w:r>
      <w:r>
        <w:rPr>
          <w:rFonts w:ascii="微軟正黑體" w:eastAsia="微軟正黑體" w:hAnsi="微軟正黑體" w:cs="微軟正黑體"/>
          <w:sz w:val="22"/>
        </w:rPr>
        <w:t>C1-11</w:t>
      </w:r>
      <w:r>
        <w:rPr>
          <w:rFonts w:ascii="微軟正黑體" w:eastAsia="微軟正黑體" w:hAnsi="微軟正黑體" w:cs="微軟正黑體"/>
          <w:sz w:val="22"/>
        </w:rPr>
        <w:t>為</w:t>
      </w:r>
      <w:r>
        <w:rPr>
          <w:rFonts w:ascii="微軟正黑體" w:eastAsia="微軟正黑體" w:hAnsi="微軟正黑體" w:cs="微軟正黑體"/>
          <w:sz w:val="22"/>
        </w:rPr>
        <w:t>0</w:t>
      </w:r>
      <w:r>
        <w:rPr>
          <w:rFonts w:ascii="微軟正黑體" w:eastAsia="微軟正黑體" w:hAnsi="微軟正黑體" w:cs="微軟正黑體"/>
          <w:sz w:val="22"/>
        </w:rPr>
        <w:t>或</w:t>
      </w:r>
      <w:r>
        <w:rPr>
          <w:rFonts w:ascii="微軟正黑體" w:eastAsia="微軟正黑體" w:hAnsi="微軟正黑體" w:cs="微軟正黑體"/>
          <w:sz w:val="22"/>
        </w:rPr>
        <w:t>NA-O</w:t>
      </w:r>
      <w:r>
        <w:rPr>
          <w:rFonts w:ascii="微軟正黑體" w:eastAsia="微軟正黑體" w:hAnsi="微軟正黑體" w:cs="微軟正黑體"/>
          <w:sz w:val="22"/>
        </w:rPr>
        <w:t>，應列為優先補正情境，且在補正以前不宜使系統輸出直接觸發重大權利義務效果。</w:t>
      </w:r>
    </w:p>
    <w:p w:rsidR="00035E70" w:rsidRDefault="000B3CAA">
      <w:pPr>
        <w:spacing w:after="160" w:line="300" w:lineRule="auto"/>
        <w:jc w:val="both"/>
      </w:pPr>
      <w:r>
        <w:rPr>
          <w:rFonts w:ascii="微軟正黑體" w:eastAsia="微軟正黑體" w:hAnsi="微軟正黑體" w:cs="微軟正黑體"/>
          <w:sz w:val="22"/>
        </w:rPr>
        <w:t>上線後則須依固定時點與重大變更重新編碼。對尚未有異議機會的新系統，</w:t>
      </w:r>
      <w:r>
        <w:rPr>
          <w:rFonts w:ascii="微軟正黑體" w:eastAsia="微軟正黑體" w:hAnsi="微軟正黑體" w:cs="微軟正黑體"/>
          <w:sz w:val="22"/>
        </w:rPr>
        <w:t>C1-12</w:t>
      </w:r>
      <w:r>
        <w:rPr>
          <w:rFonts w:ascii="微軟正黑體" w:eastAsia="微軟正黑體" w:hAnsi="微軟正黑體" w:cs="微軟正黑體"/>
          <w:sz w:val="22"/>
        </w:rPr>
        <w:t>不因「尚無事件」而自動記</w:t>
      </w:r>
      <w:r>
        <w:rPr>
          <w:rFonts w:ascii="微軟正黑體" w:eastAsia="微軟正黑體" w:hAnsi="微軟正黑體" w:cs="微軟正黑體"/>
          <w:sz w:val="22"/>
        </w:rPr>
        <w:t>0</w:t>
      </w:r>
      <w:r>
        <w:rPr>
          <w:rFonts w:ascii="微軟正黑體" w:eastAsia="微軟正黑體" w:hAnsi="微軟正黑體" w:cs="微軟正黑體"/>
          <w:sz w:val="22"/>
        </w:rPr>
        <w:t>；應記</w:t>
      </w:r>
      <w:r>
        <w:rPr>
          <w:rFonts w:ascii="微軟正黑體" w:eastAsia="微軟正黑體" w:hAnsi="微軟正黑體" w:cs="微軟正黑體"/>
          <w:sz w:val="22"/>
        </w:rPr>
        <w:t>NA-U</w:t>
      </w:r>
      <w:r>
        <w:rPr>
          <w:rFonts w:ascii="微軟正黑體" w:eastAsia="微軟正黑體" w:hAnsi="微軟正黑體" w:cs="微軟正黑體"/>
          <w:sz w:val="22"/>
        </w:rPr>
        <w:t>並設定再評估期限。試辦、情境演練或使用者測試所留下的修正紀錄可作為制度準備度證據，但須與真實申訴所產生的修正實績分開報告。如此才能區分「目前未見問題」與「尚未有機會觀察問題」，降低案例選取與可觀察</w:t>
      </w:r>
      <w:proofErr w:type="gramStart"/>
      <w:r>
        <w:rPr>
          <w:rFonts w:ascii="微軟正黑體" w:eastAsia="微軟正黑體" w:hAnsi="微軟正黑體" w:cs="微軟正黑體"/>
          <w:sz w:val="22"/>
        </w:rPr>
        <w:t>性偏</w:t>
      </w:r>
      <w:r>
        <w:rPr>
          <w:rFonts w:ascii="微軟正黑體" w:eastAsia="微軟正黑體" w:hAnsi="微軟正黑體" w:cs="微軟正黑體"/>
          <w:sz w:val="22"/>
        </w:rPr>
        <w:t>誤</w:t>
      </w:r>
      <w:proofErr w:type="gramEnd"/>
      <w:r>
        <w:rPr>
          <w:rFonts w:ascii="微軟正黑體" w:eastAsia="微軟正黑體" w:hAnsi="微軟正黑體" w:cs="微軟正黑體"/>
          <w:sz w:val="22"/>
        </w:rPr>
        <w:t>。</w:t>
      </w:r>
    </w:p>
    <w:p w:rsidR="00035E70" w:rsidRDefault="000B3CAA">
      <w:pPr>
        <w:pStyle w:val="1"/>
        <w:spacing w:before="260" w:after="140"/>
      </w:pPr>
      <w:r>
        <w:rPr>
          <w:rFonts w:ascii="微軟正黑體" w:eastAsia="微軟正黑體" w:hAnsi="微軟正黑體" w:cs="微軟正黑體"/>
          <w:b/>
          <w:sz w:val="27"/>
        </w:rPr>
        <w:t>陸、結論</w:t>
      </w:r>
    </w:p>
    <w:p w:rsidR="00035E70" w:rsidRDefault="000B3CAA">
      <w:pPr>
        <w:pStyle w:val="2"/>
        <w:spacing w:before="260" w:after="140"/>
      </w:pPr>
      <w:r>
        <w:rPr>
          <w:rFonts w:ascii="微軟正黑體" w:eastAsia="微軟正黑體" w:hAnsi="微軟正黑體" w:cs="微軟正黑體"/>
          <w:b/>
          <w:sz w:val="24"/>
        </w:rPr>
        <w:t>一、研究發現與理論貢獻</w:t>
      </w:r>
    </w:p>
    <w:p w:rsidR="00035E70" w:rsidRDefault="000B3CAA">
      <w:pPr>
        <w:spacing w:after="160" w:line="300" w:lineRule="auto"/>
        <w:jc w:val="both"/>
      </w:pPr>
      <w:r>
        <w:t>本文以</w:t>
      </w:r>
      <w:r>
        <w:t>25</w:t>
      </w:r>
      <w:proofErr w:type="gramStart"/>
      <w:r>
        <w:t>—</w:t>
      </w:r>
      <w:proofErr w:type="gramEnd"/>
      <w:r>
        <w:t>3—3—4—7</w:t>
      </w:r>
      <w:r>
        <w:t>作為共同母架構，並完成四項理論與方法工作。第一，明確界定二十五治理座標，使五分析層次與五分析單位成為案例定位基準。第二，在座標與結構效應之間加入三種行政權力功能性移轉，說明</w:t>
      </w:r>
      <w:r>
        <w:t>AI</w:t>
      </w:r>
      <w:r>
        <w:t>如何由工具轉為具有事實影響力的治理行動者。第三，將跨座標移動、邊界消解與權威重構界定為制度結果，並以情境建構、權威、理由、責任四鏈追蹤正當性。第四，統一七項治理審計，將</w:t>
      </w:r>
      <w:r>
        <w:t>C1</w:t>
      </w:r>
      <w:r>
        <w:t>十二指標定位為情境</w:t>
      </w:r>
      <w:proofErr w:type="gramStart"/>
      <w:r>
        <w:t>建構鏈的</w:t>
      </w:r>
      <w:proofErr w:type="gramEnd"/>
      <w:r>
        <w:t>專門測量工具，而非另一套競爭性的整體架構。</w:t>
      </w:r>
    </w:p>
    <w:p w:rsidR="00035E70" w:rsidRDefault="000B3CAA">
      <w:pPr>
        <w:spacing w:after="160" w:line="300" w:lineRule="auto"/>
        <w:jc w:val="both"/>
      </w:pPr>
      <w:r>
        <w:rPr>
          <w:rFonts w:ascii="微軟正黑體" w:eastAsia="微軟正黑體" w:hAnsi="微軟正黑體" w:cs="微軟正黑體"/>
          <w:sz w:val="22"/>
        </w:rPr>
        <w:t>方法上，本文最重要的修正是將</w:t>
      </w:r>
      <w:r>
        <w:rPr>
          <w:rFonts w:ascii="微軟正黑體" w:eastAsia="微軟正黑體" w:hAnsi="微軟正黑體" w:cs="微軟正黑體"/>
          <w:sz w:val="22"/>
        </w:rPr>
        <w:t>P1</w:t>
      </w:r>
      <w:r>
        <w:rPr>
          <w:rFonts w:ascii="微軟正黑體" w:eastAsia="微軟正黑體" w:hAnsi="微軟正黑體" w:cs="微軟正黑體"/>
          <w:sz w:val="22"/>
        </w:rPr>
        <w:t>暴露與</w:t>
      </w:r>
      <w:r>
        <w:rPr>
          <w:rFonts w:ascii="微軟正黑體" w:eastAsia="微軟正黑體" w:hAnsi="微軟正黑體" w:cs="微軟正黑體"/>
          <w:sz w:val="22"/>
        </w:rPr>
        <w:t>C1</w:t>
      </w:r>
      <w:r>
        <w:rPr>
          <w:rFonts w:ascii="微軟正黑體" w:eastAsia="微軟正黑體" w:hAnsi="微軟正黑體" w:cs="微軟正黑體"/>
          <w:sz w:val="22"/>
        </w:rPr>
        <w:t>完整度分開。權力移轉強度高低是描述</w:t>
      </w:r>
      <w:r>
        <w:rPr>
          <w:rFonts w:ascii="微軟正黑體" w:eastAsia="微軟正黑體" w:hAnsi="微軟正黑體" w:cs="微軟正黑體"/>
          <w:sz w:val="22"/>
        </w:rPr>
        <w:t>AI</w:t>
      </w:r>
      <w:r>
        <w:rPr>
          <w:rFonts w:ascii="微軟正黑體" w:eastAsia="微軟正黑體" w:hAnsi="微軟正黑體" w:cs="微軟正黑體"/>
          <w:sz w:val="22"/>
        </w:rPr>
        <w:t>取得多少實質影響力；民主正當性完整度則檢查該影響力是否可追溯、可質疑與可修正。兩者並列後，案例比較不再把技術介入、制度缺失及資料不可得壓縮為單一平均值。</w:t>
      </w:r>
    </w:p>
    <w:p w:rsidR="00035E70" w:rsidRDefault="000B3CAA">
      <w:pPr>
        <w:pStyle w:val="2"/>
        <w:spacing w:before="260" w:after="140"/>
      </w:pPr>
      <w:r>
        <w:rPr>
          <w:rFonts w:ascii="微軟正黑體" w:eastAsia="微軟正黑體" w:hAnsi="微軟正黑體" w:cs="微軟正黑體"/>
          <w:b/>
          <w:sz w:val="24"/>
        </w:rPr>
        <w:t>二、對民主正當性的命題</w:t>
      </w:r>
    </w:p>
    <w:p w:rsidR="00035E70" w:rsidRDefault="000B3CAA">
      <w:pPr>
        <w:spacing w:after="160" w:line="300" w:lineRule="auto"/>
        <w:jc w:val="both"/>
      </w:pPr>
      <w:r>
        <w:rPr>
          <w:rFonts w:ascii="微軟正黑體" w:eastAsia="微軟正黑體" w:hAnsi="微軟正黑體" w:cs="微軟正黑體"/>
          <w:sz w:val="22"/>
        </w:rPr>
        <w:t>本文提出三項可供後續檢驗的命題：</w:t>
      </w:r>
    </w:p>
    <w:p w:rsidR="00035E70" w:rsidRDefault="000B3CAA">
      <w:pPr>
        <w:spacing w:after="120" w:line="300" w:lineRule="auto"/>
        <w:ind w:left="420" w:hanging="420"/>
        <w:jc w:val="both"/>
      </w:pPr>
      <w:r>
        <w:rPr>
          <w:rFonts w:ascii="微軟正黑體" w:eastAsia="微軟正黑體" w:hAnsi="微軟正黑體" w:cs="微軟正黑體"/>
          <w:sz w:val="22"/>
        </w:rPr>
        <w:t xml:space="preserve">1. </w:t>
      </w:r>
      <w:r>
        <w:rPr>
          <w:rFonts w:ascii="微軟正黑體" w:eastAsia="微軟正黑體" w:hAnsi="微軟正黑體" w:cs="微軟正黑體"/>
          <w:sz w:val="22"/>
        </w:rPr>
        <w:t>前置命題：</w:t>
      </w:r>
      <w:r>
        <w:rPr>
          <w:rFonts w:ascii="微軟正黑體" w:eastAsia="微軟正黑體" w:hAnsi="微軟正黑體" w:cs="微軟正黑體"/>
          <w:sz w:val="22"/>
        </w:rPr>
        <w:t xml:space="preserve"> P1</w:t>
      </w:r>
      <w:r>
        <w:rPr>
          <w:rFonts w:ascii="微軟正黑體" w:eastAsia="微軟正黑體" w:hAnsi="微軟正黑體" w:cs="微軟正黑體"/>
          <w:sz w:val="22"/>
        </w:rPr>
        <w:t>暴露愈高，情境</w:t>
      </w:r>
      <w:proofErr w:type="gramStart"/>
      <w:r>
        <w:rPr>
          <w:rFonts w:ascii="微軟正黑體" w:eastAsia="微軟正黑體" w:hAnsi="微軟正黑體" w:cs="微軟正黑體"/>
          <w:sz w:val="22"/>
        </w:rPr>
        <w:t>建構鏈的</w:t>
      </w:r>
      <w:proofErr w:type="gramEnd"/>
      <w:r>
        <w:rPr>
          <w:rFonts w:ascii="微軟正黑體" w:eastAsia="微軟正黑體" w:hAnsi="微軟正黑體" w:cs="微軟正黑體"/>
          <w:sz w:val="22"/>
        </w:rPr>
        <w:t>民主前置條件愈重要，形式性人工</w:t>
      </w:r>
      <w:proofErr w:type="gramStart"/>
      <w:r>
        <w:rPr>
          <w:rFonts w:ascii="微軟正黑體" w:eastAsia="微軟正黑體" w:hAnsi="微軟正黑體" w:cs="微軟正黑體"/>
          <w:sz w:val="22"/>
        </w:rPr>
        <w:t>簽核愈</w:t>
      </w:r>
      <w:proofErr w:type="gramEnd"/>
      <w:r>
        <w:rPr>
          <w:rFonts w:ascii="微軟正黑體" w:eastAsia="微軟正黑體" w:hAnsi="微軟正黑體" w:cs="微軟正黑體"/>
          <w:sz w:val="22"/>
        </w:rPr>
        <w:t>不足以證成後續決定。</w:t>
      </w:r>
    </w:p>
    <w:p w:rsidR="00035E70" w:rsidRDefault="000B3CAA">
      <w:pPr>
        <w:spacing w:after="120" w:line="300" w:lineRule="auto"/>
        <w:ind w:left="420" w:hanging="420"/>
        <w:jc w:val="both"/>
      </w:pPr>
      <w:r>
        <w:rPr>
          <w:rFonts w:ascii="微軟正黑體" w:eastAsia="微軟正黑體" w:hAnsi="微軟正黑體" w:cs="微軟正黑體"/>
          <w:sz w:val="22"/>
        </w:rPr>
        <w:t xml:space="preserve">2. </w:t>
      </w:r>
      <w:r>
        <w:rPr>
          <w:rFonts w:ascii="微軟正黑體" w:eastAsia="微軟正黑體" w:hAnsi="微軟正黑體" w:cs="微軟正黑體"/>
          <w:sz w:val="22"/>
        </w:rPr>
        <w:t>傳導命題：</w:t>
      </w:r>
      <w:r>
        <w:rPr>
          <w:rFonts w:ascii="微軟正黑體" w:eastAsia="微軟正黑體" w:hAnsi="微軟正黑體" w:cs="微軟正黑體"/>
          <w:sz w:val="22"/>
        </w:rPr>
        <w:t xml:space="preserve"> </w:t>
      </w:r>
      <w:r>
        <w:rPr>
          <w:rFonts w:ascii="微軟正黑體" w:eastAsia="微軟正黑體" w:hAnsi="微軟正黑體" w:cs="微軟正黑體"/>
          <w:sz w:val="22"/>
        </w:rPr>
        <w:t>高</w:t>
      </w:r>
      <w:r>
        <w:rPr>
          <w:rFonts w:ascii="微軟正黑體" w:eastAsia="微軟正黑體" w:hAnsi="微軟正黑體" w:cs="微軟正黑體"/>
          <w:sz w:val="22"/>
        </w:rPr>
        <w:t>P1</w:t>
      </w:r>
      <w:r>
        <w:rPr>
          <w:rFonts w:ascii="微軟正黑體" w:eastAsia="微軟正黑體" w:hAnsi="微軟正黑體" w:cs="微軟正黑體"/>
          <w:sz w:val="22"/>
        </w:rPr>
        <w:t>暴露若與低</w:t>
      </w:r>
      <w:r>
        <w:rPr>
          <w:rFonts w:ascii="微軟正黑體" w:eastAsia="微軟正黑體" w:hAnsi="微軟正黑體" w:cs="微軟正黑體"/>
          <w:sz w:val="22"/>
        </w:rPr>
        <w:t>C1</w:t>
      </w:r>
      <w:r>
        <w:rPr>
          <w:rFonts w:ascii="微軟正黑體" w:eastAsia="微軟正黑體" w:hAnsi="微軟正黑體" w:cs="微軟正黑體"/>
          <w:sz w:val="22"/>
        </w:rPr>
        <w:t>完整度並存，較可能使理由鏈與責任鏈出現連鎖斷裂。</w:t>
      </w:r>
    </w:p>
    <w:p w:rsidR="00035E70" w:rsidRDefault="000B3CAA">
      <w:pPr>
        <w:spacing w:after="120" w:line="300" w:lineRule="auto"/>
        <w:ind w:left="420" w:hanging="420"/>
        <w:jc w:val="both"/>
      </w:pPr>
      <w:r>
        <w:rPr>
          <w:rFonts w:ascii="微軟正黑體" w:eastAsia="微軟正黑體" w:hAnsi="微軟正黑體" w:cs="微軟正黑體"/>
          <w:sz w:val="22"/>
        </w:rPr>
        <w:t xml:space="preserve">3. </w:t>
      </w:r>
      <w:r>
        <w:rPr>
          <w:rFonts w:ascii="微軟正黑體" w:eastAsia="微軟正黑體" w:hAnsi="微軟正黑體" w:cs="微軟正黑體"/>
          <w:sz w:val="22"/>
        </w:rPr>
        <w:t>不可補償命題：</w:t>
      </w:r>
      <w:r>
        <w:rPr>
          <w:rFonts w:ascii="微軟正黑體" w:eastAsia="微軟正黑體" w:hAnsi="微軟正黑體" w:cs="微軟正黑體"/>
          <w:sz w:val="22"/>
        </w:rPr>
        <w:t xml:space="preserve"> </w:t>
      </w:r>
      <w:r>
        <w:rPr>
          <w:rFonts w:ascii="微軟正黑體" w:eastAsia="微軟正黑體" w:hAnsi="微軟正黑體" w:cs="微軟正黑體"/>
          <w:sz w:val="22"/>
        </w:rPr>
        <w:t>技術文件與資料可追溯性不能</w:t>
      </w:r>
      <w:proofErr w:type="gramStart"/>
      <w:r>
        <w:rPr>
          <w:rFonts w:ascii="微軟正黑體" w:eastAsia="微軟正黑體" w:hAnsi="微軟正黑體" w:cs="微軟正黑體"/>
          <w:sz w:val="22"/>
        </w:rPr>
        <w:t>補償框定異</w:t>
      </w:r>
      <w:r>
        <w:rPr>
          <w:rFonts w:ascii="微軟正黑體" w:eastAsia="微軟正黑體" w:hAnsi="微軟正黑體" w:cs="微軟正黑體"/>
          <w:sz w:val="22"/>
        </w:rPr>
        <w:t>議</w:t>
      </w:r>
      <w:proofErr w:type="gramEnd"/>
      <w:r>
        <w:rPr>
          <w:rFonts w:ascii="微軟正黑體" w:eastAsia="微軟正黑體" w:hAnsi="微軟正黑體" w:cs="微軟正黑體"/>
          <w:sz w:val="22"/>
        </w:rPr>
        <w:t>管道及實質修正能力的缺失。</w:t>
      </w:r>
    </w:p>
    <w:p w:rsidR="00035E70" w:rsidRDefault="000B3CAA">
      <w:pPr>
        <w:spacing w:after="160" w:line="300" w:lineRule="auto"/>
        <w:jc w:val="both"/>
      </w:pPr>
      <w:r>
        <w:rPr>
          <w:rFonts w:ascii="微軟正黑體" w:eastAsia="微軟正黑體" w:hAnsi="微軟正黑體" w:cs="微軟正黑體"/>
          <w:sz w:val="22"/>
        </w:rPr>
        <w:lastRenderedPageBreak/>
        <w:t>這些命題仍須以更大樣本、雙人編碼、機關內部決策紀錄、訪談、申訴與系統變更資料檢驗。本文</w:t>
      </w:r>
      <w:proofErr w:type="gramStart"/>
      <w:r>
        <w:rPr>
          <w:rFonts w:ascii="微軟正黑體" w:eastAsia="微軟正黑體" w:hAnsi="微軟正黑體" w:cs="微軟正黑體"/>
          <w:sz w:val="22"/>
        </w:rPr>
        <w:t>不</w:t>
      </w:r>
      <w:proofErr w:type="gramEnd"/>
      <w:r>
        <w:rPr>
          <w:rFonts w:ascii="微軟正黑體" w:eastAsia="微軟正黑體" w:hAnsi="微軟正黑體" w:cs="微軟正黑體"/>
          <w:sz w:val="22"/>
        </w:rPr>
        <w:t>據此宣稱已建立普遍因果關係。</w:t>
      </w:r>
    </w:p>
    <w:p w:rsidR="00035E70" w:rsidRDefault="000B3CAA">
      <w:pPr>
        <w:pStyle w:val="2"/>
        <w:spacing w:before="260" w:after="140"/>
      </w:pPr>
      <w:r>
        <w:rPr>
          <w:rFonts w:ascii="微軟正黑體" w:eastAsia="微軟正黑體" w:hAnsi="微軟正黑體" w:cs="微軟正黑體"/>
          <w:b/>
          <w:sz w:val="24"/>
        </w:rPr>
        <w:t>三、研究限制與後續工作</w:t>
      </w:r>
    </w:p>
    <w:p w:rsidR="00035E70" w:rsidRDefault="000B3CAA">
      <w:pPr>
        <w:spacing w:after="160" w:line="300" w:lineRule="auto"/>
        <w:jc w:val="both"/>
      </w:pPr>
      <w:r>
        <w:rPr>
          <w:rFonts w:ascii="微軟正黑體" w:eastAsia="微軟正黑體" w:hAnsi="微軟正黑體" w:cs="微軟正黑體"/>
          <w:sz w:val="22"/>
        </w:rPr>
        <w:t>本文的示範編碼主要依公開文件，仍可能低估未公開的內部程序。</w:t>
      </w:r>
      <w:r>
        <w:rPr>
          <w:rFonts w:ascii="微軟正黑體" w:eastAsia="微軟正黑體" w:hAnsi="微軟正黑體" w:cs="微軟正黑體"/>
          <w:sz w:val="22"/>
        </w:rPr>
        <w:t>AFST</w:t>
      </w:r>
      <w:r>
        <w:rPr>
          <w:rFonts w:ascii="微軟正黑體" w:eastAsia="微軟正黑體" w:hAnsi="微軟正黑體" w:cs="微軟正黑體"/>
          <w:sz w:val="22"/>
        </w:rPr>
        <w:t>的</w:t>
      </w:r>
      <w:r>
        <w:rPr>
          <w:rFonts w:ascii="微軟正黑體" w:eastAsia="微軟正黑體" w:hAnsi="微軟正黑體" w:cs="微軟正黑體"/>
          <w:sz w:val="22"/>
        </w:rPr>
        <w:t>C1-11</w:t>
      </w:r>
      <w:r>
        <w:rPr>
          <w:rFonts w:ascii="微軟正黑體" w:eastAsia="微軟正黑體" w:hAnsi="微軟正黑體" w:cs="微軟正黑體"/>
          <w:sz w:val="22"/>
        </w:rPr>
        <w:t>因此記為</w:t>
      </w:r>
      <w:r>
        <w:rPr>
          <w:rFonts w:ascii="微軟正黑體" w:eastAsia="微軟正黑體" w:hAnsi="微軟正黑體" w:cs="微軟正黑體"/>
          <w:sz w:val="22"/>
        </w:rPr>
        <w:t>NA-U</w:t>
      </w:r>
      <w:r>
        <w:rPr>
          <w:rFonts w:ascii="微軟正黑體" w:eastAsia="微軟正黑體" w:hAnsi="微軟正黑體" w:cs="微軟正黑體"/>
          <w:sz w:val="22"/>
        </w:rPr>
        <w:t>，反映的是證據不足而非確認制度不存在；若未來取得拒絕提供或刻意遮蔽的積極證據，才改標</w:t>
      </w:r>
      <w:r>
        <w:rPr>
          <w:rFonts w:ascii="微軟正黑體" w:eastAsia="微軟正黑體" w:hAnsi="微軟正黑體" w:cs="微軟正黑體"/>
          <w:sz w:val="22"/>
        </w:rPr>
        <w:t>NA-O</w:t>
      </w:r>
      <w:r>
        <w:rPr>
          <w:rFonts w:ascii="微軟正黑體" w:eastAsia="微軟正黑體" w:hAnsi="微軟正黑體" w:cs="微軟正黑體"/>
          <w:sz w:val="22"/>
        </w:rPr>
        <w:t>並進行透明度敏感度分析。</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與</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的司法及調查資料較豐富，也可能產生「失敗案例文件較多」的可觀察性差異。</w:t>
      </w:r>
      <w:proofErr w:type="gramStart"/>
      <w:r>
        <w:rPr>
          <w:rFonts w:ascii="微軟正黑體" w:eastAsia="微軟正黑體" w:hAnsi="微軟正黑體" w:cs="微軟正黑體"/>
          <w:sz w:val="22"/>
        </w:rPr>
        <w:t>三</w:t>
      </w:r>
      <w:proofErr w:type="gramEnd"/>
      <w:r>
        <w:rPr>
          <w:rFonts w:ascii="微軟正黑體" w:eastAsia="微軟正黑體" w:hAnsi="微軟正黑體" w:cs="微軟正黑體"/>
          <w:sz w:val="22"/>
        </w:rPr>
        <w:t>案例分數不可作為國家排名或技術優</w:t>
      </w:r>
      <w:r>
        <w:rPr>
          <w:rFonts w:ascii="微軟正黑體" w:eastAsia="微軟正黑體" w:hAnsi="微軟正黑體" w:cs="微軟正黑體"/>
          <w:sz w:val="22"/>
        </w:rPr>
        <w:t>劣評價。</w:t>
      </w:r>
    </w:p>
    <w:p w:rsidR="00035E70" w:rsidRDefault="000B3CAA">
      <w:pPr>
        <w:spacing w:after="160" w:line="300" w:lineRule="auto"/>
        <w:jc w:val="both"/>
      </w:pPr>
      <w:r>
        <w:rPr>
          <w:rFonts w:ascii="微軟正黑體" w:eastAsia="微軟正黑體" w:hAnsi="微軟正黑體" w:cs="微軟正黑體"/>
          <w:sz w:val="22"/>
        </w:rPr>
        <w:t>本文在此也需要明確</w:t>
      </w:r>
      <w:proofErr w:type="gramStart"/>
      <w:r>
        <w:rPr>
          <w:rFonts w:ascii="微軟正黑體" w:eastAsia="微軟正黑體" w:hAnsi="微軟正黑體" w:cs="微軟正黑體"/>
          <w:sz w:val="22"/>
        </w:rPr>
        <w:t>交代參節之</w:t>
      </w:r>
      <w:proofErr w:type="gramEnd"/>
      <w:r>
        <w:rPr>
          <w:rFonts w:ascii="微軟正黑體" w:eastAsia="微軟正黑體" w:hAnsi="微軟正黑體" w:cs="微軟正黑體"/>
          <w:sz w:val="22"/>
        </w:rPr>
        <w:t>二所提出之摩擦論證的可否證條件，以避免母架構淪為無法被推翻的解釋裝置。若未來出現如下案例：</w:t>
      </w:r>
      <w:r>
        <w:rPr>
          <w:rFonts w:ascii="微軟正黑體" w:eastAsia="微軟正黑體" w:hAnsi="微軟正黑體" w:cs="微軟正黑體"/>
          <w:sz w:val="22"/>
        </w:rPr>
        <w:t>P1</w:t>
      </w:r>
      <w:r>
        <w:rPr>
          <w:rFonts w:ascii="微軟正黑體" w:eastAsia="微軟正黑體" w:hAnsi="微軟正黑體" w:cs="微軟正黑體"/>
          <w:sz w:val="22"/>
        </w:rPr>
        <w:t>暴露達到高分、</w:t>
      </w:r>
      <w:r>
        <w:rPr>
          <w:rFonts w:ascii="微軟正黑體" w:eastAsia="微軟正黑體" w:hAnsi="微軟正黑體" w:cs="微軟正黑體"/>
          <w:sz w:val="22"/>
        </w:rPr>
        <w:t>C1</w:t>
      </w:r>
      <w:r>
        <w:rPr>
          <w:rFonts w:ascii="微軟正黑體" w:eastAsia="微軟正黑體" w:hAnsi="微軟正黑體" w:cs="微軟正黑體"/>
          <w:sz w:val="22"/>
        </w:rPr>
        <w:t>完整度持續偏低，且自始至終未見任何外部摩擦源（司法審查、媒體監督、國會質詢、選舉週期）介入質疑或修正，該系統仍長期穩定運作，其理由鏈與</w:t>
      </w:r>
      <w:proofErr w:type="gramStart"/>
      <w:r>
        <w:rPr>
          <w:rFonts w:ascii="微軟正黑體" w:eastAsia="微軟正黑體" w:hAnsi="微軟正黑體" w:cs="微軟正黑體"/>
          <w:sz w:val="22"/>
        </w:rPr>
        <w:t>責任鏈亦未</w:t>
      </w:r>
      <w:proofErr w:type="gramEnd"/>
      <w:r>
        <w:rPr>
          <w:rFonts w:ascii="微軟正黑體" w:eastAsia="微軟正黑體" w:hAnsi="微軟正黑體" w:cs="微軟正黑體"/>
          <w:sz w:val="22"/>
        </w:rPr>
        <w:t>見任何可觀察的斷裂</w:t>
      </w:r>
      <w:r>
        <w:rPr>
          <w:rFonts w:ascii="微軟正黑體" w:eastAsia="微軟正黑體" w:hAnsi="微軟正黑體" w:cs="微軟正黑體"/>
          <w:sz w:val="22"/>
        </w:rPr>
        <w:t>——</w:t>
      </w:r>
      <w:r>
        <w:rPr>
          <w:rFonts w:ascii="微軟正黑體" w:eastAsia="微軟正黑體" w:hAnsi="微軟正黑體" w:cs="微軟正黑體"/>
          <w:sz w:val="22"/>
        </w:rPr>
        <w:t>這將直接構成對本文摩擦論證乃至母架構</w:t>
      </w:r>
      <w:proofErr w:type="gramStart"/>
      <w:r>
        <w:rPr>
          <w:rFonts w:ascii="微軟正黑體" w:eastAsia="微軟正黑體" w:hAnsi="微軟正黑體" w:cs="微軟正黑體"/>
          <w:sz w:val="22"/>
        </w:rPr>
        <w:t>解方層主</w:t>
      </w:r>
      <w:proofErr w:type="gramEnd"/>
      <w:r>
        <w:rPr>
          <w:rFonts w:ascii="微軟正黑體" w:eastAsia="微軟正黑體" w:hAnsi="微軟正黑體" w:cs="微軟正黑體"/>
          <w:sz w:val="22"/>
        </w:rPr>
        <w:t>張的反證，而非僅是母架構尚待補充的個案。本文也必須承認，</w:t>
      </w:r>
      <w:r>
        <w:rPr>
          <w:rFonts w:ascii="微軟正黑體" w:eastAsia="微軟正黑體" w:hAnsi="微軟正黑體" w:cs="微軟正黑體"/>
          <w:sz w:val="22"/>
        </w:rPr>
        <w:t>AFST</w:t>
      </w:r>
      <w:r>
        <w:rPr>
          <w:rFonts w:ascii="微軟正黑體" w:eastAsia="微軟正黑體" w:hAnsi="微軟正黑體" w:cs="微軟正黑體"/>
          <w:sz w:val="22"/>
        </w:rPr>
        <w:t>、</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與</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三案之選取本身可能帶有可觀察</w:t>
      </w:r>
      <w:proofErr w:type="gramStart"/>
      <w:r>
        <w:rPr>
          <w:rFonts w:ascii="微軟正黑體" w:eastAsia="微軟正黑體" w:hAnsi="微軟正黑體" w:cs="微軟正黑體"/>
          <w:sz w:val="22"/>
        </w:rPr>
        <w:t>性偏誤</w:t>
      </w:r>
      <w:proofErr w:type="gramEnd"/>
      <w:r>
        <w:rPr>
          <w:rFonts w:ascii="微軟正黑體" w:eastAsia="微軟正黑體" w:hAnsi="微軟正黑體" w:cs="微軟正黑體"/>
          <w:sz w:val="22"/>
        </w:rPr>
        <w:t>：</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與</w:t>
      </w:r>
      <w:proofErr w:type="spellStart"/>
      <w:r>
        <w:rPr>
          <w:rFonts w:ascii="微軟正黑體" w:eastAsia="微軟正黑體" w:hAnsi="微軟正黑體" w:cs="微軟正黑體"/>
          <w:sz w:val="22"/>
        </w:rPr>
        <w:t>Robodeb</w:t>
      </w:r>
      <w:r>
        <w:rPr>
          <w:rFonts w:ascii="微軟正黑體" w:eastAsia="微軟正黑體" w:hAnsi="微軟正黑體" w:cs="微軟正黑體"/>
          <w:sz w:val="22"/>
        </w:rPr>
        <w:t>t</w:t>
      </w:r>
      <w:proofErr w:type="spellEnd"/>
      <w:r>
        <w:rPr>
          <w:rFonts w:ascii="微軟正黑體" w:eastAsia="微軟正黑體" w:hAnsi="微軟正黑體" w:cs="微軟正黑體"/>
          <w:sz w:val="22"/>
        </w:rPr>
        <w:t>之所以能提供豐富的司法與調查文件，正是因為兩案已經爆發外部摩擦並留下紀錄；相對而言，</w:t>
      </w:r>
      <w:r>
        <w:rPr>
          <w:rFonts w:ascii="微軟正黑體" w:eastAsia="微軟正黑體" w:hAnsi="微軟正黑體" w:cs="微軟正黑體"/>
          <w:sz w:val="22"/>
        </w:rPr>
        <w:t>AFST</w:t>
      </w:r>
      <w:r>
        <w:rPr>
          <w:rFonts w:ascii="微軟正黑體" w:eastAsia="微軟正黑體" w:hAnsi="微軟正黑體" w:cs="微軟正黑體"/>
          <w:sz w:val="22"/>
        </w:rPr>
        <w:t>至今尚未出現同等程度的外部摩擦介入，其</w:t>
      </w:r>
      <w:r>
        <w:rPr>
          <w:rFonts w:ascii="微軟正黑體" w:eastAsia="微軟正黑體" w:hAnsi="微軟正黑體" w:cs="微軟正黑體"/>
          <w:sz w:val="22"/>
        </w:rPr>
        <w:t>C1-11</w:t>
      </w:r>
      <w:r>
        <w:rPr>
          <w:rFonts w:ascii="微軟正黑體" w:eastAsia="微軟正黑體" w:hAnsi="微軟正黑體" w:cs="微軟正黑體"/>
          <w:sz w:val="22"/>
        </w:rPr>
        <w:t>之所以記為</w:t>
      </w:r>
      <w:r>
        <w:rPr>
          <w:rFonts w:ascii="微軟正黑體" w:eastAsia="微軟正黑體" w:hAnsi="微軟正黑體" w:cs="微軟正黑體"/>
          <w:sz w:val="22"/>
        </w:rPr>
        <w:t>NA</w:t>
      </w:r>
      <w:r>
        <w:rPr>
          <w:rFonts w:ascii="微軟正黑體" w:eastAsia="微軟正黑體" w:hAnsi="微軟正黑體" w:cs="微軟正黑體"/>
          <w:sz w:val="22"/>
        </w:rPr>
        <w:t>，反映的正是這個未決狀態。</w:t>
      </w:r>
      <w:r>
        <w:rPr>
          <w:rFonts w:ascii="微軟正黑體" w:eastAsia="微軟正黑體" w:hAnsi="微軟正黑體" w:cs="微軟正黑體"/>
          <w:sz w:val="22"/>
        </w:rPr>
        <w:t>AFST</w:t>
      </w:r>
      <w:r>
        <w:rPr>
          <w:rFonts w:ascii="微軟正黑體" w:eastAsia="微軟正黑體" w:hAnsi="微軟正黑體" w:cs="微軟正黑體"/>
          <w:sz w:val="22"/>
        </w:rPr>
        <w:t>後續是否會出現類似</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之司法或監察介入，抑或長期在無外部摩擦的情況下穩定運作，是檢驗本文摩擦論證能否成立的真正試金石；本文對此不作預測，僅將其標記為後續追蹤研究應優先觀察的案例。</w:t>
      </w:r>
    </w:p>
    <w:p w:rsidR="00035E70" w:rsidRDefault="000B3CAA">
      <w:pPr>
        <w:spacing w:after="160" w:line="300" w:lineRule="auto"/>
        <w:jc w:val="both"/>
      </w:pPr>
      <w:r>
        <w:rPr>
          <w:rFonts w:ascii="微軟正黑體" w:eastAsia="微軟正黑體" w:hAnsi="微軟正黑體" w:cs="微軟正黑體"/>
          <w:sz w:val="22"/>
        </w:rPr>
        <w:t>後續研究應依序完成：以</w:t>
      </w:r>
      <w:r>
        <w:rPr>
          <w:rFonts w:ascii="微軟正黑體" w:eastAsia="微軟正黑體" w:hAnsi="微軟正黑體" w:cs="微軟正黑體"/>
          <w:sz w:val="22"/>
        </w:rPr>
        <w:t>Delphi</w:t>
      </w:r>
      <w:r>
        <w:rPr>
          <w:rFonts w:ascii="微軟正黑體" w:eastAsia="微軟正黑體" w:hAnsi="微軟正黑體" w:cs="微軟正黑體"/>
          <w:sz w:val="22"/>
        </w:rPr>
        <w:t>校準</w:t>
      </w:r>
      <w:r>
        <w:rPr>
          <w:rFonts w:ascii="微軟正黑體" w:eastAsia="微軟正黑體" w:hAnsi="微軟正黑體" w:cs="微軟正黑體"/>
          <w:sz w:val="22"/>
        </w:rPr>
        <w:t>P1</w:t>
      </w:r>
      <w:r>
        <w:rPr>
          <w:rFonts w:ascii="微軟正黑體" w:eastAsia="微軟正黑體" w:hAnsi="微軟正黑體" w:cs="微軟正黑體"/>
          <w:sz w:val="22"/>
        </w:rPr>
        <w:t>與</w:t>
      </w:r>
      <w:r>
        <w:rPr>
          <w:rFonts w:ascii="微軟正黑體" w:eastAsia="微軟正黑體" w:hAnsi="微軟正黑體" w:cs="微軟正黑體"/>
          <w:sz w:val="22"/>
        </w:rPr>
        <w:t>C1</w:t>
      </w:r>
      <w:proofErr w:type="gramStart"/>
      <w:r>
        <w:rPr>
          <w:rFonts w:ascii="微軟正黑體" w:eastAsia="微軟正黑體" w:hAnsi="微軟正黑體" w:cs="微軟正黑體"/>
          <w:sz w:val="22"/>
        </w:rPr>
        <w:t>內容效度及</w:t>
      </w:r>
      <w:proofErr w:type="gramEnd"/>
      <w:r>
        <w:rPr>
          <w:rFonts w:ascii="微軟正黑體" w:eastAsia="微軟正黑體" w:hAnsi="微軟正黑體" w:cs="微軟正黑體"/>
          <w:sz w:val="22"/>
        </w:rPr>
        <w:t>必要條件；以雙人獨立編碼檢驗加權</w:t>
      </w:r>
      <w:r>
        <w:rPr>
          <w:rFonts w:ascii="微軟正黑體" w:eastAsia="微軟正黑體" w:hAnsi="微軟正黑體" w:cs="微軟正黑體"/>
          <w:sz w:val="22"/>
        </w:rPr>
        <w:t>κ</w:t>
      </w:r>
      <w:r>
        <w:rPr>
          <w:rFonts w:ascii="微軟正黑體" w:eastAsia="微軟正黑體" w:hAnsi="微軟正黑體" w:cs="微軟正黑體"/>
          <w:sz w:val="22"/>
        </w:rPr>
        <w:t>或</w:t>
      </w:r>
      <w:r>
        <w:rPr>
          <w:rFonts w:ascii="微軟正黑體" w:eastAsia="微軟正黑體" w:hAnsi="微軟正黑體" w:cs="微軟正黑體"/>
          <w:sz w:val="22"/>
        </w:rPr>
        <w:t>ICC</w:t>
      </w:r>
      <w:r>
        <w:rPr>
          <w:rFonts w:ascii="微軟正黑體" w:eastAsia="微軟正黑體" w:hAnsi="微軟正黑體" w:cs="微軟正黑體"/>
          <w:sz w:val="22"/>
        </w:rPr>
        <w:t>；擴充警察、移民、稅</w:t>
      </w:r>
      <w:r>
        <w:rPr>
          <w:rFonts w:ascii="微軟正黑體" w:eastAsia="微軟正黑體" w:hAnsi="微軟正黑體" w:cs="微軟正黑體"/>
          <w:sz w:val="22"/>
        </w:rPr>
        <w:t>務、人事、醫療與環境案例；檢驗</w:t>
      </w:r>
      <w:r>
        <w:rPr>
          <w:rFonts w:ascii="微軟正黑體" w:eastAsia="微軟正黑體" w:hAnsi="微軟正黑體" w:cs="微軟正黑體"/>
          <w:sz w:val="22"/>
        </w:rPr>
        <w:t>P1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C1</w:t>
      </w:r>
      <w:r>
        <w:rPr>
          <w:rFonts w:ascii="微軟正黑體" w:eastAsia="微軟正黑體" w:hAnsi="微軟正黑體" w:cs="微軟正黑體"/>
          <w:sz w:val="22"/>
        </w:rPr>
        <w:t>組合是否能預測後續三鏈斷裂；最後再考慮權重、潛在類型與縱貫監測。正式量表成立以前，應保留逐項證據、四構面剖面、</w:t>
      </w:r>
      <w:r>
        <w:rPr>
          <w:rFonts w:ascii="微軟正黑體" w:eastAsia="微軟正黑體" w:hAnsi="微軟正黑體" w:cs="微軟正黑體"/>
          <w:sz w:val="22"/>
        </w:rPr>
        <w:t>NA</w:t>
      </w:r>
      <w:r>
        <w:rPr>
          <w:rFonts w:ascii="微軟正黑體" w:eastAsia="微軟正黑體" w:hAnsi="微軟正黑體" w:cs="微軟正黑體"/>
          <w:sz w:val="22"/>
        </w:rPr>
        <w:t>、涵蓋率及規範門檻，避免以總分製造虛假的精確性。</w:t>
      </w:r>
    </w:p>
    <w:p w:rsidR="00035E70" w:rsidRDefault="000B3CAA">
      <w:pPr>
        <w:pStyle w:val="2"/>
        <w:spacing w:before="260" w:after="140"/>
      </w:pPr>
      <w:r>
        <w:rPr>
          <w:rFonts w:ascii="微軟正黑體" w:eastAsia="微軟正黑體" w:hAnsi="微軟正黑體" w:cs="微軟正黑體"/>
          <w:b/>
          <w:sz w:val="24"/>
        </w:rPr>
        <w:t>四、政策實務意涵：由事後</w:t>
      </w:r>
      <w:proofErr w:type="gramStart"/>
      <w:r>
        <w:rPr>
          <w:rFonts w:ascii="微軟正黑體" w:eastAsia="微軟正黑體" w:hAnsi="微軟正黑體" w:cs="微軟正黑體"/>
          <w:b/>
          <w:sz w:val="24"/>
        </w:rPr>
        <w:t>究責前移</w:t>
      </w:r>
      <w:proofErr w:type="gramEnd"/>
      <w:r>
        <w:rPr>
          <w:rFonts w:ascii="微軟正黑體" w:eastAsia="微軟正黑體" w:hAnsi="微軟正黑體" w:cs="微軟正黑體"/>
          <w:b/>
          <w:sz w:val="24"/>
        </w:rPr>
        <w:t>至事前治理</w:t>
      </w:r>
    </w:p>
    <w:p w:rsidR="00035E70" w:rsidRDefault="000B3CAA">
      <w:pPr>
        <w:spacing w:after="160" w:line="300" w:lineRule="auto"/>
        <w:jc w:val="both"/>
      </w:pPr>
      <w:r>
        <w:t>本工具的政策價值不只在解釋</w:t>
      </w:r>
      <w:proofErr w:type="spellStart"/>
      <w:r>
        <w:t>SyRI</w:t>
      </w:r>
      <w:proofErr w:type="spellEnd"/>
      <w:r>
        <w:t>與</w:t>
      </w:r>
      <w:proofErr w:type="spellStart"/>
      <w:r>
        <w:t>Robodebt</w:t>
      </w:r>
      <w:proofErr w:type="spellEnd"/>
      <w:r>
        <w:t>等已發生外部摩擦的案例，也可嵌入採購需求、試辦驗收、上線審查與定期審計。</w:t>
      </w:r>
      <w:r>
        <w:t>P1</w:t>
      </w:r>
      <w:r>
        <w:t>用於風險分流，</w:t>
      </w:r>
      <w:r>
        <w:t>C1</w:t>
      </w:r>
      <w:r>
        <w:t>用於提出證據與補正清單；中高以上</w:t>
      </w:r>
      <w:r>
        <w:t>P1</w:t>
      </w:r>
      <w:r>
        <w:t>且關鍵</w:t>
      </w:r>
      <w:r>
        <w:t>C1</w:t>
      </w:r>
      <w:r>
        <w:t>項目欠缺者，應強化人工覆核、限制系統直接產生重大效果，並設定補正與再評估</w:t>
      </w:r>
      <w:r>
        <w:t>期限。這使治理機關能在司法或監察摩擦出現以前發現情境</w:t>
      </w:r>
      <w:proofErr w:type="gramStart"/>
      <w:r>
        <w:t>建構鏈的</w:t>
      </w:r>
      <w:proofErr w:type="gramEnd"/>
      <w:r>
        <w:t>斷點；但</w:t>
      </w:r>
      <w:r>
        <w:t>P1</w:t>
      </w:r>
      <w:r>
        <w:t>／</w:t>
      </w:r>
      <w:r>
        <w:t>C1</w:t>
      </w:r>
      <w:r>
        <w:t>仍不是合法性認證或績效排名，而是可複核的預警與輔導工具。</w:t>
      </w:r>
    </w:p>
    <w:p w:rsidR="00035E70" w:rsidRDefault="000B3CAA">
      <w:pPr>
        <w:spacing w:after="160" w:line="300" w:lineRule="auto"/>
        <w:jc w:val="both"/>
      </w:pPr>
      <w:r>
        <w:rPr>
          <w:rFonts w:ascii="微軟正黑體" w:eastAsia="微軟正黑體" w:hAnsi="微軟正黑體" w:cs="微軟正黑體"/>
          <w:sz w:val="22"/>
        </w:rPr>
        <w:t>公共治理不能以技術最佳化取代公共價值衡平。</w:t>
      </w:r>
      <w:r>
        <w:rPr>
          <w:rFonts w:ascii="微軟正黑體" w:eastAsia="微軟正黑體" w:hAnsi="微軟正黑體" w:cs="微軟正黑體"/>
          <w:sz w:val="22"/>
        </w:rPr>
        <w:t>AI</w:t>
      </w:r>
      <w:r>
        <w:rPr>
          <w:rFonts w:ascii="微軟正黑體" w:eastAsia="微軟正黑體" w:hAnsi="微軟正黑體" w:cs="微軟正黑體"/>
          <w:sz w:val="22"/>
        </w:rPr>
        <w:t>雖不具有原生的法律與民主權威，仍可能在</w:t>
      </w:r>
      <w:r>
        <w:rPr>
          <w:rFonts w:ascii="微軟正黑體" w:eastAsia="微軟正黑體" w:hAnsi="微軟正黑體" w:cs="微軟正黑體"/>
          <w:sz w:val="22"/>
        </w:rPr>
        <w:lastRenderedPageBreak/>
        <w:t>正式決定以前取得情境建構與事實認定的實質影響力。民主正當性的第一道防線，因而不是最後的簽名，而是使問題如何被定義、資料如何被選擇、分類如何被建立，皆能被追溯、質疑並修正。</w:t>
      </w:r>
    </w:p>
    <w:p w:rsidR="00035E70" w:rsidRDefault="000B3CAA">
      <w:pPr>
        <w:pStyle w:val="1"/>
        <w:spacing w:before="260" w:after="140"/>
      </w:pPr>
      <w:r>
        <w:rPr>
          <w:rFonts w:ascii="微軟正黑體" w:eastAsia="微軟正黑體" w:hAnsi="微軟正黑體" w:cs="微軟正黑體"/>
          <w:b/>
          <w:sz w:val="27"/>
        </w:rPr>
        <w:t>參考文獻</w:t>
      </w:r>
    </w:p>
    <w:p w:rsidR="00035E70" w:rsidRDefault="000B3CAA">
      <w:pPr>
        <w:pStyle w:val="2"/>
        <w:spacing w:before="260" w:after="140"/>
      </w:pPr>
      <w:r>
        <w:rPr>
          <w:rFonts w:ascii="微軟正黑體" w:eastAsia="微軟正黑體" w:hAnsi="微軟正黑體" w:cs="微軟正黑體"/>
          <w:b/>
          <w:sz w:val="24"/>
        </w:rPr>
        <w:t>中文文獻</w:t>
      </w:r>
    </w:p>
    <w:p w:rsidR="00035E70" w:rsidRDefault="000B3CAA">
      <w:pPr>
        <w:spacing w:after="80" w:line="276" w:lineRule="auto"/>
        <w:ind w:left="420" w:hanging="420"/>
      </w:pPr>
      <w:r>
        <w:rPr>
          <w:rFonts w:ascii="微軟正黑體" w:eastAsia="微軟正黑體" w:hAnsi="微軟正黑體" w:cs="微軟正黑體"/>
          <w:sz w:val="22"/>
        </w:rPr>
        <w:t>盧建旭（</w:t>
      </w:r>
      <w:r>
        <w:rPr>
          <w:rFonts w:ascii="微軟正黑體" w:eastAsia="微軟正黑體" w:hAnsi="微軟正黑體" w:cs="微軟正黑體"/>
          <w:sz w:val="22"/>
        </w:rPr>
        <w:t>1996b</w:t>
      </w:r>
      <w:r>
        <w:rPr>
          <w:rFonts w:ascii="微軟正黑體" w:eastAsia="微軟正黑體" w:hAnsi="微軟正黑體" w:cs="微軟正黑體"/>
          <w:sz w:val="22"/>
        </w:rPr>
        <w:t>）。資訊社會中公共行政的新議題。《政治科學論叢》，</w:t>
      </w:r>
      <w:r>
        <w:rPr>
          <w:rFonts w:ascii="微軟正黑體" w:eastAsia="微軟正黑體" w:hAnsi="微軟正黑體" w:cs="微軟正黑體"/>
          <w:sz w:val="22"/>
        </w:rPr>
        <w:t>7</w:t>
      </w:r>
      <w:r>
        <w:rPr>
          <w:rFonts w:ascii="微軟正黑體" w:eastAsia="微軟正黑體" w:hAnsi="微軟正黑體" w:cs="微軟正黑體"/>
          <w:sz w:val="22"/>
        </w:rPr>
        <w:t>，</w:t>
      </w:r>
      <w:r>
        <w:rPr>
          <w:rFonts w:ascii="微軟正黑體" w:eastAsia="微軟正黑體" w:hAnsi="微軟正黑體" w:cs="微軟正黑體"/>
          <w:sz w:val="22"/>
        </w:rPr>
        <w:t>231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256</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盧建旭（</w:t>
      </w:r>
      <w:r>
        <w:rPr>
          <w:rFonts w:ascii="微軟正黑體" w:eastAsia="微軟正黑體" w:hAnsi="微軟正黑體" w:cs="微軟正黑體"/>
          <w:sz w:val="22"/>
        </w:rPr>
        <w:t>2026</w:t>
      </w:r>
      <w:r>
        <w:rPr>
          <w:rFonts w:ascii="微軟正黑體" w:eastAsia="微軟正黑體" w:hAnsi="微軟正黑體" w:cs="微軟正黑體"/>
          <w:sz w:val="22"/>
        </w:rPr>
        <w:t>）。重新概念化人工智慧治理：公共行政理論視角下的二十五治理座標、三種行政權力功能性移轉、三項結構效應、四條治理鏈與七項治理審計。個人學術網站研究稿。</w:t>
      </w:r>
    </w:p>
    <w:p w:rsidR="00035E70" w:rsidRDefault="000B3CAA">
      <w:pPr>
        <w:spacing w:after="80" w:line="276" w:lineRule="auto"/>
        <w:ind w:left="420" w:hanging="420"/>
      </w:pPr>
      <w:r>
        <w:rPr>
          <w:rFonts w:ascii="微軟正黑體" w:eastAsia="微軟正黑體" w:hAnsi="微軟正黑體" w:cs="微軟正黑體"/>
          <w:sz w:val="22"/>
        </w:rPr>
        <w:t>國家科學及技術委員會（</w:t>
      </w:r>
      <w:r>
        <w:rPr>
          <w:rFonts w:ascii="微軟正黑體" w:eastAsia="微軟正黑體" w:hAnsi="微軟正黑體" w:cs="微軟正黑體"/>
          <w:sz w:val="22"/>
        </w:rPr>
        <w:t>2024</w:t>
      </w:r>
      <w:r>
        <w:rPr>
          <w:rFonts w:ascii="微軟正黑體" w:eastAsia="微軟正黑體" w:hAnsi="微軟正黑體" w:cs="微軟正黑體"/>
          <w:sz w:val="22"/>
        </w:rPr>
        <w:t>）。《生成式</w:t>
      </w:r>
      <w:r>
        <w:rPr>
          <w:rFonts w:ascii="微軟正黑體" w:eastAsia="微軟正黑體" w:hAnsi="微軟正黑體" w:cs="微軟正黑體"/>
          <w:sz w:val="22"/>
        </w:rPr>
        <w:t>AI</w:t>
      </w:r>
      <w:r>
        <w:rPr>
          <w:rFonts w:ascii="微軟正黑體" w:eastAsia="微軟正黑體" w:hAnsi="微軟正黑體" w:cs="微軟正黑體"/>
          <w:sz w:val="22"/>
        </w:rPr>
        <w:t>參考指引》。</w:t>
      </w:r>
    </w:p>
    <w:p w:rsidR="00035E70" w:rsidRDefault="000B3CAA">
      <w:pPr>
        <w:spacing w:after="80" w:line="276" w:lineRule="auto"/>
        <w:ind w:left="420" w:hanging="420"/>
      </w:pPr>
      <w:r>
        <w:rPr>
          <w:rFonts w:ascii="微軟正黑體" w:eastAsia="微軟正黑體" w:hAnsi="微軟正黑體" w:cs="微軟正黑體"/>
          <w:sz w:val="22"/>
        </w:rPr>
        <w:t>黃心怡、曾冠球、廖洲棚、陳敦源（</w:t>
      </w:r>
      <w:r>
        <w:rPr>
          <w:rFonts w:ascii="微軟正黑體" w:eastAsia="微軟正黑體" w:hAnsi="微軟正黑體" w:cs="微軟正黑體"/>
          <w:sz w:val="22"/>
        </w:rPr>
        <w:t>2021</w:t>
      </w:r>
      <w:r>
        <w:rPr>
          <w:rFonts w:ascii="微軟正黑體" w:eastAsia="微軟正黑體" w:hAnsi="微軟正黑體" w:cs="微軟正黑體"/>
          <w:sz w:val="22"/>
        </w:rPr>
        <w:t>）。當人工智慧進入政府：公共行政理論對</w:t>
      </w:r>
      <w:r>
        <w:rPr>
          <w:rFonts w:ascii="微軟正黑體" w:eastAsia="微軟正黑體" w:hAnsi="微軟正黑體" w:cs="微軟正黑體"/>
          <w:sz w:val="22"/>
        </w:rPr>
        <w:t>AI</w:t>
      </w:r>
      <w:r>
        <w:rPr>
          <w:rFonts w:ascii="微軟正黑體" w:eastAsia="微軟正黑體" w:hAnsi="微軟正黑體" w:cs="微軟正黑體"/>
          <w:sz w:val="22"/>
        </w:rPr>
        <w:t>運用的反思。《文官制度》，</w:t>
      </w:r>
      <w:r>
        <w:rPr>
          <w:rFonts w:ascii="微軟正黑體" w:eastAsia="微軟正黑體" w:hAnsi="微軟正黑體" w:cs="微軟正黑體"/>
          <w:sz w:val="22"/>
        </w:rPr>
        <w:t>13</w:t>
      </w:r>
      <w:r>
        <w:rPr>
          <w:rFonts w:ascii="微軟正黑體" w:eastAsia="微軟正黑體" w:hAnsi="微軟正黑體" w:cs="微軟正黑體"/>
          <w:sz w:val="22"/>
        </w:rPr>
        <w:t>（</w:t>
      </w:r>
      <w:r>
        <w:rPr>
          <w:rFonts w:ascii="微軟正黑體" w:eastAsia="微軟正黑體" w:hAnsi="微軟正黑體" w:cs="微軟正黑體"/>
          <w:sz w:val="22"/>
        </w:rPr>
        <w:t>2</w:t>
      </w:r>
      <w:r>
        <w:rPr>
          <w:rFonts w:ascii="微軟正黑體" w:eastAsia="微軟正黑體" w:hAnsi="微軟正黑體" w:cs="微軟正黑體"/>
          <w:sz w:val="22"/>
        </w:rPr>
        <w:t>），</w:t>
      </w:r>
      <w:r>
        <w:rPr>
          <w:rFonts w:ascii="微軟正黑體" w:eastAsia="微軟正黑體" w:hAnsi="微軟正黑體" w:cs="微軟正黑體"/>
          <w:sz w:val="22"/>
        </w:rPr>
        <w:t>91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114</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黃心怡、陳敦源（</w:t>
      </w:r>
      <w:r>
        <w:rPr>
          <w:rFonts w:ascii="微軟正黑體" w:eastAsia="微軟正黑體" w:hAnsi="微軟正黑體" w:cs="微軟正黑體"/>
          <w:sz w:val="22"/>
        </w:rPr>
        <w:t>2023</w:t>
      </w:r>
      <w:r>
        <w:rPr>
          <w:rFonts w:ascii="微軟正黑體" w:eastAsia="微軟正黑體" w:hAnsi="微軟正黑體" w:cs="微軟正黑體"/>
          <w:sz w:val="22"/>
        </w:rPr>
        <w:t>）。人工智慧協作下的公共行政研究：對公部門組織議題的多層次反思。《政治科學論叢》，</w:t>
      </w:r>
      <w:r>
        <w:rPr>
          <w:rFonts w:ascii="微軟正黑體" w:eastAsia="微軟正黑體" w:hAnsi="微軟正黑體" w:cs="微軟正黑體"/>
          <w:sz w:val="22"/>
        </w:rPr>
        <w:t>96</w:t>
      </w:r>
      <w:r>
        <w:rPr>
          <w:rFonts w:ascii="微軟正黑體" w:eastAsia="微軟正黑體" w:hAnsi="微軟正黑體" w:cs="微軟正黑體"/>
          <w:sz w:val="22"/>
        </w:rPr>
        <w:t>，</w:t>
      </w:r>
      <w:r>
        <w:rPr>
          <w:rFonts w:ascii="微軟正黑體" w:eastAsia="微軟正黑體" w:hAnsi="微軟正黑體" w:cs="微軟正黑體"/>
          <w:sz w:val="22"/>
        </w:rPr>
        <w:t>139</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178</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李洛維、朱斌妤、曾憲</w:t>
      </w:r>
      <w:r>
        <w:rPr>
          <w:rFonts w:ascii="微軟正黑體" w:eastAsia="微軟正黑體" w:hAnsi="微軟正黑體" w:cs="微軟正黑體"/>
          <w:sz w:val="22"/>
        </w:rPr>
        <w:t>立（</w:t>
      </w:r>
      <w:r>
        <w:rPr>
          <w:rFonts w:ascii="微軟正黑體" w:eastAsia="微軟正黑體" w:hAnsi="微軟正黑體" w:cs="微軟正黑體"/>
          <w:sz w:val="22"/>
        </w:rPr>
        <w:t>2023</w:t>
      </w:r>
      <w:r>
        <w:rPr>
          <w:rFonts w:ascii="微軟正黑體" w:eastAsia="微軟正黑體" w:hAnsi="微軟正黑體" w:cs="微軟正黑體"/>
          <w:sz w:val="22"/>
        </w:rPr>
        <w:t>）。推動政府資料治理的關鍵因素：內部利害關係人角度的因果模型。《公共行政學報》，</w:t>
      </w:r>
      <w:r>
        <w:rPr>
          <w:rFonts w:ascii="微軟正黑體" w:eastAsia="微軟正黑體" w:hAnsi="微軟正黑體" w:cs="微軟正黑體"/>
          <w:sz w:val="22"/>
        </w:rPr>
        <w:t>64</w:t>
      </w:r>
      <w:r>
        <w:rPr>
          <w:rFonts w:ascii="微軟正黑體" w:eastAsia="微軟正黑體" w:hAnsi="微軟正黑體" w:cs="微軟正黑體"/>
          <w:sz w:val="22"/>
        </w:rPr>
        <w:t>，</w:t>
      </w:r>
      <w:r>
        <w:rPr>
          <w:rFonts w:ascii="微軟正黑體" w:eastAsia="微軟正黑體" w:hAnsi="微軟正黑體" w:cs="微軟正黑體"/>
          <w:sz w:val="22"/>
        </w:rPr>
        <w:t>35</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77</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李翠萍、張竹宜、李晨綾（</w:t>
      </w:r>
      <w:r>
        <w:rPr>
          <w:rFonts w:ascii="微軟正黑體" w:eastAsia="微軟正黑體" w:hAnsi="微軟正黑體" w:cs="微軟正黑體"/>
          <w:sz w:val="22"/>
        </w:rPr>
        <w:t>2022</w:t>
      </w:r>
      <w:r>
        <w:rPr>
          <w:rFonts w:ascii="微軟正黑體" w:eastAsia="微軟正黑體" w:hAnsi="微軟正黑體" w:cs="微軟正黑體"/>
          <w:sz w:val="22"/>
        </w:rPr>
        <w:t>）。人工智慧在公共政策領域應用的非意圖歧視：系統性文獻綜述。《公共行政學報》，</w:t>
      </w:r>
      <w:r>
        <w:rPr>
          <w:rFonts w:ascii="微軟正黑體" w:eastAsia="微軟正黑體" w:hAnsi="微軟正黑體" w:cs="微軟正黑體"/>
          <w:sz w:val="22"/>
        </w:rPr>
        <w:t>63</w:t>
      </w:r>
      <w:r>
        <w:rPr>
          <w:rFonts w:ascii="微軟正黑體" w:eastAsia="微軟正黑體" w:hAnsi="微軟正黑體" w:cs="微軟正黑體"/>
          <w:sz w:val="22"/>
        </w:rPr>
        <w:t>，</w:t>
      </w:r>
      <w:r>
        <w:rPr>
          <w:rFonts w:ascii="微軟正黑體" w:eastAsia="微軟正黑體" w:hAnsi="微軟正黑體" w:cs="微軟正黑體"/>
          <w:sz w:val="22"/>
        </w:rPr>
        <w:t>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49</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廖興中（</w:t>
      </w:r>
      <w:r>
        <w:rPr>
          <w:rFonts w:ascii="微軟正黑體" w:eastAsia="微軟正黑體" w:hAnsi="微軟正黑體" w:cs="微軟正黑體"/>
          <w:sz w:val="22"/>
        </w:rPr>
        <w:t>2024</w:t>
      </w:r>
      <w:r>
        <w:rPr>
          <w:rFonts w:ascii="微軟正黑體" w:eastAsia="微軟正黑體" w:hAnsi="微軟正黑體" w:cs="微軟正黑體"/>
          <w:sz w:val="22"/>
        </w:rPr>
        <w:t>）。人工智慧在公共行政的機會與挑戰。《文官制度》，</w:t>
      </w:r>
      <w:r>
        <w:rPr>
          <w:rFonts w:ascii="微軟正黑體" w:eastAsia="微軟正黑體" w:hAnsi="微軟正黑體" w:cs="微軟正黑體"/>
          <w:sz w:val="22"/>
        </w:rPr>
        <w:t>16</w:t>
      </w:r>
      <w:r>
        <w:rPr>
          <w:rFonts w:ascii="微軟正黑體" w:eastAsia="微軟正黑體" w:hAnsi="微軟正黑體" w:cs="微軟正黑體"/>
          <w:sz w:val="22"/>
        </w:rPr>
        <w:t>（</w:t>
      </w:r>
      <w:r>
        <w:rPr>
          <w:rFonts w:ascii="微軟正黑體" w:eastAsia="微軟正黑體" w:hAnsi="微軟正黑體" w:cs="微軟正黑體"/>
          <w:sz w:val="22"/>
        </w:rPr>
        <w:t>2</w:t>
      </w:r>
      <w:r>
        <w:rPr>
          <w:rFonts w:ascii="微軟正黑體" w:eastAsia="微軟正黑體" w:hAnsi="微軟正黑體" w:cs="微軟正黑體"/>
          <w:sz w:val="22"/>
        </w:rPr>
        <w:t>），</w:t>
      </w:r>
      <w:r>
        <w:rPr>
          <w:rFonts w:ascii="微軟正黑體" w:eastAsia="微軟正黑體" w:hAnsi="微軟正黑體" w:cs="微軟正黑體"/>
          <w:sz w:val="22"/>
        </w:rPr>
        <w:t>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19</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行政院（</w:t>
      </w:r>
      <w:r>
        <w:rPr>
          <w:rFonts w:ascii="微軟正黑體" w:eastAsia="微軟正黑體" w:hAnsi="微軟正黑體" w:cs="微軟正黑體"/>
          <w:sz w:val="22"/>
        </w:rPr>
        <w:t>2023</w:t>
      </w:r>
      <w:r>
        <w:rPr>
          <w:rFonts w:ascii="微軟正黑體" w:eastAsia="微軟正黑體" w:hAnsi="微軟正黑體" w:cs="微軟正黑體"/>
          <w:sz w:val="22"/>
        </w:rPr>
        <w:t>）。《行政院及所屬機關（構）使用生成式</w:t>
      </w:r>
      <w:r>
        <w:rPr>
          <w:rFonts w:ascii="微軟正黑體" w:eastAsia="微軟正黑體" w:hAnsi="微軟正黑體" w:cs="微軟正黑體"/>
          <w:sz w:val="22"/>
        </w:rPr>
        <w:t>AI</w:t>
      </w:r>
      <w:r>
        <w:rPr>
          <w:rFonts w:ascii="微軟正黑體" w:eastAsia="微軟正黑體" w:hAnsi="微軟正黑體" w:cs="微軟正黑體"/>
          <w:sz w:val="22"/>
        </w:rPr>
        <w:t>參考指引》。</w:t>
      </w:r>
    </w:p>
    <w:p w:rsidR="00035E70" w:rsidRDefault="000B3CAA">
      <w:pPr>
        <w:spacing w:after="80" w:line="276" w:lineRule="auto"/>
        <w:ind w:left="420" w:hanging="420"/>
      </w:pPr>
      <w:r>
        <w:rPr>
          <w:rFonts w:ascii="微軟正黑體" w:eastAsia="微軟正黑體" w:hAnsi="微軟正黑體" w:cs="微軟正黑體"/>
          <w:sz w:val="22"/>
        </w:rPr>
        <w:t>蕭乃沂、朱斌妤（</w:t>
      </w:r>
      <w:r>
        <w:rPr>
          <w:rFonts w:ascii="微軟正黑體" w:eastAsia="微軟正黑體" w:hAnsi="微軟正黑體" w:cs="微軟正黑體"/>
          <w:sz w:val="22"/>
        </w:rPr>
        <w:t>2022</w:t>
      </w:r>
      <w:r>
        <w:rPr>
          <w:rFonts w:ascii="微軟正黑體" w:eastAsia="微軟正黑體" w:hAnsi="微軟正黑體" w:cs="微軟正黑體"/>
          <w:sz w:val="22"/>
        </w:rPr>
        <w:t>）。數位發展與文官制度調適：以資料治理為例。《文官制度》，</w:t>
      </w:r>
      <w:r>
        <w:rPr>
          <w:rFonts w:ascii="微軟正黑體" w:eastAsia="微軟正黑體" w:hAnsi="微軟正黑體" w:cs="微軟正黑體"/>
          <w:sz w:val="22"/>
        </w:rPr>
        <w:t>14</w:t>
      </w:r>
      <w:r>
        <w:rPr>
          <w:rFonts w:ascii="微軟正黑體" w:eastAsia="微軟正黑體" w:hAnsi="微軟正黑體" w:cs="微軟正黑體"/>
          <w:sz w:val="22"/>
        </w:rPr>
        <w:t>（</w:t>
      </w:r>
      <w:r>
        <w:rPr>
          <w:rFonts w:ascii="微軟正黑體" w:eastAsia="微軟正黑體" w:hAnsi="微軟正黑體" w:cs="微軟正黑體"/>
          <w:sz w:val="22"/>
        </w:rPr>
        <w:t>1</w:t>
      </w:r>
      <w:r>
        <w:rPr>
          <w:rFonts w:ascii="微軟正黑體" w:eastAsia="微軟正黑體" w:hAnsi="微軟正黑體" w:cs="微軟正黑體"/>
          <w:sz w:val="22"/>
        </w:rPr>
        <w:t>），</w:t>
      </w:r>
      <w:r>
        <w:rPr>
          <w:rFonts w:ascii="微軟正黑體" w:eastAsia="微軟正黑體" w:hAnsi="微軟正黑體" w:cs="微軟正黑體"/>
          <w:sz w:val="22"/>
        </w:rPr>
        <w:t>1</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24</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張濱</w:t>
      </w:r>
      <w:r>
        <w:rPr>
          <w:rFonts w:ascii="微軟正黑體" w:eastAsia="微軟正黑體" w:hAnsi="微軟正黑體" w:cs="微軟正黑體"/>
          <w:sz w:val="22"/>
        </w:rPr>
        <w:t>璿、陳敦源、廖洲棚、黃心怡、王千文、張</w:t>
      </w:r>
      <w:proofErr w:type="gramStart"/>
      <w:r>
        <w:rPr>
          <w:rFonts w:ascii="微軟正黑體" w:eastAsia="微軟正黑體" w:hAnsi="微軟正黑體" w:cs="微軟正黑體"/>
          <w:sz w:val="22"/>
        </w:rPr>
        <w:t>瀠</w:t>
      </w:r>
      <w:proofErr w:type="gramEnd"/>
      <w:r>
        <w:rPr>
          <w:rFonts w:ascii="微軟正黑體" w:eastAsia="微軟正黑體" w:hAnsi="微軟正黑體" w:cs="微軟正黑體"/>
          <w:sz w:val="22"/>
        </w:rPr>
        <w:t>心、陳郁函（</w:t>
      </w:r>
      <w:r>
        <w:rPr>
          <w:rFonts w:ascii="微軟正黑體" w:eastAsia="微軟正黑體" w:hAnsi="微軟正黑體" w:cs="微軟正黑體"/>
          <w:sz w:val="22"/>
        </w:rPr>
        <w:t>2024</w:t>
      </w:r>
      <w:r>
        <w:rPr>
          <w:rFonts w:ascii="微軟正黑體" w:eastAsia="微軟正黑體" w:hAnsi="微軟正黑體" w:cs="微軟正黑體"/>
          <w:sz w:val="22"/>
        </w:rPr>
        <w:t>）。人工智慧風潮下公共服務制度設計策略與法規調適作為之研究。《行政暨政策學報》，</w:t>
      </w:r>
      <w:r>
        <w:rPr>
          <w:rFonts w:ascii="微軟正黑體" w:eastAsia="微軟正黑體" w:hAnsi="微軟正黑體" w:cs="微軟正黑體"/>
          <w:sz w:val="22"/>
        </w:rPr>
        <w:t>78</w:t>
      </w:r>
      <w:r>
        <w:rPr>
          <w:rFonts w:ascii="微軟正黑體" w:eastAsia="微軟正黑體" w:hAnsi="微軟正黑體" w:cs="微軟正黑體"/>
          <w:sz w:val="22"/>
        </w:rPr>
        <w:t>，</w:t>
      </w:r>
      <w:r>
        <w:rPr>
          <w:rFonts w:ascii="微軟正黑體" w:eastAsia="微軟正黑體" w:hAnsi="微軟正黑體" w:cs="微軟正黑體"/>
          <w:sz w:val="22"/>
        </w:rPr>
        <w:t>95</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126</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曾憲立、廖洲棚、李天申（</w:t>
      </w:r>
      <w:r>
        <w:rPr>
          <w:rFonts w:ascii="微軟正黑體" w:eastAsia="微軟正黑體" w:hAnsi="微軟正黑體" w:cs="微軟正黑體"/>
          <w:sz w:val="22"/>
        </w:rPr>
        <w:t>2022</w:t>
      </w:r>
      <w:r>
        <w:rPr>
          <w:rFonts w:ascii="微軟正黑體" w:eastAsia="微軟正黑體" w:hAnsi="微軟正黑體" w:cs="微軟正黑體"/>
          <w:sz w:val="22"/>
        </w:rPr>
        <w:t>）。政府資料公私協作模式與應用案例：協作機制的</w:t>
      </w:r>
      <w:proofErr w:type="gramStart"/>
      <w:r>
        <w:rPr>
          <w:rFonts w:ascii="微軟正黑體" w:eastAsia="微軟正黑體" w:hAnsi="微軟正黑體" w:cs="微軟正黑體"/>
          <w:sz w:val="22"/>
        </w:rPr>
        <w:t>研</w:t>
      </w:r>
      <w:proofErr w:type="gramEnd"/>
      <w:r>
        <w:rPr>
          <w:rFonts w:ascii="微軟正黑體" w:eastAsia="微軟正黑體" w:hAnsi="微軟正黑體" w:cs="微軟正黑體"/>
          <w:sz w:val="22"/>
        </w:rPr>
        <w:t>析。《公共行政學報》，</w:t>
      </w:r>
      <w:r>
        <w:rPr>
          <w:rFonts w:ascii="微軟正黑體" w:eastAsia="微軟正黑體" w:hAnsi="微軟正黑體" w:cs="微軟正黑體"/>
          <w:sz w:val="22"/>
        </w:rPr>
        <w:t>62</w:t>
      </w:r>
      <w:r>
        <w:rPr>
          <w:rFonts w:ascii="微軟正黑體" w:eastAsia="微軟正黑體" w:hAnsi="微軟正黑體" w:cs="微軟正黑體"/>
          <w:sz w:val="22"/>
        </w:rPr>
        <w:t>，</w:t>
      </w:r>
      <w:r>
        <w:rPr>
          <w:rFonts w:ascii="微軟正黑體" w:eastAsia="微軟正黑體" w:hAnsi="微軟正黑體" w:cs="微軟正黑體"/>
          <w:sz w:val="22"/>
        </w:rPr>
        <w:t>43</w:t>
      </w:r>
      <w:proofErr w:type="gramStart"/>
      <w:r>
        <w:rPr>
          <w:rFonts w:ascii="微軟正黑體" w:eastAsia="微軟正黑體" w:hAnsi="微軟正黑體" w:cs="微軟正黑體"/>
          <w:sz w:val="22"/>
        </w:rPr>
        <w:t>–</w:t>
      </w:r>
      <w:proofErr w:type="gramEnd"/>
      <w:r>
        <w:rPr>
          <w:rFonts w:ascii="微軟正黑體" w:eastAsia="微軟正黑體" w:hAnsi="微軟正黑體" w:cs="微軟正黑體"/>
          <w:sz w:val="22"/>
        </w:rPr>
        <w:t>77</w:t>
      </w:r>
      <w:r>
        <w:rPr>
          <w:rFonts w:ascii="微軟正黑體" w:eastAsia="微軟正黑體" w:hAnsi="微軟正黑體" w:cs="微軟正黑體"/>
          <w:sz w:val="22"/>
        </w:rPr>
        <w:t>。</w:t>
      </w:r>
    </w:p>
    <w:p w:rsidR="00035E70" w:rsidRDefault="000B3CAA">
      <w:pPr>
        <w:pStyle w:val="2"/>
        <w:spacing w:before="260" w:after="140"/>
      </w:pPr>
      <w:r>
        <w:rPr>
          <w:rFonts w:ascii="微軟正黑體" w:eastAsia="微軟正黑體" w:hAnsi="微軟正黑體" w:cs="微軟正黑體"/>
          <w:b/>
          <w:sz w:val="24"/>
        </w:rPr>
        <w:t>英文文獻</w:t>
      </w:r>
    </w:p>
    <w:p w:rsidR="00035E70" w:rsidRDefault="000B3CAA">
      <w:pPr>
        <w:spacing w:after="80" w:line="276" w:lineRule="auto"/>
        <w:ind w:left="420" w:hanging="420"/>
      </w:pPr>
      <w:proofErr w:type="spellStart"/>
      <w:r>
        <w:rPr>
          <w:rFonts w:ascii="微軟正黑體" w:eastAsia="微軟正黑體" w:hAnsi="微軟正黑體" w:cs="微軟正黑體"/>
          <w:sz w:val="22"/>
        </w:rPr>
        <w:t>Alkhatib</w:t>
      </w:r>
      <w:proofErr w:type="spellEnd"/>
      <w:r>
        <w:rPr>
          <w:rFonts w:ascii="微軟正黑體" w:eastAsia="微軟正黑體" w:hAnsi="微軟正黑體" w:cs="微軟正黑體"/>
          <w:sz w:val="22"/>
        </w:rPr>
        <w:t xml:space="preserve">, A., &amp; Bernstein, M. (2019). Street-level algorithms: A theory at the gaps </w:t>
      </w:r>
      <w:r>
        <w:rPr>
          <w:rFonts w:ascii="微軟正黑體" w:eastAsia="微軟正黑體" w:hAnsi="微軟正黑體" w:cs="微軟正黑體"/>
          <w:sz w:val="22"/>
        </w:rPr>
        <w:lastRenderedPageBreak/>
        <w:t>between policy and decisi</w:t>
      </w:r>
      <w:r>
        <w:rPr>
          <w:rFonts w:ascii="微軟正黑體" w:eastAsia="微軟正黑體" w:hAnsi="微軟正黑體" w:cs="微軟正黑體"/>
          <w:sz w:val="22"/>
        </w:rPr>
        <w:t>ons. Proceedings of CHI 2019.</w:t>
      </w:r>
    </w:p>
    <w:p w:rsidR="00035E70" w:rsidRDefault="000B3CAA">
      <w:pPr>
        <w:spacing w:after="80" w:line="276" w:lineRule="auto"/>
        <w:ind w:left="420" w:hanging="420"/>
      </w:pPr>
      <w:r>
        <w:rPr>
          <w:rFonts w:ascii="微軟正黑體" w:eastAsia="微軟正黑體" w:hAnsi="微軟正黑體" w:cs="微軟正黑體"/>
          <w:sz w:val="22"/>
        </w:rPr>
        <w:t>Allegheny County Department of Human Services. (2017). Developing predictive risk models to support child maltreatment hotline screening decisions.</w:t>
      </w:r>
    </w:p>
    <w:p w:rsidR="00035E70" w:rsidRDefault="000B3CAA">
      <w:pPr>
        <w:spacing w:after="80" w:line="276" w:lineRule="auto"/>
        <w:ind w:left="420" w:hanging="420"/>
      </w:pPr>
      <w:r>
        <w:rPr>
          <w:rFonts w:ascii="微軟正黑體" w:eastAsia="微軟正黑體" w:hAnsi="微軟正黑體" w:cs="微軟正黑體"/>
          <w:sz w:val="22"/>
        </w:rPr>
        <w:t>Allegheny County Department of Human Services. (2018). Allegheny Family Screen</w:t>
      </w:r>
      <w:r>
        <w:rPr>
          <w:rFonts w:ascii="微軟正黑體" w:eastAsia="微軟正黑體" w:hAnsi="微軟正黑體" w:cs="微軟正黑體"/>
          <w:sz w:val="22"/>
        </w:rPr>
        <w:t>ing Tool: Frequently asked questions.</w:t>
      </w:r>
    </w:p>
    <w:p w:rsidR="00035E70" w:rsidRDefault="000B3CAA">
      <w:pPr>
        <w:spacing w:after="80" w:line="276" w:lineRule="auto"/>
        <w:ind w:left="420" w:hanging="420"/>
      </w:pPr>
      <w:proofErr w:type="spellStart"/>
      <w:r>
        <w:rPr>
          <w:rFonts w:ascii="微軟正黑體" w:eastAsia="微軟正黑體" w:hAnsi="微軟正黑體" w:cs="微軟正黑體"/>
          <w:sz w:val="22"/>
        </w:rPr>
        <w:t>Alnemr</w:t>
      </w:r>
      <w:proofErr w:type="spellEnd"/>
      <w:r>
        <w:rPr>
          <w:rFonts w:ascii="微軟正黑體" w:eastAsia="微軟正黑體" w:hAnsi="微軟正黑體" w:cs="微軟正黑體"/>
          <w:sz w:val="22"/>
        </w:rPr>
        <w:t xml:space="preserve">, N. (2024). Democratic self-government and the </w:t>
      </w:r>
      <w:proofErr w:type="spellStart"/>
      <w:r>
        <w:rPr>
          <w:rFonts w:ascii="微軟正黑體" w:eastAsia="微軟正黑體" w:hAnsi="微軟正黑體" w:cs="微軟正黑體"/>
          <w:sz w:val="22"/>
        </w:rPr>
        <w:t>algocratic</w:t>
      </w:r>
      <w:proofErr w:type="spellEnd"/>
      <w:r>
        <w:rPr>
          <w:rFonts w:ascii="微軟正黑體" w:eastAsia="微軟正黑體" w:hAnsi="微軟正黑體" w:cs="微軟正黑體"/>
          <w:sz w:val="22"/>
        </w:rPr>
        <w:t xml:space="preserve"> shortcut: The democratic harms in algorithmic governance of society. Contemporary Political Theory, 23(2), 205–227.</w:t>
      </w:r>
    </w:p>
    <w:p w:rsidR="00035E70" w:rsidRDefault="000B3CAA">
      <w:pPr>
        <w:spacing w:after="80" w:line="276" w:lineRule="auto"/>
        <w:ind w:left="420" w:hanging="420"/>
      </w:pPr>
      <w:r>
        <w:rPr>
          <w:rFonts w:ascii="微軟正黑體" w:eastAsia="微軟正黑體" w:hAnsi="微軟正黑體" w:cs="微軟正黑體"/>
          <w:sz w:val="22"/>
        </w:rPr>
        <w:t xml:space="preserve">Beetham, D. (1991). The legitimation </w:t>
      </w:r>
      <w:r>
        <w:rPr>
          <w:rFonts w:ascii="微軟正黑體" w:eastAsia="微軟正黑體" w:hAnsi="微軟正黑體" w:cs="微軟正黑體"/>
          <w:sz w:val="22"/>
        </w:rPr>
        <w:t>of power. Macmillan.</w:t>
      </w:r>
    </w:p>
    <w:p w:rsidR="00035E70" w:rsidRDefault="000B3CAA">
      <w:pPr>
        <w:spacing w:after="80" w:line="276" w:lineRule="auto"/>
        <w:ind w:left="420" w:hanging="420"/>
      </w:pPr>
      <w:proofErr w:type="spellStart"/>
      <w:r>
        <w:rPr>
          <w:rFonts w:ascii="微軟正黑體" w:eastAsia="微軟正黑體" w:hAnsi="微軟正黑體" w:cs="微軟正黑體"/>
          <w:sz w:val="22"/>
        </w:rPr>
        <w:t>Bovens</w:t>
      </w:r>
      <w:proofErr w:type="spellEnd"/>
      <w:r>
        <w:rPr>
          <w:rFonts w:ascii="微軟正黑體" w:eastAsia="微軟正黑體" w:hAnsi="微軟正黑體" w:cs="微軟正黑體"/>
          <w:sz w:val="22"/>
        </w:rPr>
        <w:t xml:space="preserve">, M. (2007). </w:t>
      </w:r>
      <w:proofErr w:type="spellStart"/>
      <w:r>
        <w:rPr>
          <w:rFonts w:ascii="微軟正黑體" w:eastAsia="微軟正黑體" w:hAnsi="微軟正黑體" w:cs="微軟正黑體"/>
          <w:sz w:val="22"/>
        </w:rPr>
        <w:t>Analysing</w:t>
      </w:r>
      <w:proofErr w:type="spellEnd"/>
      <w:r>
        <w:rPr>
          <w:rFonts w:ascii="微軟正黑體" w:eastAsia="微軟正黑體" w:hAnsi="微軟正黑體" w:cs="微軟正黑體"/>
          <w:sz w:val="22"/>
        </w:rPr>
        <w:t xml:space="preserve"> and assessing accountability: A conceptual framework. European Law Journal, 13(4), 447–468.</w:t>
      </w:r>
    </w:p>
    <w:p w:rsidR="00035E70" w:rsidRDefault="000B3CAA">
      <w:pPr>
        <w:spacing w:after="80" w:line="276" w:lineRule="auto"/>
        <w:ind w:left="420" w:hanging="420"/>
      </w:pPr>
      <w:proofErr w:type="spellStart"/>
      <w:r>
        <w:rPr>
          <w:rFonts w:ascii="微軟正黑體" w:eastAsia="微軟正黑體" w:hAnsi="微軟正黑體" w:cs="微軟正黑體"/>
          <w:sz w:val="22"/>
        </w:rPr>
        <w:t>Bovens</w:t>
      </w:r>
      <w:proofErr w:type="spellEnd"/>
      <w:r>
        <w:rPr>
          <w:rFonts w:ascii="微軟正黑體" w:eastAsia="微軟正黑體" w:hAnsi="微軟正黑體" w:cs="微軟正黑體"/>
          <w:sz w:val="22"/>
        </w:rPr>
        <w:t xml:space="preserve">, M., &amp; </w:t>
      </w:r>
      <w:proofErr w:type="spellStart"/>
      <w:r>
        <w:rPr>
          <w:rFonts w:ascii="微軟正黑體" w:eastAsia="微軟正黑體" w:hAnsi="微軟正黑體" w:cs="微軟正黑體"/>
          <w:sz w:val="22"/>
        </w:rPr>
        <w:t>Zouridis</w:t>
      </w:r>
      <w:proofErr w:type="spellEnd"/>
      <w:r>
        <w:rPr>
          <w:rFonts w:ascii="微軟正黑體" w:eastAsia="微軟正黑體" w:hAnsi="微軟正黑體" w:cs="微軟正黑體"/>
          <w:sz w:val="22"/>
        </w:rPr>
        <w:t xml:space="preserve">, S. (2002). From street-level to system-level bureaucracies. Public Administration Review, </w:t>
      </w:r>
      <w:r>
        <w:rPr>
          <w:rFonts w:ascii="微軟正黑體" w:eastAsia="微軟正黑體" w:hAnsi="微軟正黑體" w:cs="微軟正黑體"/>
          <w:sz w:val="22"/>
        </w:rPr>
        <w:t>62(2), 174–184.</w:t>
      </w:r>
    </w:p>
    <w:p w:rsidR="00035E70" w:rsidRDefault="000B3CAA">
      <w:pPr>
        <w:spacing w:after="80" w:line="276" w:lineRule="auto"/>
        <w:ind w:left="420" w:hanging="420"/>
      </w:pPr>
      <w:r>
        <w:rPr>
          <w:rFonts w:ascii="微軟正黑體" w:eastAsia="微軟正黑體" w:hAnsi="微軟正黑體" w:cs="微軟正黑體"/>
          <w:sz w:val="22"/>
        </w:rPr>
        <w:t>Bullock, J. B. (2019). Artificial intelligence, discretion, and bureaucracy. The American Review of Public Administration, 49(7), 751–761.</w:t>
      </w:r>
    </w:p>
    <w:p w:rsidR="00035E70" w:rsidRDefault="000B3CAA">
      <w:pPr>
        <w:spacing w:after="80" w:line="276" w:lineRule="auto"/>
        <w:ind w:left="420" w:hanging="420"/>
      </w:pPr>
      <w:proofErr w:type="spellStart"/>
      <w:r>
        <w:rPr>
          <w:rFonts w:ascii="微軟正黑體" w:eastAsia="微軟正黑體" w:hAnsi="微軟正黑體" w:cs="微軟正黑體"/>
          <w:sz w:val="22"/>
        </w:rPr>
        <w:t>Busuioc</w:t>
      </w:r>
      <w:proofErr w:type="spellEnd"/>
      <w:r>
        <w:rPr>
          <w:rFonts w:ascii="微軟正黑體" w:eastAsia="微軟正黑體" w:hAnsi="微軟正黑體" w:cs="微軟正黑體"/>
          <w:sz w:val="22"/>
        </w:rPr>
        <w:t>, M. (2021). Accountable artificial intelligence: Holding algorithms to account. Public Admini</w:t>
      </w:r>
      <w:r>
        <w:rPr>
          <w:rFonts w:ascii="微軟正黑體" w:eastAsia="微軟正黑體" w:hAnsi="微軟正黑體" w:cs="微軟正黑體"/>
          <w:sz w:val="22"/>
        </w:rPr>
        <w:t>stration Review, 81(5), 825–836.</w:t>
      </w:r>
    </w:p>
    <w:p w:rsidR="00035E70" w:rsidRDefault="000B3CAA">
      <w:pPr>
        <w:spacing w:after="80" w:line="276" w:lineRule="auto"/>
        <w:ind w:left="420" w:hanging="420"/>
      </w:pPr>
      <w:r>
        <w:rPr>
          <w:rFonts w:ascii="微軟正黑體" w:eastAsia="微軟正黑體" w:hAnsi="微軟正黑體" w:cs="微軟正黑體"/>
          <w:sz w:val="22"/>
        </w:rPr>
        <w:t>Cleveland, H. (1985). The twilight of hierarchy: Speculations on the global information society. Public Administration Review, 45(1), 185–195.</w:t>
      </w:r>
    </w:p>
    <w:p w:rsidR="00035E70" w:rsidRDefault="000B3CAA">
      <w:pPr>
        <w:spacing w:after="80" w:line="276" w:lineRule="auto"/>
        <w:ind w:left="420" w:hanging="420"/>
      </w:pPr>
      <w:r>
        <w:rPr>
          <w:rFonts w:ascii="微軟正黑體" w:eastAsia="微軟正黑體" w:hAnsi="微軟正黑體" w:cs="微軟正黑體"/>
          <w:sz w:val="22"/>
        </w:rPr>
        <w:t>Cobbe, J., Veale, M., &amp; Singh, J. (2023). Understanding accountability in algori</w:t>
      </w:r>
      <w:r>
        <w:rPr>
          <w:rFonts w:ascii="微軟正黑體" w:eastAsia="微軟正黑體" w:hAnsi="微軟正黑體" w:cs="微軟正黑體"/>
          <w:sz w:val="22"/>
        </w:rPr>
        <w:t>thmic supply chains. Proceedings of the 2023 ACM Conference on Fairness, Accountability, and Transparency, 1186–1197.</w:t>
      </w:r>
    </w:p>
    <w:p w:rsidR="00035E70" w:rsidRDefault="000B3CAA">
      <w:pPr>
        <w:spacing w:after="80" w:line="276" w:lineRule="auto"/>
        <w:ind w:left="420" w:hanging="420"/>
      </w:pPr>
      <w:r>
        <w:rPr>
          <w:rFonts w:ascii="微軟正黑體" w:eastAsia="微軟正黑體" w:hAnsi="微軟正黑體" w:cs="微軟正黑體"/>
          <w:sz w:val="22"/>
        </w:rPr>
        <w:t xml:space="preserve">Danaher, J. (2016). The threat of </w:t>
      </w:r>
      <w:proofErr w:type="spellStart"/>
      <w:r>
        <w:rPr>
          <w:rFonts w:ascii="微軟正黑體" w:eastAsia="微軟正黑體" w:hAnsi="微軟正黑體" w:cs="微軟正黑體"/>
          <w:sz w:val="22"/>
        </w:rPr>
        <w:t>algocracy</w:t>
      </w:r>
      <w:proofErr w:type="spellEnd"/>
      <w:r>
        <w:rPr>
          <w:rFonts w:ascii="微軟正黑體" w:eastAsia="微軟正黑體" w:hAnsi="微軟正黑體" w:cs="微軟正黑體"/>
          <w:sz w:val="22"/>
        </w:rPr>
        <w:t>: Reality, resistance, and accommodation. Philosophy &amp; Technology, 29(3), 245–268.</w:t>
      </w:r>
    </w:p>
    <w:p w:rsidR="00035E70" w:rsidRDefault="000B3CAA">
      <w:pPr>
        <w:spacing w:after="80" w:line="276" w:lineRule="auto"/>
        <w:ind w:left="420" w:hanging="420"/>
      </w:pPr>
      <w:r>
        <w:rPr>
          <w:rFonts w:ascii="微軟正黑體" w:eastAsia="微軟正黑體" w:hAnsi="微軟正黑體" w:cs="微軟正黑體"/>
          <w:sz w:val="22"/>
        </w:rPr>
        <w:t xml:space="preserve">De Angelis, </w:t>
      </w:r>
      <w:r>
        <w:rPr>
          <w:rFonts w:ascii="微軟正黑體" w:eastAsia="微軟正黑體" w:hAnsi="微軟正黑體" w:cs="微軟正黑體"/>
          <w:sz w:val="22"/>
        </w:rPr>
        <w:t>C. F. (2026). The algorithmic cage: Artificial intelligence, modern rationalization, and the inheritors of Max Weber. International Journal of Social Science Research and Review, 9(5), 213–226.</w:t>
      </w:r>
    </w:p>
    <w:p w:rsidR="00035E70" w:rsidRDefault="000B3CAA">
      <w:pPr>
        <w:spacing w:after="80" w:line="276" w:lineRule="auto"/>
        <w:ind w:left="420" w:hanging="420"/>
      </w:pPr>
      <w:proofErr w:type="spellStart"/>
      <w:r>
        <w:rPr>
          <w:rFonts w:ascii="微軟正黑體" w:eastAsia="微軟正黑體" w:hAnsi="微軟正黑體" w:cs="微軟正黑體"/>
          <w:sz w:val="22"/>
        </w:rPr>
        <w:t>D'Ignazio</w:t>
      </w:r>
      <w:proofErr w:type="spellEnd"/>
      <w:r>
        <w:rPr>
          <w:rFonts w:ascii="微軟正黑體" w:eastAsia="微軟正黑體" w:hAnsi="微軟正黑體" w:cs="微軟正黑體"/>
          <w:sz w:val="22"/>
        </w:rPr>
        <w:t>, C., &amp; Klein, L. F. (2020). Data feminism. MIT Press</w:t>
      </w:r>
      <w:r>
        <w:rPr>
          <w:rFonts w:ascii="微軟正黑體" w:eastAsia="微軟正黑體" w:hAnsi="微軟正黑體" w:cs="微軟正黑體"/>
          <w:sz w:val="22"/>
        </w:rPr>
        <w:t>.</w:t>
      </w:r>
    </w:p>
    <w:p w:rsidR="00035E70" w:rsidRDefault="000B3CAA">
      <w:pPr>
        <w:spacing w:after="80" w:line="276" w:lineRule="auto"/>
        <w:ind w:left="420" w:hanging="420"/>
      </w:pPr>
      <w:r>
        <w:rPr>
          <w:rFonts w:ascii="微軟正黑體" w:eastAsia="微軟正黑體" w:hAnsi="微軟正黑體" w:cs="微軟正黑體"/>
          <w:sz w:val="22"/>
        </w:rPr>
        <w:t xml:space="preserve">Diamantopoulos, A., &amp; </w:t>
      </w:r>
      <w:proofErr w:type="spellStart"/>
      <w:r>
        <w:rPr>
          <w:rFonts w:ascii="微軟正黑體" w:eastAsia="微軟正黑體" w:hAnsi="微軟正黑體" w:cs="微軟正黑體"/>
          <w:sz w:val="22"/>
        </w:rPr>
        <w:t>Winklhofer</w:t>
      </w:r>
      <w:proofErr w:type="spellEnd"/>
      <w:r>
        <w:rPr>
          <w:rFonts w:ascii="微軟正黑體" w:eastAsia="微軟正黑體" w:hAnsi="微軟正黑體" w:cs="微軟正黑體"/>
          <w:sz w:val="22"/>
        </w:rPr>
        <w:t>, H. M. (2001). Index construction with formative indicators. Journal of Marketing Research, 38(2), 269–277.</w:t>
      </w:r>
    </w:p>
    <w:p w:rsidR="00035E70" w:rsidRDefault="000B3CAA">
      <w:pPr>
        <w:spacing w:after="80" w:line="276" w:lineRule="auto"/>
        <w:ind w:left="420" w:hanging="420"/>
      </w:pPr>
      <w:r>
        <w:rPr>
          <w:rFonts w:ascii="微軟正黑體" w:eastAsia="微軟正黑體" w:hAnsi="微軟正黑體" w:cs="微軟正黑體"/>
          <w:sz w:val="22"/>
        </w:rPr>
        <w:lastRenderedPageBreak/>
        <w:t>District Court of The Hague. (2020). NCJM et al. and FNV v. The State of the Netherlands (</w:t>
      </w:r>
      <w:proofErr w:type="spellStart"/>
      <w:r>
        <w:rPr>
          <w:rFonts w:ascii="微軟正黑體" w:eastAsia="微軟正黑體" w:hAnsi="微軟正黑體" w:cs="微軟正黑體"/>
          <w:sz w:val="22"/>
        </w:rPr>
        <w:t>SyRI</w:t>
      </w:r>
      <w:proofErr w:type="spellEnd"/>
      <w:r>
        <w:rPr>
          <w:rFonts w:ascii="微軟正黑體" w:eastAsia="微軟正黑體" w:hAnsi="微軟正黑體" w:cs="微軟正黑體"/>
          <w:sz w:val="22"/>
        </w:rPr>
        <w:t xml:space="preserve">), </w:t>
      </w:r>
      <w:r>
        <w:rPr>
          <w:rFonts w:ascii="微軟正黑體" w:eastAsia="微軟正黑體" w:hAnsi="微軟正黑體" w:cs="微軟正黑體"/>
          <w:sz w:val="22"/>
        </w:rPr>
        <w:t>ECLI:</w:t>
      </w:r>
      <w:proofErr w:type="gramStart"/>
      <w:r>
        <w:rPr>
          <w:rFonts w:ascii="微軟正黑體" w:eastAsia="微軟正黑體" w:hAnsi="微軟正黑體" w:cs="微軟正黑體"/>
          <w:sz w:val="22"/>
        </w:rPr>
        <w:t>NL:RBDHA</w:t>
      </w:r>
      <w:proofErr w:type="gramEnd"/>
      <w:r>
        <w:rPr>
          <w:rFonts w:ascii="微軟正黑體" w:eastAsia="微軟正黑體" w:hAnsi="微軟正黑體" w:cs="微軟正黑體"/>
          <w:sz w:val="22"/>
        </w:rPr>
        <w:t>:2020:865.</w:t>
      </w:r>
    </w:p>
    <w:p w:rsidR="00035E70" w:rsidRDefault="000B3CAA">
      <w:pPr>
        <w:spacing w:after="80" w:line="276" w:lineRule="auto"/>
        <w:ind w:left="420" w:hanging="420"/>
      </w:pPr>
      <w:r>
        <w:rPr>
          <w:rFonts w:ascii="微軟正黑體" w:eastAsia="微軟正黑體" w:hAnsi="微軟正黑體" w:cs="微軟正黑體"/>
          <w:sz w:val="22"/>
        </w:rPr>
        <w:t>Edwards, J. R. (2011). The fallacy of formative measurement. Organizational Research Methods, 14(2), 370–388.</w:t>
      </w:r>
    </w:p>
    <w:p w:rsidR="00035E70" w:rsidRDefault="000B3CAA">
      <w:pPr>
        <w:spacing w:after="80" w:line="276" w:lineRule="auto"/>
        <w:ind w:left="420" w:hanging="420"/>
      </w:pPr>
      <w:proofErr w:type="spellStart"/>
      <w:r>
        <w:rPr>
          <w:rFonts w:ascii="微軟正黑體" w:eastAsia="微軟正黑體" w:hAnsi="微軟正黑體" w:cs="微軟正黑體"/>
          <w:sz w:val="22"/>
        </w:rPr>
        <w:t>Entman</w:t>
      </w:r>
      <w:proofErr w:type="spellEnd"/>
      <w:r>
        <w:rPr>
          <w:rFonts w:ascii="微軟正黑體" w:eastAsia="微軟正黑體" w:hAnsi="微軟正黑體" w:cs="微軟正黑體"/>
          <w:sz w:val="22"/>
        </w:rPr>
        <w:t>, R. M. (1993). Framing: Toward clarification of a fractured paradigm. Journal of Communication, 43(4), 51–58.</w:t>
      </w:r>
    </w:p>
    <w:p w:rsidR="00035E70" w:rsidRDefault="000B3CAA">
      <w:pPr>
        <w:spacing w:after="80" w:line="276" w:lineRule="auto"/>
        <w:ind w:left="420" w:hanging="420"/>
      </w:pPr>
      <w:r>
        <w:rPr>
          <w:rFonts w:ascii="微軟正黑體" w:eastAsia="微軟正黑體" w:hAnsi="微軟正黑體" w:cs="微軟正黑體"/>
          <w:sz w:val="22"/>
        </w:rPr>
        <w:t>Europ</w:t>
      </w:r>
      <w:r>
        <w:rPr>
          <w:rFonts w:ascii="微軟正黑體" w:eastAsia="微軟正黑體" w:hAnsi="微軟正黑體" w:cs="微軟正黑體"/>
          <w:sz w:val="22"/>
        </w:rPr>
        <w:t>ean Union. (2024). Regulation (EU) 2024/1689: Artificial Intelligence Act. Official Journal of the European Union.</w:t>
      </w:r>
    </w:p>
    <w:p w:rsidR="00035E70" w:rsidRDefault="000B3CAA">
      <w:pPr>
        <w:spacing w:after="80" w:line="276" w:lineRule="auto"/>
        <w:ind w:left="420" w:hanging="420"/>
      </w:pPr>
      <w:r>
        <w:rPr>
          <w:rFonts w:ascii="微軟正黑體" w:eastAsia="微軟正黑體" w:hAnsi="微軟正黑體" w:cs="微軟正黑體"/>
          <w:sz w:val="22"/>
        </w:rPr>
        <w:t>Fricker, M. (2007). Epistemic injustice: Power and the ethics of knowing. Oxford University Press.</w:t>
      </w:r>
    </w:p>
    <w:p w:rsidR="00035E70" w:rsidRDefault="000B3CAA">
      <w:pPr>
        <w:spacing w:after="80" w:line="276" w:lineRule="auto"/>
        <w:ind w:left="420" w:hanging="420"/>
      </w:pPr>
      <w:r>
        <w:rPr>
          <w:rFonts w:ascii="微軟正黑體" w:eastAsia="微軟正黑體" w:hAnsi="微軟正黑體" w:cs="微軟正黑體"/>
          <w:sz w:val="22"/>
        </w:rPr>
        <w:t xml:space="preserve">Jarvis, C. B., </w:t>
      </w:r>
      <w:proofErr w:type="spellStart"/>
      <w:r>
        <w:rPr>
          <w:rFonts w:ascii="微軟正黑體" w:eastAsia="微軟正黑體" w:hAnsi="微軟正黑體" w:cs="微軟正黑體"/>
          <w:sz w:val="22"/>
        </w:rPr>
        <w:t>MacKenzie</w:t>
      </w:r>
      <w:proofErr w:type="spellEnd"/>
      <w:r>
        <w:rPr>
          <w:rFonts w:ascii="微軟正黑體" w:eastAsia="微軟正黑體" w:hAnsi="微軟正黑體" w:cs="微軟正黑體"/>
          <w:sz w:val="22"/>
        </w:rPr>
        <w:t>, S. B., &amp; Podsako</w:t>
      </w:r>
      <w:r>
        <w:rPr>
          <w:rFonts w:ascii="微軟正黑體" w:eastAsia="微軟正黑體" w:hAnsi="微軟正黑體" w:cs="微軟正黑體"/>
          <w:sz w:val="22"/>
        </w:rPr>
        <w:t>ff, P. M. (2003). A critical review of construct indicators and measurement model misspecification. Journal of Consumer Research, 30(2), 199–218.</w:t>
      </w:r>
    </w:p>
    <w:p w:rsidR="00035E70" w:rsidRDefault="000B3CAA">
      <w:pPr>
        <w:spacing w:after="80" w:line="276" w:lineRule="auto"/>
        <w:ind w:left="420" w:hanging="420"/>
      </w:pPr>
      <w:r>
        <w:rPr>
          <w:rFonts w:ascii="微軟正黑體" w:eastAsia="微軟正黑體" w:hAnsi="微軟正黑體" w:cs="微軟正黑體"/>
          <w:sz w:val="22"/>
        </w:rPr>
        <w:t>Kingsley, J. D. (1944). Representative bureaucracy: An interpretation of the British civil service. Antioch Pr</w:t>
      </w:r>
      <w:r>
        <w:rPr>
          <w:rFonts w:ascii="微軟正黑體" w:eastAsia="微軟正黑體" w:hAnsi="微軟正黑體" w:cs="微軟正黑體"/>
          <w:sz w:val="22"/>
        </w:rPr>
        <w:t>ess.</w:t>
      </w:r>
    </w:p>
    <w:p w:rsidR="00035E70" w:rsidRDefault="000B3CAA">
      <w:pPr>
        <w:spacing w:after="80" w:line="276" w:lineRule="auto"/>
        <w:ind w:left="420" w:hanging="420"/>
      </w:pPr>
      <w:r>
        <w:rPr>
          <w:rFonts w:ascii="微軟正黑體" w:eastAsia="微軟正黑體" w:hAnsi="微軟正黑體" w:cs="微軟正黑體"/>
          <w:sz w:val="22"/>
        </w:rPr>
        <w:t>Livermore, M. A. (2025, December 15). The political limits of algorithmic governance. The Regulatory Review. https://www.theregreview.org/2025/12/15/livermore-the-political-limits-of-algorithmic-governance/</w:t>
      </w:r>
    </w:p>
    <w:p w:rsidR="00035E70" w:rsidRDefault="000B3CAA">
      <w:pPr>
        <w:spacing w:after="80" w:line="276" w:lineRule="auto"/>
        <w:ind w:left="420" w:hanging="420"/>
      </w:pPr>
      <w:r>
        <w:rPr>
          <w:rFonts w:ascii="微軟正黑體" w:eastAsia="微軟正黑體" w:hAnsi="微軟正黑體" w:cs="微軟正黑體"/>
          <w:sz w:val="22"/>
        </w:rPr>
        <w:t>Meier, K. J. (2019). Theoretical frontiers i</w:t>
      </w:r>
      <w:r>
        <w:rPr>
          <w:rFonts w:ascii="微軟正黑體" w:eastAsia="微軟正黑體" w:hAnsi="微軟正黑體" w:cs="微軟正黑體"/>
          <w:sz w:val="22"/>
        </w:rPr>
        <w:t>n representative bureaucracy. Perspectives on Public Management and Governance, 2(1), 39–56.</w:t>
      </w:r>
    </w:p>
    <w:p w:rsidR="00035E70" w:rsidRDefault="000B3CAA">
      <w:pPr>
        <w:spacing w:after="80" w:line="276" w:lineRule="auto"/>
        <w:ind w:left="420" w:hanging="420"/>
      </w:pPr>
      <w:r>
        <w:rPr>
          <w:rFonts w:ascii="微軟正黑體" w:eastAsia="微軟正黑體" w:hAnsi="微軟正黑體" w:cs="微軟正黑體"/>
          <w:sz w:val="22"/>
        </w:rPr>
        <w:t>OECD. (2023). G7 Hiroshima Process on Generative AI: Towards an inclusive governance. OECD Publishing.</w:t>
      </w:r>
    </w:p>
    <w:p w:rsidR="00035E70" w:rsidRDefault="000B3CAA">
      <w:pPr>
        <w:spacing w:after="80" w:line="276" w:lineRule="auto"/>
        <w:ind w:left="420" w:hanging="420"/>
      </w:pPr>
      <w:r>
        <w:rPr>
          <w:rFonts w:ascii="微軟正黑體" w:eastAsia="微軟正黑體" w:hAnsi="微軟正黑體" w:cs="微軟正黑體"/>
          <w:sz w:val="22"/>
        </w:rPr>
        <w:t>Pettit, P. (1997). Republicanism: A theory of freedom and go</w:t>
      </w:r>
      <w:r>
        <w:rPr>
          <w:rFonts w:ascii="微軟正黑體" w:eastAsia="微軟正黑體" w:hAnsi="微軟正黑體" w:cs="微軟正黑體"/>
          <w:sz w:val="22"/>
        </w:rPr>
        <w:t>vernment. Oxford University Press.</w:t>
      </w:r>
    </w:p>
    <w:p w:rsidR="00035E70" w:rsidRDefault="000B3CAA">
      <w:pPr>
        <w:spacing w:after="80" w:line="276" w:lineRule="auto"/>
        <w:ind w:left="420" w:hanging="420"/>
      </w:pPr>
      <w:proofErr w:type="spellStart"/>
      <w:r>
        <w:rPr>
          <w:rFonts w:ascii="微軟正黑體" w:eastAsia="微軟正黑體" w:hAnsi="微軟正黑體" w:cs="微軟正黑體"/>
          <w:sz w:val="22"/>
        </w:rPr>
        <w:t>Prygodicz</w:t>
      </w:r>
      <w:proofErr w:type="spellEnd"/>
      <w:r>
        <w:rPr>
          <w:rFonts w:ascii="微軟正黑體" w:eastAsia="微軟正黑體" w:hAnsi="微軟正黑體" w:cs="微軟正黑體"/>
          <w:sz w:val="22"/>
        </w:rPr>
        <w:t xml:space="preserve"> v Commonwealth of Australia (No 2) [2021] FCA 634.</w:t>
      </w:r>
    </w:p>
    <w:p w:rsidR="00035E70" w:rsidRDefault="000B3CAA">
      <w:pPr>
        <w:spacing w:after="80" w:line="276" w:lineRule="auto"/>
        <w:ind w:left="420" w:hanging="420"/>
      </w:pPr>
      <w:proofErr w:type="spellStart"/>
      <w:r>
        <w:rPr>
          <w:rFonts w:ascii="微軟正黑體" w:eastAsia="微軟正黑體" w:hAnsi="微軟正黑體" w:cs="微軟正黑體"/>
          <w:sz w:val="22"/>
        </w:rPr>
        <w:t>Rachovitsa</w:t>
      </w:r>
      <w:proofErr w:type="spellEnd"/>
      <w:r>
        <w:rPr>
          <w:rFonts w:ascii="微軟正黑體" w:eastAsia="微軟正黑體" w:hAnsi="微軟正黑體" w:cs="微軟正黑體"/>
          <w:sz w:val="22"/>
        </w:rPr>
        <w:t>, A., &amp; Johann, N. (2022). The human rights implications of the use of AI in the digital welfare state. Human Rights Law Review, 22(2), ngac010.</w:t>
      </w:r>
    </w:p>
    <w:p w:rsidR="00035E70" w:rsidRDefault="000B3CAA">
      <w:pPr>
        <w:spacing w:after="80" w:line="276" w:lineRule="auto"/>
        <w:ind w:left="420" w:hanging="420"/>
      </w:pPr>
      <w:r>
        <w:rPr>
          <w:rFonts w:ascii="微軟正黑體" w:eastAsia="微軟正黑體" w:hAnsi="微軟正黑體" w:cs="微軟正黑體"/>
          <w:sz w:val="22"/>
        </w:rPr>
        <w:t>Rein,</w:t>
      </w:r>
      <w:r>
        <w:rPr>
          <w:rFonts w:ascii="微軟正黑體" w:eastAsia="微軟正黑體" w:hAnsi="微軟正黑體" w:cs="微軟正黑體"/>
          <w:sz w:val="22"/>
        </w:rPr>
        <w:t xml:space="preserve"> M., &amp; Schön, D. (1993). Reframing policy discourse. In F. Fischer &amp; J. Forester (Eds.), The argumentative turn in policy analysis. Duke University Press.</w:t>
      </w:r>
    </w:p>
    <w:p w:rsidR="00035E70" w:rsidRDefault="000B3CAA">
      <w:pPr>
        <w:spacing w:after="80" w:line="276" w:lineRule="auto"/>
        <w:ind w:left="420" w:hanging="420"/>
      </w:pPr>
      <w:r>
        <w:rPr>
          <w:rFonts w:ascii="微軟正黑體" w:eastAsia="微軟正黑體" w:hAnsi="微軟正黑體" w:cs="微軟正黑體"/>
          <w:sz w:val="22"/>
        </w:rPr>
        <w:t xml:space="preserve">Rochefort, D. A., &amp; Cobb, R. W. (1994). The politics of problem definition. University </w:t>
      </w:r>
      <w:r>
        <w:rPr>
          <w:rFonts w:ascii="微軟正黑體" w:eastAsia="微軟正黑體" w:hAnsi="微軟正黑體" w:cs="微軟正黑體"/>
          <w:sz w:val="22"/>
        </w:rPr>
        <w:lastRenderedPageBreak/>
        <w:t>Press of Kansa</w:t>
      </w:r>
      <w:r>
        <w:rPr>
          <w:rFonts w:ascii="微軟正黑體" w:eastAsia="微軟正黑體" w:hAnsi="微軟正黑體" w:cs="微軟正黑體"/>
          <w:sz w:val="22"/>
        </w:rPr>
        <w:t>s.</w:t>
      </w:r>
    </w:p>
    <w:p w:rsidR="00035E70" w:rsidRDefault="000B3CAA">
      <w:pPr>
        <w:spacing w:after="80" w:line="276" w:lineRule="auto"/>
        <w:ind w:left="420" w:hanging="420"/>
      </w:pPr>
      <w:proofErr w:type="spellStart"/>
      <w:r>
        <w:rPr>
          <w:rFonts w:ascii="微軟正黑體" w:eastAsia="微軟正黑體" w:hAnsi="微軟正黑體" w:cs="微軟正黑體"/>
          <w:sz w:val="22"/>
        </w:rPr>
        <w:t>Romzek</w:t>
      </w:r>
      <w:proofErr w:type="spellEnd"/>
      <w:r>
        <w:rPr>
          <w:rFonts w:ascii="微軟正黑體" w:eastAsia="微軟正黑體" w:hAnsi="微軟正黑體" w:cs="微軟正黑體"/>
          <w:sz w:val="22"/>
        </w:rPr>
        <w:t xml:space="preserve">, B. S., &amp; </w:t>
      </w:r>
      <w:proofErr w:type="spellStart"/>
      <w:r>
        <w:rPr>
          <w:rFonts w:ascii="微軟正黑體" w:eastAsia="微軟正黑體" w:hAnsi="微軟正黑體" w:cs="微軟正黑體"/>
          <w:sz w:val="22"/>
        </w:rPr>
        <w:t>Dubnick</w:t>
      </w:r>
      <w:proofErr w:type="spellEnd"/>
      <w:r>
        <w:rPr>
          <w:rFonts w:ascii="微軟正黑體" w:eastAsia="微軟正黑體" w:hAnsi="微軟正黑體" w:cs="微軟正黑體"/>
          <w:sz w:val="22"/>
        </w:rPr>
        <w:t>, M. J. (1987). Accountability in the public sector: Lessons from the Challenger tragedy. Public Administration Review, 47(3), 227–238.</w:t>
      </w:r>
    </w:p>
    <w:p w:rsidR="00035E70" w:rsidRDefault="000B3CAA">
      <w:pPr>
        <w:spacing w:after="80" w:line="276" w:lineRule="auto"/>
        <w:ind w:left="420" w:hanging="420"/>
      </w:pPr>
      <w:proofErr w:type="spellStart"/>
      <w:r>
        <w:rPr>
          <w:rFonts w:ascii="微軟正黑體" w:eastAsia="微軟正黑體" w:hAnsi="微軟正黑體" w:cs="微軟正黑體"/>
          <w:sz w:val="22"/>
        </w:rPr>
        <w:t>Rosanvallon</w:t>
      </w:r>
      <w:proofErr w:type="spellEnd"/>
      <w:r>
        <w:rPr>
          <w:rFonts w:ascii="微軟正黑體" w:eastAsia="微軟正黑體" w:hAnsi="微軟正黑體" w:cs="微軟正黑體"/>
          <w:sz w:val="22"/>
        </w:rPr>
        <w:t>, P. (2008). Counter-democracy: Politics in an age of distrust. Cambridge Universi</w:t>
      </w:r>
      <w:r>
        <w:rPr>
          <w:rFonts w:ascii="微軟正黑體" w:eastAsia="微軟正黑體" w:hAnsi="微軟正黑體" w:cs="微軟正黑體"/>
          <w:sz w:val="22"/>
        </w:rPr>
        <w:t>ty Press.</w:t>
      </w:r>
    </w:p>
    <w:p w:rsidR="00035E70" w:rsidRDefault="000B3CAA">
      <w:pPr>
        <w:spacing w:after="80" w:line="276" w:lineRule="auto"/>
        <w:ind w:left="420" w:hanging="420"/>
      </w:pPr>
      <w:r>
        <w:rPr>
          <w:rFonts w:ascii="微軟正黑體" w:eastAsia="微軟正黑體" w:hAnsi="微軟正黑體" w:cs="微軟正黑體"/>
          <w:sz w:val="22"/>
        </w:rPr>
        <w:t xml:space="preserve">Royal Commission into the </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 xml:space="preserve"> Scheme. (2023). Report of the Royal Commission into the </w:t>
      </w:r>
      <w:proofErr w:type="spellStart"/>
      <w:r>
        <w:rPr>
          <w:rFonts w:ascii="微軟正黑體" w:eastAsia="微軟正黑體" w:hAnsi="微軟正黑體" w:cs="微軟正黑體"/>
          <w:sz w:val="22"/>
        </w:rPr>
        <w:t>Robodebt</w:t>
      </w:r>
      <w:proofErr w:type="spellEnd"/>
      <w:r>
        <w:rPr>
          <w:rFonts w:ascii="微軟正黑體" w:eastAsia="微軟正黑體" w:hAnsi="微軟正黑體" w:cs="微軟正黑體"/>
          <w:sz w:val="22"/>
        </w:rPr>
        <w:t xml:space="preserve"> Scheme. Commonwealth of Australia.</w:t>
      </w:r>
    </w:p>
    <w:p w:rsidR="00035E70" w:rsidRDefault="000B3CAA">
      <w:pPr>
        <w:spacing w:after="80" w:line="276" w:lineRule="auto"/>
        <w:ind w:left="420" w:hanging="420"/>
      </w:pPr>
      <w:r>
        <w:rPr>
          <w:rFonts w:ascii="微軟正黑體" w:eastAsia="微軟正黑體" w:hAnsi="微軟正黑體" w:cs="微軟正黑體"/>
          <w:sz w:val="22"/>
        </w:rPr>
        <w:t>Sabatier, P. A., &amp; Jenkins-Smith, H. C. (1993). Policy change and learning: An advocacy coalition approach. Wes</w:t>
      </w:r>
      <w:r>
        <w:rPr>
          <w:rFonts w:ascii="微軟正黑體" w:eastAsia="微軟正黑體" w:hAnsi="微軟正黑體" w:cs="微軟正黑體"/>
          <w:sz w:val="22"/>
        </w:rPr>
        <w:t>tview Press.</w:t>
      </w:r>
    </w:p>
    <w:p w:rsidR="00035E70" w:rsidRDefault="000B3CAA">
      <w:pPr>
        <w:spacing w:after="80" w:line="276" w:lineRule="auto"/>
        <w:ind w:left="420" w:hanging="420"/>
      </w:pPr>
      <w:proofErr w:type="spellStart"/>
      <w:r>
        <w:rPr>
          <w:rFonts w:ascii="微軟正黑體" w:eastAsia="微軟正黑體" w:hAnsi="微軟正黑體" w:cs="微軟正黑體"/>
          <w:sz w:val="22"/>
        </w:rPr>
        <w:t>Scharpf</w:t>
      </w:r>
      <w:proofErr w:type="spellEnd"/>
      <w:r>
        <w:rPr>
          <w:rFonts w:ascii="微軟正黑體" w:eastAsia="微軟正黑體" w:hAnsi="微軟正黑體" w:cs="微軟正黑體"/>
          <w:sz w:val="22"/>
        </w:rPr>
        <w:t>, F. W. (1999). Governing in Europe: Effective and democratic? Oxford University Press.</w:t>
      </w:r>
    </w:p>
    <w:p w:rsidR="00035E70" w:rsidRDefault="000B3CAA">
      <w:pPr>
        <w:spacing w:after="80" w:line="276" w:lineRule="auto"/>
        <w:ind w:left="420" w:hanging="420"/>
      </w:pPr>
      <w:r>
        <w:rPr>
          <w:rFonts w:ascii="微軟正黑體" w:eastAsia="微軟正黑體" w:hAnsi="微軟正黑體" w:cs="微軟正黑體"/>
          <w:sz w:val="22"/>
        </w:rPr>
        <w:t>Schneider, A., &amp; Ingram, H. (1993). Social construction of target populations. American Political Science Review, 87(2), 334–347.</w:t>
      </w:r>
    </w:p>
    <w:p w:rsidR="00035E70" w:rsidRDefault="000B3CAA">
      <w:pPr>
        <w:spacing w:after="80" w:line="276" w:lineRule="auto"/>
        <w:ind w:left="420" w:hanging="420"/>
      </w:pPr>
      <w:r>
        <w:rPr>
          <w:rFonts w:ascii="微軟正黑體" w:eastAsia="微軟正黑體" w:hAnsi="微軟正黑體" w:cs="微軟正黑體"/>
          <w:sz w:val="22"/>
        </w:rPr>
        <w:t xml:space="preserve">Stone, D. (1989). </w:t>
      </w:r>
      <w:r>
        <w:rPr>
          <w:rFonts w:ascii="微軟正黑體" w:eastAsia="微軟正黑體" w:hAnsi="微軟正黑體" w:cs="微軟正黑體"/>
          <w:sz w:val="22"/>
        </w:rPr>
        <w:t>Policy paradox and political reason. Scott Foresman.</w:t>
      </w:r>
    </w:p>
    <w:p w:rsidR="00035E70" w:rsidRDefault="000B3CAA">
      <w:pPr>
        <w:spacing w:after="80" w:line="276" w:lineRule="auto"/>
        <w:ind w:left="420" w:hanging="420"/>
      </w:pPr>
      <w:proofErr w:type="spellStart"/>
      <w:r>
        <w:rPr>
          <w:rFonts w:ascii="微軟正黑體" w:eastAsia="微軟正黑體" w:hAnsi="微軟正黑體" w:cs="微軟正黑體"/>
          <w:sz w:val="22"/>
        </w:rPr>
        <w:t>Suchman</w:t>
      </w:r>
      <w:proofErr w:type="spellEnd"/>
      <w:r>
        <w:rPr>
          <w:rFonts w:ascii="微軟正黑體" w:eastAsia="微軟正黑體" w:hAnsi="微軟正黑體" w:cs="微軟正黑體"/>
          <w:sz w:val="22"/>
        </w:rPr>
        <w:t>, M. C. (1995). Managing legitimacy: Strategic and institutional approaches. Academy of Management Review, 20(3), 571–610.</w:t>
      </w:r>
    </w:p>
    <w:p w:rsidR="00035E70" w:rsidRDefault="000B3CAA">
      <w:pPr>
        <w:spacing w:after="80" w:line="276" w:lineRule="auto"/>
        <w:ind w:left="420" w:hanging="420"/>
      </w:pPr>
      <w:r>
        <w:rPr>
          <w:rFonts w:ascii="微軟正黑體" w:eastAsia="微軟正黑體" w:hAnsi="微軟正黑體" w:cs="微軟正黑體"/>
          <w:sz w:val="22"/>
        </w:rPr>
        <w:t>Thompson, D. F. (1980). Moral responsibility of public officials: The pro</w:t>
      </w:r>
      <w:r>
        <w:rPr>
          <w:rFonts w:ascii="微軟正黑體" w:eastAsia="微軟正黑體" w:hAnsi="微軟正黑體" w:cs="微軟正黑體"/>
          <w:sz w:val="22"/>
        </w:rPr>
        <w:t>blem of many hands. American Political Science Review, 74(4), 905–916.</w:t>
      </w:r>
    </w:p>
    <w:p w:rsidR="00035E70" w:rsidRDefault="000B3CAA">
      <w:pPr>
        <w:spacing w:after="80" w:line="276" w:lineRule="auto"/>
        <w:ind w:left="420" w:hanging="420"/>
      </w:pPr>
      <w:r>
        <w:rPr>
          <w:rFonts w:ascii="微軟正黑體" w:eastAsia="微軟正黑體" w:hAnsi="微軟正黑體" w:cs="微軟正黑體"/>
          <w:sz w:val="22"/>
        </w:rPr>
        <w:t>Treasury Board of Canada Secretariat. (2024). Algorithmic Impact Assessment tool. Government of Canada.</w:t>
      </w:r>
    </w:p>
    <w:p w:rsidR="00035E70" w:rsidRDefault="000B3CAA">
      <w:pPr>
        <w:spacing w:after="80" w:line="276" w:lineRule="auto"/>
        <w:ind w:left="420" w:hanging="420"/>
      </w:pPr>
      <w:proofErr w:type="spellStart"/>
      <w:r>
        <w:rPr>
          <w:rFonts w:ascii="微軟正黑體" w:eastAsia="微軟正黑體" w:hAnsi="微軟正黑體" w:cs="微軟正黑體"/>
          <w:sz w:val="22"/>
        </w:rPr>
        <w:t>Ulnicane</w:t>
      </w:r>
      <w:proofErr w:type="spellEnd"/>
      <w:r>
        <w:rPr>
          <w:rFonts w:ascii="微軟正黑體" w:eastAsia="微軟正黑體" w:hAnsi="微軟正黑體" w:cs="微軟正黑體"/>
          <w:sz w:val="22"/>
        </w:rPr>
        <w:t>, I., Knight, W., Leach, T., Stahl, B. C., &amp; Wanjiku, W.-G. (2021). Frami</w:t>
      </w:r>
      <w:r>
        <w:rPr>
          <w:rFonts w:ascii="微軟正黑體" w:eastAsia="微軟正黑體" w:hAnsi="微軟正黑體" w:cs="微軟正黑體"/>
          <w:sz w:val="22"/>
        </w:rPr>
        <w:t>ng governance for a contested emerging technology: Insights from AI policy. Policy and Society, 40(2), 158–177.</w:t>
      </w:r>
    </w:p>
    <w:p w:rsidR="00035E70" w:rsidRDefault="000B3CAA">
      <w:pPr>
        <w:spacing w:after="80" w:line="276" w:lineRule="auto"/>
        <w:ind w:left="420" w:hanging="420"/>
      </w:pPr>
      <w:r>
        <w:rPr>
          <w:rFonts w:ascii="微軟正黑體" w:eastAsia="微軟正黑體" w:hAnsi="微軟正黑體" w:cs="微軟正黑體"/>
          <w:sz w:val="22"/>
        </w:rPr>
        <w:t>Weber, M. (1992). The Protestant ethic and the spirit of capitalism (T. Parsons, Trans.). Routledge. (Original work published 1904–1905)</w:t>
      </w:r>
    </w:p>
    <w:p w:rsidR="00035E70" w:rsidRDefault="000B3CAA">
      <w:pPr>
        <w:spacing w:after="80" w:line="276" w:lineRule="auto"/>
        <w:ind w:left="420" w:hanging="420"/>
      </w:pPr>
      <w:r>
        <w:rPr>
          <w:rFonts w:ascii="微軟正黑體" w:eastAsia="微軟正黑體" w:hAnsi="微軟正黑體" w:cs="微軟正黑體"/>
          <w:sz w:val="22"/>
        </w:rPr>
        <w:t xml:space="preserve">Yeung, </w:t>
      </w:r>
      <w:r>
        <w:rPr>
          <w:rFonts w:ascii="微軟正黑體" w:eastAsia="微軟正黑體" w:hAnsi="微軟正黑體" w:cs="微軟正黑體"/>
          <w:sz w:val="22"/>
        </w:rPr>
        <w:t>K. (2018). Algorithmic regulation: A critical interrogation. Regulation &amp; Governance, 12(4), 505–523.</w:t>
      </w:r>
    </w:p>
    <w:sectPr w:rsidR="00035E70">
      <w:headerReference w:type="default" r:id="rId7"/>
      <w:footerReference w:type="default" r:id="rId8"/>
      <w:pgSz w:w="11906" w:h="16838"/>
      <w:pgMar w:top="1247" w:right="1417" w:bottom="1247" w:left="1417"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B3CAA" w:rsidRDefault="000B3CAA">
      <w:r>
        <w:separator/>
      </w:r>
    </w:p>
  </w:endnote>
  <w:endnote w:type="continuationSeparator" w:id="0">
    <w:p w:rsidR="000B3CAA" w:rsidRDefault="000B3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E70" w:rsidRDefault="00035E7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B3CAA" w:rsidRDefault="000B3CAA">
      <w:r>
        <w:separator/>
      </w:r>
    </w:p>
  </w:footnote>
  <w:footnote w:type="continuationSeparator" w:id="0">
    <w:p w:rsidR="000B3CAA" w:rsidRDefault="000B3C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E70" w:rsidRDefault="00035E70"/>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512FFE"/>
    <w:multiLevelType w:val="hybridMultilevel"/>
    <w:tmpl w:val="9D36C5E2"/>
    <w:lvl w:ilvl="0" w:tplc="EB4A09E0">
      <w:start w:val="1"/>
      <w:numFmt w:val="bullet"/>
      <w:lvlText w:val="●"/>
      <w:lvlJc w:val="left"/>
      <w:pPr>
        <w:ind w:left="720" w:hanging="360"/>
      </w:pPr>
    </w:lvl>
    <w:lvl w:ilvl="1" w:tplc="13E6BF98">
      <w:start w:val="1"/>
      <w:numFmt w:val="bullet"/>
      <w:lvlText w:val="○"/>
      <w:lvlJc w:val="left"/>
      <w:pPr>
        <w:ind w:left="1440" w:hanging="360"/>
      </w:pPr>
    </w:lvl>
    <w:lvl w:ilvl="2" w:tplc="A94C73C4">
      <w:start w:val="1"/>
      <w:numFmt w:val="bullet"/>
      <w:lvlText w:val="■"/>
      <w:lvlJc w:val="left"/>
      <w:pPr>
        <w:ind w:left="2160" w:hanging="360"/>
      </w:pPr>
    </w:lvl>
    <w:lvl w:ilvl="3" w:tplc="B8ECD0D4">
      <w:start w:val="1"/>
      <w:numFmt w:val="bullet"/>
      <w:lvlText w:val="●"/>
      <w:lvlJc w:val="left"/>
      <w:pPr>
        <w:ind w:left="2880" w:hanging="360"/>
      </w:pPr>
    </w:lvl>
    <w:lvl w:ilvl="4" w:tplc="E4985A24">
      <w:start w:val="1"/>
      <w:numFmt w:val="bullet"/>
      <w:lvlText w:val="○"/>
      <w:lvlJc w:val="left"/>
      <w:pPr>
        <w:ind w:left="3600" w:hanging="360"/>
      </w:pPr>
    </w:lvl>
    <w:lvl w:ilvl="5" w:tplc="96DE69D8">
      <w:start w:val="1"/>
      <w:numFmt w:val="bullet"/>
      <w:lvlText w:val="■"/>
      <w:lvlJc w:val="left"/>
      <w:pPr>
        <w:ind w:left="4320" w:hanging="360"/>
      </w:pPr>
    </w:lvl>
    <w:lvl w:ilvl="6" w:tplc="DE76CFFC">
      <w:start w:val="1"/>
      <w:numFmt w:val="bullet"/>
      <w:lvlText w:val="●"/>
      <w:lvlJc w:val="left"/>
      <w:pPr>
        <w:ind w:left="5040" w:hanging="360"/>
      </w:pPr>
    </w:lvl>
    <w:lvl w:ilvl="7" w:tplc="AC06CC6E">
      <w:start w:val="1"/>
      <w:numFmt w:val="bullet"/>
      <w:lvlText w:val="●"/>
      <w:lvlJc w:val="left"/>
      <w:pPr>
        <w:ind w:left="5760" w:hanging="360"/>
      </w:pPr>
    </w:lvl>
    <w:lvl w:ilvl="8" w:tplc="32B815D6">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spelling="clean" w:grammar="clean"/>
  <w:defaultTabStop w:val="48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E70"/>
    <w:rsid w:val="00035E70"/>
    <w:rsid w:val="000B3CAA"/>
    <w:rsid w:val="00711A7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7AA7898-A4D0-4BF0-8548-2B66E5C2AA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paragraph" w:styleId="1">
    <w:name w:val="heading 1"/>
    <w:uiPriority w:val="9"/>
    <w:qFormat/>
    <w:pPr>
      <w:outlineLvl w:val="0"/>
    </w:pPr>
    <w:rPr>
      <w:color w:val="2E74B5"/>
      <w:sz w:val="32"/>
      <w:szCs w:val="32"/>
    </w:rPr>
  </w:style>
  <w:style w:type="paragraph" w:styleId="2">
    <w:name w:val="heading 2"/>
    <w:uiPriority w:val="9"/>
    <w:unhideWhenUsed/>
    <w:qFormat/>
    <w:pPr>
      <w:outlineLvl w:val="1"/>
    </w:pPr>
    <w:rPr>
      <w:color w:val="2E74B5"/>
      <w:sz w:val="26"/>
      <w:szCs w:val="26"/>
    </w:rPr>
  </w:style>
  <w:style w:type="paragraph" w:styleId="3">
    <w:name w:val="heading 3"/>
    <w:uiPriority w:val="9"/>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pPr>
      <w:spacing w:line="324" w:lineRule="auto"/>
    </w:pPr>
    <w:rPr>
      <w:sz w:val="56"/>
      <w:szCs w:val="56"/>
    </w:rPr>
  </w:style>
  <w:style w:type="paragraph" w:customStyle="1" w:styleId="10">
    <w:name w:val="強調粗體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style>
  <w:style w:type="character" w:customStyle="1" w:styleId="a8">
    <w:name w:val="註腳文字 字元"/>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style>
  <w:style w:type="character" w:customStyle="1" w:styleId="ab">
    <w:name w:val="章節附註文字 字元"/>
    <w:link w:val="aa"/>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24</Pages>
  <Words>3633</Words>
  <Characters>20709</Characters>
  <Application>Microsoft Office Word</Application>
  <DocSecurity>0</DocSecurity>
  <Lines>172</Lines>
  <Paragraphs>48</Paragraphs>
  <ScaleCrop>false</ScaleCrop>
  <Company/>
  <LinksUpToDate>false</LinksUpToDate>
  <CharactersWithSpaces>24294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2026-08-01T18:55:00Z</dcterms:created>
  <dcterms:modified xsi:type="dcterms:W3CDTF">2026-08-10T06:03:00Z</dcterms:modified>
</cp:coreProperties>
</file>