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t>Scenario Analysis under AI Governance: A Future Government Spectrum Based on Institutional Capacity to Absorb AI-Induced Structural Disruptions</w:t>
      </w:r>
    </w:p>
    <w:p>
      <w:pPr>
        <w:spacing w:after="240"/>
        <w:ind w:firstLine="0"/>
        <w:jc w:val="center"/>
      </w:pPr>
      <w:r>
        <w:t>Using Twenty-Five Governance Coordinates and Three Structural Effects as Analytical Axes</w:t>
      </w:r>
    </w:p>
    <w:p>
      <w:pPr>
        <w:spacing w:after="120"/>
        <w:ind w:firstLine="0"/>
        <w:jc w:val="center"/>
      </w:pPr>
      <w:r>
        <w:t>Lancelot Lu</w:t>
      </w:r>
    </w:p>
    <w:p>
      <w:pPr>
        <w:spacing w:after="120"/>
        <w:ind w:firstLine="0"/>
        <w:jc w:val="center"/>
      </w:pPr>
      <w:r>
        <w:rPr>
          <w:rFonts w:ascii="Times New Roman" w:cs="Times New Roman" w:eastAsia="Times New Roman" w:hAnsi="Times New Roman"/>
          <w:i w:val="false"/>
          <w:iCs w:val="false"/>
          <w:color w:val="404040"/>
          <w:sz w:val="20"/>
          <w:szCs w:val="20"/>
        </w:rPr>
        <w:t xml:space="preserve">Doctor of Public Administration, University of Southern California, USA</w:t>
      </w:r>
    </w:p>
    <w:p>
      <w:pPr>
        <w:spacing w:after="240"/>
        <w:ind w:firstLine="0"/>
        <w:jc w:val="center"/>
      </w:pPr>
      <w:r>
        <w:rPr>
          <w:rFonts w:ascii="Times New Roman" w:cs="Times New Roman" w:eastAsia="Times New Roman" w:hAnsi="Times New Roman"/>
          <w:i w:val="false"/>
          <w:iCs w:val="false"/>
          <w:color w:val="404040"/>
          <w:sz w:val="20"/>
          <w:szCs w:val="20"/>
        </w:rPr>
        <w:t xml:space="preserve">jslu2020@gmail.com；jyanshiulu@gmail.com</w:t>
      </w:r>
    </w:p>
    <w:p>
      <w:pPr>
        <w:spacing w:after="240"/>
        <w:ind w:firstLine="0"/>
        <w:jc w:val="center"/>
      </w:pPr>
      <w:r>
        <w:rPr>
          <w:rFonts w:ascii="Times New Roman" w:cs="Times New Roman" w:eastAsia="Times New Roman" w:hAnsi="Times New Roman"/>
          <w:i w:val="false"/>
          <w:iCs w:val="false"/>
          <w:color w:val="404040"/>
          <w:sz w:val="20"/>
          <w:szCs w:val="20"/>
        </w:rPr>
        <w:t xml:space="preserve">lancelotlu.org</w:t>
      </w:r>
    </w:p>
    <w:p>
      <w:pPr>
        <w:spacing w:after="240"/>
        <w:ind w:firstLine="0"/>
        <w:jc w:val="center"/>
      </w:pPr>
      <w:r>
        <w:rPr>
          <w:rFonts w:ascii="Times New Roman" w:cs="Times New Roman" w:eastAsia="Times New Roman" w:hAnsi="Times New Roman"/>
          <w:i/>
          <w:iCs/>
          <w:color w:val="808080"/>
          <w:sz w:val="20"/>
          <w:szCs w:val="20"/>
        </w:rPr>
        <w:t xml:space="preserve">This article was produced in collaboration with AI. AI assisted with text organization and argument verification; conceptual design and final judgment remain the author's responsibility.</w:t>
      </w:r>
    </w:p>
    <w:p>
      <w:pPr>
        <w:pStyle w:val="Heading1"/>
        <w:spacing w:after="200" w:before="360"/>
      </w:pPr>
      <w:r>
        <w:rPr>
          <w:rFonts w:ascii="Times New Roman" w:cs="Times New Roman" w:eastAsia="Times New Roman" w:hAnsi="Times New Roman"/>
          <w:b/>
          <w:bCs/>
          <w:color w:val="1F4E78"/>
          <w:sz w:val="28"/>
          <w:szCs w:val="28"/>
        </w:rPr>
        <w:t xml:space="preserve">Abstract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As artificial intelligence becomes embedded in public services, policy formation, and internal administration, public administration theory faces renewed difficulty in locating authority, discretion, and responsibility. This analysis uses twenty-five governance coordinates, produced by crossing five analytical levels with five units of analysis, as a positioning framework. It distinguishes three structural phenomena: cross-cell movement, boundary dissolution, and authority reconfiguration. Two conceptually distinct but empirically related criteria are used to construct three ideal-type scenarios: the scope and coupling of the three phenomena, and the institutional capacity to absorb AI-induced structural disruptions while sustaining meaningful review, reason-giving, responsibility, and lawful authorization. The resulting scenarios are institutionally absorptive (optimistic), frictional hybrid (pragmatic), and authority-displacing (pessimistic). The central proposition is provisional: explanatory strain on existing public administration theory increases as the three phenomena become strongly coupled and institutional absorption fails. The framework supports scenario comparison rather than prediction or causal inference. Taiwanese policy documents serve only as illustrative materials; heterogeneous case-based stress tests remain necessary before claims of theoretical adaptation or reconstruction can be sustained.</w:t>
      </w:r>
    </w:p>
    <w:p>
      <w:pPr>
        <w:spacing w:after="300" w:line="280" w:lineRule="auto"/>
        <w:jc w:val="left"/>
      </w:pPr>
      <w:r>
        <w:rPr>
          <w:rFonts w:ascii="Times New Roman" w:cs="Times New Roman" w:eastAsia="Times New Roman" w:hAnsi="Times New Roman"/>
          <w:b w:val="false"/>
          <w:bCs w:val="false"/>
          <w:i w:val="false"/>
          <w:iCs w:val="false"/>
          <w:color w:val="1F2937"/>
          <w:sz w:val="21"/>
          <w:szCs w:val="21"/>
        </w:rPr>
        <w:t xml:space="preserve">Keywords: AI governance, scenario analysis, twenty-five governance coordinates, institutional capacity to absorb AI-induced structural disruptions, cross-cell movement, authority reconfiguration</w:t>
      </w:r>
    </w:p>
    <w:p>
      <w:pPr>
        <w:pStyle w:val="Heading1"/>
        <w:spacing w:after="200" w:before="360"/>
      </w:pPr>
      <w:r>
        <w:rPr>
          <w:rFonts w:ascii="Times New Roman" w:cs="Times New Roman" w:eastAsia="Times New Roman" w:hAnsi="Times New Roman"/>
          <w:b/>
          <w:bCs/>
          <w:color w:val="1F4E78"/>
          <w:sz w:val="28"/>
          <w:szCs w:val="28"/>
        </w:rPr>
        <w:t xml:space="preserve">1. Introduction</w:t>
      </w:r>
    </w:p>
    <w:p>
      <w:pPr>
        <w:pStyle w:val="Heading2"/>
        <w:spacing w:after="160" w:before="280"/>
      </w:pPr>
      <w:r>
        <w:rPr>
          <w:rFonts w:ascii="Times New Roman" w:cs="Times New Roman" w:eastAsia="Times New Roman" w:hAnsi="Times New Roman"/>
          <w:b/>
          <w:bCs/>
          <w:color w:val="1F4E78"/>
          <w:sz w:val="24"/>
          <w:szCs w:val="24"/>
        </w:rPr>
        <w:t xml:space="preserve">1.1 Reframing the Problem</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Artificial intelligence does not merely expand government's capacity to process data and generate content; it may also transform the information regimes, functional configurations, and outsourcing relationships of administrative organizations (Dunleavy &amp; Margetts, 2025). The present analysis is therefore not concerned with whether AI improves efficiency, but with whether existing public administration theory can still locate authority, discretion, reasons, and responsibility once technology intervenes.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By “AI governance,” this article refers to the interaction between governing AI (regulating the design and use of AI) and governing through AI (AI as an administrative tool). The theoretical analysis emphasizes the latter—the effects of AI intervention on institutional functions after it enters administrative operations—while the Taiwanese policy documents mainly illustrate the former—government's regulatory response to AI risk. Although conceptually distinct, the two intersect in practice, and it is precisely at this intersection that institutional capacity to absorb disruption must operate.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Existing research has separately examined artificial discretion (Young et al., 2019), algorithmic accountability (Busuioc, 2021), policy framing (Ulnicane et al., 2021), and multi-level governance (Criado et al., 2025). These studies provide an important foundation, but a connected analytical framework is still lacking for answering where AI intervenes in governance, how structural change crosses levels and units, and how different changes form comparable government scenarios.</w:t>
      </w:r>
    </w:p>
    <w:p>
      <w:pPr>
        <w:pStyle w:val="Heading2"/>
        <w:spacing w:after="160" w:before="280"/>
      </w:pPr>
      <w:r>
        <w:rPr>
          <w:rFonts w:ascii="Times New Roman" w:cs="Times New Roman" w:eastAsia="Times New Roman" w:hAnsi="Times New Roman"/>
          <w:b/>
          <w:bCs/>
          <w:color w:val="1F4E78"/>
          <w:sz w:val="24"/>
          <w:szCs w:val="24"/>
        </w:rPr>
        <w:t xml:space="preserve">1.2 The Literature Context of the Scenario Approach: From Scenario Planning to Future Government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article adopts the basic stance of scenario planning: a scenario is not a prediction of a single future, but a combination of key uncertainties and institutional conditions into several internally consistent, comparable possible futures (Schwartz, 1991; van der Heijden, 1996). The three scenarios in this article are therefore analytical tools, not estimates of probability or temporal sequence.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Futures studies offer two other commonly used frameworks. Dator (2009) presents four parallel archetypal futures—continued growth, collapse, discipline, and transformation—intended to break the assumption of a single “official future,” without ranking them by optimism or pessimism. Voros's (2003, 2017) expanded futures cone instead distinguishes ranges of possibility—projected, probable, plausible, possible, and preposterous futures—within which a “preferred future” may be located in different ranges. The futures cone extends outward over time, but its layers are not a precise probability scale. Figure 1 compares the three frameworks and shows that this article's axis—institutional capacity and the intensity of structural phenomena—answers a different question from Dator's and Voros's.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Block 1: Dator's (2009) Four Archetypal Futures
• Object of classification: archetypal futures
• Core dimension: value orientation (continued growth / collapse / discipline / transformation)
• Type or range: four parallel types
• Ranking: none; not ordered by optimism or pessimism
• How this article borrows and differs: borrows the stance of plural futures; does not borrow its types, nor map them row-by-row onto this article's scenarios</w:t>
            </w:r>
          </w:p>
        </w:tc>
      </w:tr>
      <w:tr>
        <w:tc>
          <w:tcPr>
            <w:tcW w:type="dxa" w:w="93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Block 2: Voros's (2003, 2017) Expanded Futures Cone
• Object of classification: range of possibility of the future
• Core dimension: the time axis extending into the future, and ranges such as projected/probable/plausible/possible/preposterous
• Type or range: five layers of possibility, plus a preferred future that may sit in different ranges
• Ranking: extends from inner to outer by range, but is not a precise probability scale
• How this article borrows and differs: borrows the concept of multiple layers of possibility; does not adopt its time axis, nor map its ranges onto this article's three scenarios</w:t>
            </w:r>
          </w:p>
        </w:tc>
      </w:tr>
      <w:tr>
        <w:tc>
          <w:tcPr>
            <w:tcW w:type="dxa" w:w="93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Block 3: This Article's Three-Scenario Spectrum
• Object of classification: institutional condition of future government after AI intervention
• Core dimension: intensity of structural phenomena and absorptive capacity
• Type or range: institutionally absorptive (optimistic) / frictional hybrid (pragmatic) / authority-displacing (pessimistic)
• Ranking: presents only the ideal-type direction of co-variation between the two criteria
• How this article borrows and differs: substitutes institutional criteria for time and probability range; not derived from Dator or Voros</w:t>
            </w:r>
          </w:p>
        </w:tc>
      </w:tr>
    </w:tbl>
    <w:p>
      <w:pPr>
        <w:spacing w:after="80" w:before="120"/>
        <w:jc w:val="center"/>
      </w:pPr>
      <w:r>
        <w:rPr>
          <w:rFonts w:ascii="Times New Roman" w:cs="Times New Roman" w:eastAsia="Times New Roman" w:hAnsi="Times New Roman"/>
          <w:b/>
          <w:bCs/>
          <w:color w:val="1F2937"/>
          <w:sz w:val="21"/>
          <w:szCs w:val="21"/>
        </w:rPr>
        <w:t xml:space="preserve">Figure 1  Independent Comparison Blocks for the Dator, Voros, and This Article's Scenario Frameworks</w:t>
      </w:r>
    </w:p>
    <w:p>
      <w:pPr>
        <w:spacing w:after="240"/>
        <w:ind w:firstLine="0"/>
        <w:jc w:val="left"/>
      </w:pPr>
      <w:r>
        <w:rPr>
          <w:rFonts w:ascii="Times New Roman" w:cs="Times New Roman" w:eastAsia="Times New Roman" w:hAnsi="Times New Roman"/>
          <w:i/>
          <w:iCs/>
          <w:color w:val="595959"/>
          <w:sz w:val="19"/>
          <w:szCs w:val="19"/>
        </w:rPr>
        <w:t xml:space="preserve">Source: compiled by the author based on Dator (2009), Voros (2003, 2017), and this article's framework. The three blocks answer different questions and do not correspond row by row.</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three frameworks answer different questions: Dator distinguishes types of archetypal futures, Voros marks ranges of future possibility, and this article judges the institutional condition of future government by the intensity of structural phenomena and the institution's capacity to absorb these disruptions. There is no row-by-row correspondence among the three; none of Dator's archetypes should be equated with any of Voros's ranges or with any of this article's scenarios. The framework developed here borrows only the basic stance of plural futures and scenario comparison, and does not derive its three scenarios from Dator or Voros.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Webb (2019), in The Big Nine, uses three outcome scenarios—optimistic, pragmatic, and catastrophic. This analysis borrows the tripartite form but does not adopt the value judgments wholesale: it renames the scenarios optimistic, pragmatic, and pessimistic to fit the public administration context, and establishes explicit criteria based on institutional absorptive capacity and the intensity of the three structural phenomena. Webb provides the naming inspiration; the methodological foundation remains scenario planning, while the analytical content is built from the twenty-five governance coordinates and the three structural phenomena.</w:t>
      </w:r>
    </w:p>
    <w:p>
      <w:pPr>
        <w:pStyle w:val="Heading2"/>
        <w:spacing w:after="160" w:before="280"/>
      </w:pPr>
      <w:r>
        <w:rPr>
          <w:rFonts w:ascii="Times New Roman" w:cs="Times New Roman" w:eastAsia="Times New Roman" w:hAnsi="Times New Roman"/>
          <w:b/>
          <w:bCs/>
          <w:color w:val="1F4E78"/>
          <w:sz w:val="24"/>
          <w:szCs w:val="24"/>
        </w:rPr>
        <w:t xml:space="preserve">1.3 Research Questions and Positioning</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article poses two research questions. First, after AI intervenes in administrative operations, how can governance coordinates be used to locate the scope of influence of structural phenomena and identify positions that may face interpretive strain? Second, how can comparable conceptual criteria be used to distinguish three future government scenarios—institutionally absorptive (optimistic), frictional hybrid (pragmatic), and authority-displacing (pessimistic)? This analysis provides a positioning tool and criteria, and offers an illustrative demonstration using Taiwanese policy documents, but does not undertake a systematic identification of stress positions.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present analysis adopts a conceptual construction approach; it does not undertake probabilistic prediction, operational measurement, or causal inference. The analysis proceeds in three steps: first, using the twenty-five governance coordinates to locate where AI intervenes; second, observing the scope and degree of coupling of cross-cell movement, boundary dissolution, and authority reconfiguration; and third, assessing whether institutions can still sustain meaningful review, reason-giving, responsibility, and lawful authorization. The coordinates do not assume that real-world boundaries are fixed; they are used to track how boundaries change.</w:t>
      </w:r>
    </w:p>
    <w:p>
      <w:pPr>
        <w:pStyle w:val="Heading2"/>
        <w:spacing w:after="160" w:before="280"/>
      </w:pPr>
      <w:r>
        <w:rPr>
          <w:rFonts w:ascii="Times New Roman" w:cs="Times New Roman" w:eastAsia="Times New Roman" w:hAnsi="Times New Roman"/>
          <w:b/>
          <w:bCs/>
          <w:color w:val="1F4E78"/>
          <w:sz w:val="24"/>
          <w:szCs w:val="24"/>
        </w:rPr>
        <w:t xml:space="preserve">1.4 Method of Concept Construction</w:t>
      </w:r>
    </w:p>
    <w:p>
      <w:pPr>
        <w:pStyle w:val="Heading3"/>
        <w:spacing w:after="120" w:before="200"/>
      </w:pPr>
      <w:r>
        <w:rPr>
          <w:rFonts w:ascii="Times New Roman" w:cs="Times New Roman" w:eastAsia="Times New Roman" w:hAnsi="Times New Roman"/>
          <w:b/>
          <w:bCs/>
          <w:color w:val="1F2937"/>
          <w:sz w:val="22"/>
          <w:szCs w:val="22"/>
        </w:rPr>
        <w:t xml:space="preserve">(1) Scope of Literature Selection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article adopts a purposive conceptual literature review rather than a systematic literature review. The literature selected concentrates on three areas: AI and public administration, algorithmic accountability and supply-chain governance, and scenario planning and futures research; the selection criterion is that a work directly discusses the administrative, policy, or governance effects of AI in the public sector and makes a theoretical or conceptual contribution. Purely technical engineering literature and application reports that do not engage public administration's normative concerns fall outside the primary scope. The framework developed here does not claim comprehensive coverage of the literature, but selects theoretical sources according to what is needed to construct its analytical concepts.</w:t>
      </w:r>
    </w:p>
    <w:p>
      <w:pPr>
        <w:pStyle w:val="Heading3"/>
        <w:spacing w:after="120" w:before="200"/>
      </w:pPr>
      <w:r>
        <w:rPr>
          <w:rFonts w:ascii="Times New Roman" w:cs="Times New Roman" w:eastAsia="Times New Roman" w:hAnsi="Times New Roman"/>
          <w:b/>
          <w:bCs/>
          <w:color w:val="1F2937"/>
          <w:sz w:val="22"/>
          <w:szCs w:val="22"/>
        </w:rPr>
        <w:t xml:space="preserve">(2) Basis for Forming the Three Structural Phenomena</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three structural phenomena emerge from comparing and synthesizing the literature above. Cross-cell movement responds to multi-level AI governance research's observations of cross-level effects (Criado et al., 2025; Mökander et al., 2024), converting a static classification of levels into dynamic path-tracking. Boundary dissolution corresponds to the blurring of public–private lines and responsibility allocation revealed by algorithmic supply-chain research (Cobbe et al., 2021, 2023). Authority reconfiguration responds to the problem, raised in algorithmic accountability research, of the separation between formal decision-makers and substantive influencers (Busuioc, 2021; Grimmelikhuijsen &amp; Meijer, 2022). The three phenomena each point to institutional pressure in positioning, division of labor, and legitimacy, respectively; they are conceptually distinguishable and empirically may become coupled.</w:t>
      </w:r>
    </w:p>
    <w:p>
      <w:pPr>
        <w:pStyle w:val="Heading3"/>
        <w:spacing w:after="120" w:before="200"/>
      </w:pPr>
      <w:r>
        <w:rPr>
          <w:rFonts w:ascii="Times New Roman" w:cs="Times New Roman" w:eastAsia="Times New Roman" w:hAnsi="Times New Roman"/>
          <w:b/>
          <w:bCs/>
          <w:color w:val="1F2937"/>
          <w:sz w:val="22"/>
          <w:szCs w:val="22"/>
        </w:rPr>
        <w:t xml:space="preserve">(3) Deriving the Four Dimensions of Institutional Capacity to Absorb Disruption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four dimensions of institutions' capacity to absorb such disruption correspond respectively to the chain of reasons, the chain of responsibility, the chain of authority, and the procedural safeguard of meaningful review. The selection criterion is that each dimension has an independent normative function and can be matched to corresponding requirements in administrative law or public administration literature; together the four are used to judge whether, after AI intervenes, existing institutions can still give reasons, trace responsibility, maintain lawful authorization, and substantively revise outcomes.</w:t>
      </w:r>
    </w:p>
    <w:p>
      <w:pPr>
        <w:pStyle w:val="Heading3"/>
        <w:spacing w:after="120" w:before="200"/>
      </w:pPr>
      <w:r>
        <w:rPr>
          <w:rFonts w:ascii="Times New Roman" w:cs="Times New Roman" w:eastAsia="Times New Roman" w:hAnsi="Times New Roman"/>
          <w:b/>
          <w:bCs/>
          <w:color w:val="1F2937"/>
          <w:sz w:val="22"/>
          <w:szCs w:val="22"/>
        </w:rPr>
        <w:t xml:space="preserve">(4) Rules for Judging Scenario Classification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Scenario classification proceeds in two steps: first, assessing the scope of influence and degree of coupling of the three structural phenomena to form a directional judgment of low, medium, or high intensity; second, assessing whether institutions can sustain the three institutional chains and meaningful review. Low intensity with high absorptive capacity, medium intensity with partial absorption, and high-intensity coupling with absorption failure each form one of the three ideal-type scenarios. These criteria remain qualitative and directional; they do not set quantitative thresholds, nor do they exclude combinations that deviate from the ideal-type axis.</w:t>
      </w:r>
    </w:p>
    <w:p>
      <w:pPr>
        <w:pStyle w:val="Heading3"/>
        <w:spacing w:after="120" w:before="200"/>
      </w:pPr>
      <w:r>
        <w:rPr>
          <w:rFonts w:ascii="Times New Roman" w:cs="Times New Roman" w:eastAsia="Times New Roman" w:hAnsi="Times New Roman"/>
          <w:b/>
          <w:bCs/>
          <w:color w:val="1F2937"/>
          <w:sz w:val="22"/>
          <w:szCs w:val="22"/>
        </w:rPr>
        <w:t xml:space="preserve">(5) Falsifiability Conditions for the Proposition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proposition advanced here can be refuted or would need revision under three conditions: first, if multiple policy domains show high-intensity coupling of the three phenomena while existing public administration theory can still effectively locate authority, reasons, and responsibility; second, if the three phenomena never form high-intensity coupling within the same case, so that the so-called explanatory-strain threshold lacks empirical meaning; third, if institutional absorption has already failed under low structural intensity, or remains stable under high structural intensity, indicating that the two sets of criteria do not co-vary in the typical direction.</w:t>
      </w:r>
    </w:p>
    <w:p>
      <w:pPr>
        <w:pStyle w:val="Heading2"/>
        <w:spacing w:after="160" w:before="280"/>
      </w:pPr>
      <w:r>
        <w:rPr>
          <w:rFonts w:ascii="Times New Roman" w:cs="Times New Roman" w:eastAsia="Times New Roman" w:hAnsi="Times New Roman"/>
          <w:b/>
          <w:bCs/>
          <w:color w:val="1F4E78"/>
          <w:sz w:val="24"/>
          <w:szCs w:val="24"/>
        </w:rPr>
        <w:t xml:space="preserve">1.5 The Theoretical Contribution of This Article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originality of this article lies in integrative conceptual contribution, not in claiming to establish an entirely new theory. The twenty-five governance coordinates derive from an existing analytical framework; this article's increment lies in linking coordinate positioning, the three structural phenomena, and institutional capacity to absorb disruption into an operable scenario-comparison procedure, allowing “what institutional condition future government under AI may take” and “under what conditions existing theory comes under explanatory strain” to be examined within the same analytical process. The three phenomena must be read holistically in terms of scope and coupling; the three ideal-type scenarios must have observable institutional conditions; and theoretical adaptation or reconstruction can only be a possible conclusion after case-based stress testing.</w:t>
      </w:r>
    </w:p>
    <w:p>
      <w:pPr>
        <w:pStyle w:val="Heading1"/>
        <w:spacing w:after="200" w:before="360"/>
      </w:pPr>
      <w:r>
        <w:rPr>
          <w:rFonts w:ascii="Times New Roman" w:cs="Times New Roman" w:eastAsia="Times New Roman" w:hAnsi="Times New Roman"/>
          <w:b/>
          <w:bCs/>
          <w:color w:val="1F4E78"/>
          <w:sz w:val="28"/>
          <w:szCs w:val="28"/>
        </w:rPr>
        <w:t xml:space="preserve">2. Analytical Framework: Governance Coordinates, Structural Phenomena, and Scenario Criteria</w:t>
      </w:r>
    </w:p>
    <w:p>
      <w:pPr>
        <w:pStyle w:val="Heading2"/>
        <w:spacing w:after="160" w:before="280"/>
      </w:pPr>
      <w:r>
        <w:rPr>
          <w:rFonts w:ascii="Times New Roman" w:cs="Times New Roman" w:eastAsia="Times New Roman" w:hAnsi="Times New Roman"/>
          <w:b/>
          <w:bCs/>
          <w:color w:val="1F4E78"/>
          <w:sz w:val="24"/>
          <w:szCs w:val="24"/>
        </w:rPr>
        <w:t xml:space="preserve">2.1 Twenty-Five Governance Coordinates as a Positioning Tool</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Public administration can be divided, from the abstract to the concrete, into five analytical levels—philosophy and values, institutional division of labor, policy systems, organizational design, and management operations; the units of analysis are individuals, groups, organizations, society, and the international sphere. Crossing the two axes produces twenty-five governance coordinates (Levine et al., 1990; Lu, 1996). The function of the coordinates is first to identify which level AI mainly intervenes in and which units of analysis it affects, and then to track its cross-cell effects; it is not meant to mechanically slot individual cases into a single cell.</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five analytical levels present the analytical sequence of public administration from normative foundations, institutional configuration, and policy formation to organizational arrangement and concrete management operations; the five units of analysis mark the scale of those who bear effects and those who act. Real-world AI applications may involve multiple cells simultaneously, which is precisely the starting point for the subsequent analysis of cross-cell movement.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“units of analysis” used here refer simultaneously to actors and to the scale at which governance effects are borne. Individuals, groups, and organizations are actors with decision-making and behavioral capacity; society and the international sphere mark the governance scale over which AI's effects diffuse. This heterogeneity serves the article's core question: tracking how AI's effects diffuse from actor-level cells to broader scales. If the horizontal axis were limited to homogeneous actors, it would be difficult to describe how an individual case escalates into a societal distributive dispute, or how domestic administration connects to cross-border platforms and technical standards.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 single AI application may involve multiple cells. The primary cell must satisfy two conditions simultaneously: AI output acts directly on that level and unit, and the institutional function of that cell undergoes substantive change because of AI intervention. Secondary cells refer to positions that spill over from the primary cell, where AI does not act directly or where the change is derivative. For example, in AI-assisted welfare eligibility review, the primary cell is “policy system × individual”; secondary cells may include “policy system × society” and “organizational design × organization.” The distinction between primary and secondary cells is used to establish a starting point for tracking, not to imply that effects remain confined to a single cell.</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Figure 2 presents the twenty-five governance coordinates using the correct five units of analysis—individual, group, organization, society, and international. Taking “policy system × society” as an example, analytical foci may include resource allocation, policy feedback, and programmatic benefits; “management operations × individual” may include digital services, case handling, and human–AI interaction. The text within each cell is a positioning prompt, not a closed classification.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Level \ Unit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Individual</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Group</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Organization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Society</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International</w:t>
            </w:r>
          </w:p>
        </w:tc>
      </w:tr>
      <w:tr>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Philosophy &amp; Values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Dignity, autonomy, informed consent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Group fairness, recognition of difference</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Publicness, administrative ethics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Public interest, democratic legitimacy</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Universal human rights, global AI ethics</w:t>
            </w:r>
          </w:p>
        </w:tc>
      </w:tr>
      <w:tr>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 Division of Labor</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Rights protection, appeal &amp; remedy, data autonomy</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Stakeholder participation, collective bargaining</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Government–market–platform division, outsourced accountability</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Digital sovereignty, institutional choice</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Cross-border platforms, international standards &amp; coordination</w:t>
            </w:r>
          </w:p>
        </w:tc>
      </w:tr>
      <w:tr>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Policy System</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Algorithmic discretion, eligibility, case impact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Risk classification, group impact, policy representation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AI decision support, policy formation &amp; execution, reason formation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Resource allocation, policy feedback, programmatic benefits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Cross-national policy learning, data governance, policy diffusion</w:t>
            </w:r>
          </w:p>
        </w:tc>
      </w:tr>
      <w:tr>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Organizational Design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Human review, appeal windows, exception handling</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Co-production, civic participation, group oversight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Human–AI allocation of responsibility, role redesign, chain-of-responsibility design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Inter-agency networks, collaborative governance, public oversight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Cross-national collaboration, technical supply chains, joint regulation</w:t>
            </w:r>
          </w:p>
        </w:tc>
      </w:tr>
      <w:tr>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Management Operations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Digital services, case handling, human–AI interaction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Group identification, differentiated services, bias monitoring</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Strategy/personnel/finance, performance management, process automation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Automated public services, crisis prediction, social resilience</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Cross-border data flows, AI infrastructure, global risk</w:t>
            </w:r>
          </w:p>
        </w:tc>
      </w:tr>
    </w:tbl>
    <w:p>
      <w:pPr>
        <w:spacing w:after="80" w:before="120"/>
        <w:jc w:val="center"/>
      </w:pPr>
      <w:r>
        <w:rPr>
          <w:rFonts w:ascii="Times New Roman" w:cs="Times New Roman" w:eastAsia="Times New Roman" w:hAnsi="Times New Roman"/>
          <w:b/>
          <w:bCs/>
          <w:color w:val="1F2937"/>
          <w:sz w:val="21"/>
          <w:szCs w:val="21"/>
        </w:rPr>
        <w:t xml:space="preserve">Figure 2  Twenty-Five Governance Coordinates: Five Analytical Levels × Five Units of Analysis in Public Administration</w:t>
      </w:r>
    </w:p>
    <w:p>
      <w:pPr>
        <w:spacing w:after="240"/>
        <w:ind w:firstLine="0"/>
        <w:jc w:val="left"/>
      </w:pPr>
      <w:r>
        <w:rPr>
          <w:rFonts w:ascii="Times New Roman" w:cs="Times New Roman" w:eastAsia="Times New Roman" w:hAnsi="Times New Roman"/>
          <w:i/>
          <w:iCs/>
          <w:color w:val="595959"/>
          <w:sz w:val="19"/>
          <w:szCs w:val="19"/>
        </w:rPr>
        <w:t xml:space="preserve">Source: revised by the author based on the analytical framework of Levine et al. (1990) and Lu (1996). Cell content is illustrative rather than exhaustive; selection is based on issues of authority, responsibility, procedure, and resource allocation that may arise in each level and unit under AI intervention.</w:t>
      </w:r>
    </w:p>
    <w:p>
      <w:pPr>
        <w:pStyle w:val="Heading2"/>
        <w:spacing w:after="160" w:before="280"/>
      </w:pPr>
      <w:r>
        <w:rPr>
          <w:rFonts w:ascii="Times New Roman" w:cs="Times New Roman" w:eastAsia="Times New Roman" w:hAnsi="Times New Roman"/>
          <w:b/>
          <w:bCs/>
          <w:color w:val="1F4E78"/>
          <w:sz w:val="24"/>
          <w:szCs w:val="24"/>
        </w:rPr>
        <w:t xml:space="preserve">2.2 Defining the Three Structural Phenomena</w:t>
      </w:r>
    </w:p>
    <w:p>
      <w:pPr>
        <w:pStyle w:val="Heading3"/>
        <w:spacing w:after="120" w:before="200"/>
      </w:pPr>
      <w:r>
        <w:rPr>
          <w:rFonts w:ascii="Times New Roman" w:cs="Times New Roman" w:eastAsia="Times New Roman" w:hAnsi="Times New Roman"/>
          <w:b/>
          <w:bCs/>
          <w:color w:val="1F2937"/>
          <w:sz w:val="22"/>
          <w:szCs w:val="22"/>
        </w:rPr>
        <w:t xml:space="preserve">(1) Cross-Cell Movement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Cross-cell movement refers to the phenomenon in which, once AI intervenes in one cell, its effects continue to extend to other levels or units of analysis. For example, a semantic summary of an individual complaint, if affected by the representativeness of training data, may further develop into a societal-level distributive dispute. This phenomenon shows that the coordinates can be used to track paths of influence, but does not imply that levels and units are empirically fixed forever.</w:t>
      </w:r>
    </w:p>
    <w:p>
      <w:pPr>
        <w:pStyle w:val="Heading3"/>
        <w:spacing w:after="120" w:before="200"/>
      </w:pPr>
      <w:r>
        <w:rPr>
          <w:rFonts w:ascii="Times New Roman" w:cs="Times New Roman" w:eastAsia="Times New Roman" w:hAnsi="Times New Roman"/>
          <w:b/>
          <w:bCs/>
          <w:color w:val="1F2937"/>
          <w:sz w:val="22"/>
          <w:szCs w:val="22"/>
        </w:rPr>
        <w:t xml:space="preserve">(2) Boundary Dissolution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Boundary dissolution refers to the institutional division of labor among government, market, technology vendors, and the third sector, as well as the analytical boundary among individuals, organizations, and society, becoming overlapping or difficult to distinguish within algorithmic supply chains. The core problem is not that boundaries disappear entirely, but whether existing institutions can still trace decisions, reasons, and responsibility (Cobbe et al., 2023).</w:t>
      </w:r>
    </w:p>
    <w:p>
      <w:pPr>
        <w:pStyle w:val="Heading3"/>
        <w:spacing w:after="120" w:before="200"/>
      </w:pPr>
      <w:r>
        <w:rPr>
          <w:rFonts w:ascii="Times New Roman" w:cs="Times New Roman" w:eastAsia="Times New Roman" w:hAnsi="Times New Roman"/>
          <w:b/>
          <w:bCs/>
          <w:color w:val="1F2937"/>
          <w:sz w:val="22"/>
          <w:szCs w:val="22"/>
        </w:rPr>
        <w:t xml:space="preserve">(3) Authority Reconfiguration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Authority reconfiguration refers to a situation in which legal authorization and administrative discretion still formally exist, but model outputs, data classification, and technical standards begin to substantively influence “what is treated as fact” and “which options can be chosen.” When formal decision-makers, those who substantively influence the decision, and those who supply the reasons no longer coincide, the chain of authority becomes displaced (Busuioc, 2021).</w:t>
      </w:r>
    </w:p>
    <w:p>
      <w:pPr>
        <w:pStyle w:val="Heading2"/>
        <w:spacing w:after="160" w:before="280"/>
      </w:pPr>
      <w:r>
        <w:rPr>
          <w:rFonts w:ascii="Times New Roman" w:cs="Times New Roman" w:eastAsia="Times New Roman" w:hAnsi="Times New Roman"/>
          <w:b/>
          <w:bCs/>
          <w:color w:val="1F4E78"/>
          <w:sz w:val="24"/>
          <w:szCs w:val="24"/>
        </w:rPr>
        <w:t xml:space="preserve">2.3 Scenario Criteria: Intensity of Structural Phenomena and Institutional Capacity to Absorb Disruption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analysis distinguishes scenarios using two conceptually distinguishable, empirically possibly related criteria. The first is the intensity of the three structural phenomena: low intensity means the effects are confined to a few cells; medium intensity means the effects repeatedly cross multiple levels or units; high intensity means cross-cell movement, boundary dissolution, and authority reconfiguration remain coupled across multiple cells. The second is absorptive capacity: whether meaningful review can change outcomes, whether reasons can be connected back to facts and norms, whether responsibility can be attributed, and whether AI's substantive effect remains under lawful authorization. The two sets of criteria may be related, because the stronger the structural phenomena, the harder institutional absorption typically becomes; but this relationship is not logically necessary—high intensity paired with high absorption, and low intensity paired with low absorption, are both theoretically possible atypical combinations.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four dimensions of the institution's capacity to absorb these disruptions correspond respectively to three institutional chains and one procedural safeguard. Reason-giving corresponds to the chain of reasons, requiring that AI output can still be connected back to comprehensible factual and normative judgments (Busuioc, 2021; Grimmelikhuijsen &amp; Meijer, 2022); responsibility attribution corresponds to the chain of responsibility, requiring that errors or harms can still be traced to an actor with a legal obligation (Cobbe et al., 2021, 2023); lawful authorization corresponds to the chain of authority, requiring that AI's substantive effect remains bound by the scope of legal authorization; meaningful review is the procedural condition that tests whether the three chains are functioning effectively, centering on whether human review has the authority and capacity to understand, challenge, and change the outcome (Young et al., 2019).</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four capacities stand in a functionally complementary relationship rather than a strict sequence of necessary conditions. The breakdown of any one institutional chain indicates weakening in that dimension, but does not necessarily amount to overall failure of institutional absorption; institutions may partly compensate through other arrangements when a single chain weakens. This article distinguishes the overall state into three tiers—high absorption, partial absorption, and absorption failure—as shown in Table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400"/>
        <w:gridCol w:w="5160"/>
      </w:tblGrid>
      <w:tr>
        <w:tc>
          <w:tcPr>
            <w:tcW w:type="dxa" w:w="18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Tier</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 Absorption State</w:t>
            </w:r>
          </w:p>
        </w:tc>
        <w:tc>
          <w:tcPr>
            <w:tcW w:type="dxa" w:w="5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Judgment Condition</w:t>
            </w:r>
          </w:p>
        </w:tc>
      </w:tr>
      <w:tr>
        <w:tc>
          <w:tcPr>
            <w:tcW w:type="dxa" w:w="18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High Absorption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All three chains largely intact</w:t>
            </w:r>
          </w:p>
        </w:tc>
        <w:tc>
          <w:tcPr>
            <w:tcW w:type="dxa" w:w="5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Meaningful review can change outcomes; the chains of reasons, responsibility, and authority largely continue to function.</w:t>
            </w:r>
          </w:p>
        </w:tc>
      </w:tr>
      <w:tr>
        <w:tc>
          <w:tcPr>
            <w:tcW w:type="dxa" w:w="18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Partial Absorption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At least one chain weakened</w:t>
            </w:r>
          </w:p>
        </w:tc>
        <w:tc>
          <w:tcPr>
            <w:tcW w:type="dxa" w:w="5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Procedures still exist, but at least one chain shows a gap of “traceable yet hard to attribute” or “explainable yet hard to correct”; the institution retains some remedial or corrective capacity.</w:t>
            </w:r>
          </w:p>
        </w:tc>
      </w:tr>
      <w:tr>
        <w:tc>
          <w:tcPr>
            <w:tcW w:type="dxa" w:w="18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Absorption Failure</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At least two chains persistently broken</w:t>
            </w:r>
          </w:p>
        </w:tc>
        <w:tc>
          <w:tcPr>
            <w:tcW w:type="dxa" w:w="5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Meaningful review cannot change outcomes, and at least two of the three chains—reasons, responsibility, and authority—remain persistently broken, with no compensation from other institutional arrangements.</w:t>
            </w:r>
          </w:p>
        </w:tc>
      </w:tr>
    </w:tbl>
    <w:p>
      <w:pPr>
        <w:spacing w:after="80" w:before="120"/>
        <w:jc w:val="center"/>
      </w:pPr>
      <w:r>
        <w:rPr>
          <w:rFonts w:ascii="Times New Roman" w:cs="Times New Roman" w:eastAsia="Times New Roman" w:hAnsi="Times New Roman"/>
          <w:b/>
          <w:bCs/>
          <w:color w:val="1F2937"/>
          <w:sz w:val="21"/>
          <w:szCs w:val="21"/>
        </w:rPr>
        <w:t xml:space="preserve">Table 1  Three-Tier Criteria for Institutional Capacity to Absorb Disruption</w:t>
      </w:r>
    </w:p>
    <w:p>
      <w:pPr>
        <w:spacing w:after="240"/>
        <w:ind w:firstLine="0"/>
        <w:jc w:val="left"/>
      </w:pPr>
      <w:r>
        <w:rPr>
          <w:rFonts w:ascii="Times New Roman" w:cs="Times New Roman" w:eastAsia="Times New Roman" w:hAnsi="Times New Roman"/>
          <w:i/>
          <w:iCs/>
          <w:color w:val="595959"/>
          <w:sz w:val="19"/>
          <w:szCs w:val="19"/>
        </w:rPr>
        <w:t xml:space="preserve">Source: constructed by the author based on Busuioc (2021), Cobbe et al. (2021, 2023), Grimmelikhuijsen &amp; Meijer (2022), and Young et al. (2019).</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Institutional capacity to absorb disruption is related to, but conceptually distinct from, administrative capacity, state capacity, institutional adaptation, and organizational resilience. Administrative capacity emphasizes the analytical, coordinating, regulatory, and delivery resources needed to execute policy (Lodge &amp; Wegrich, 2014); organizational resilience concerns an organization's ability to withstand shocks and maintain or recover function (Boin &amp; van Eeten, 2013). This analysis instead focuses on whether existing administrative institutions can sustain the chains of reasons, responsibility, and authority when confronted with the cross-cell movement, boundary dissolution, and authority reconfiguration that AI induces. It does not take efficiency or speed of recovery as its criterion, but whether normative institutional functions can still be fulfilled.</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full English expression for what this article calls institutional absorptive capacity is institutional capacity to absorb AI-induced structural disruptions, which differs from the absorptive capacity of the organizational learning literature. Cohen and Levinthal's (1990) absorptive capacity refers to an organization's ability to recognize, assimilate, and apply external knowledge; this article's concept instead refers specifically to an administrative institution's capacity to maintain normative functions when facing AI-induced structural shock, and does not adopt the knowledge-learning connotation of that literature.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twenty-five governance coordinates and the three structural phenomena (hereafter “the 25–3 framework”) together constitute this article's scenario-positioning architecture. Its criteria remain qualitative and directional and do not manufacture quantitative scores based on scenario assumptions that have not occurred. What this article calls “transition conditions” are merely indicators for observing scenario movement, not causal mechanisms; building a measurement model would require separate development using publicly available documents and records of actual operation.</w:t>
      </w:r>
    </w:p>
    <w:p>
      <w:pPr>
        <w:pStyle w:val="Heading1"/>
        <w:spacing w:after="200" w:before="360"/>
      </w:pPr>
      <w:r>
        <w:rPr>
          <w:rFonts w:ascii="Times New Roman" w:cs="Times New Roman" w:eastAsia="Times New Roman" w:hAnsi="Times New Roman"/>
          <w:b/>
          <w:bCs/>
          <w:color w:val="1F4E78"/>
          <w:sz w:val="28"/>
          <w:szCs w:val="28"/>
        </w:rPr>
        <w:t xml:space="preserve">3. Literature Dialogue: The Necessity and Limits of This Article's Framework</w:t>
      </w:r>
    </w:p>
    <w:p>
      <w:pPr>
        <w:pStyle w:val="Heading2"/>
        <w:spacing w:after="160" w:before="280"/>
      </w:pPr>
      <w:r>
        <w:rPr>
          <w:rFonts w:ascii="Times New Roman" w:cs="Times New Roman" w:eastAsia="Times New Roman" w:hAnsi="Times New Roman"/>
          <w:b/>
          <w:bCs/>
          <w:color w:val="1F4E78"/>
          <w:sz w:val="24"/>
          <w:szCs w:val="24"/>
        </w:rPr>
        <w:t xml:space="preserve">3.1 Limits of Multi-Level and Three-Level Models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Criado et al. (2025) organize discussions of AI governance around macro, meso, and micro levels, while Mökander et al. (2024) distinguish three analytical layers—governance, model, and application. These frameworks help identify levels but rarely cross-analyze units of analysis at the same time, nor do they use cross-cell movement, boundary dissolution, and authority reconfiguration to trace the chained effects of the same technological intervention. The present analysis supplements this positioning function with the twenty-five governance coordinates in Figure 2. Multi-level frameworks answer at what scale a phenomenon is located; this article further addresses how the same technological intervention moves between levels and units, and which institutional functions come under strain after such movement. The twenty-five governance coordinates therefore do not replace multi-level governance research, but provide an interface for tracking cross-level, cross-unit paths.</w:t>
      </w:r>
    </w:p>
    <w:p>
      <w:pPr>
        <w:pStyle w:val="Heading2"/>
        <w:spacing w:after="160" w:before="280"/>
      </w:pPr>
      <w:r>
        <w:rPr>
          <w:rFonts w:ascii="Times New Roman" w:cs="Times New Roman" w:eastAsia="Times New Roman" w:hAnsi="Times New Roman"/>
          <w:b/>
          <w:bCs/>
          <w:color w:val="1F4E78"/>
          <w:sz w:val="24"/>
          <w:szCs w:val="24"/>
        </w:rPr>
        <w:t xml:space="preserve">3.2 Insights and Gaps from Accountability and Supply-Chain Research</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Busuioc (2021) and Cobbe et al. (2021, 2023) have already explained the complexity of algorithmic accountability and supply-chain responsibility. Building on this, this article separates responsibility, reasons, and authority, and further asks at which governance levels and units of analysis these issues arise. Its contribution does not replace existing accountability research but situates these questions within coordinates that can track cross-level and cross-unit change. Young et al.'s (2019) analysis of artificial discretion further points out that AI not only executes established rules but may also change the options and judgment space visible to administrative personnel. This article accordingly treats responsibility attribution, reason formation, and authority configuration as three separately positioned issues.</w:t>
      </w:r>
    </w:p>
    <w:p>
      <w:pPr>
        <w:pStyle w:val="Heading2"/>
        <w:spacing w:after="160" w:before="280"/>
      </w:pPr>
      <w:r>
        <w:rPr>
          <w:rFonts w:ascii="Times New Roman" w:cs="Times New Roman" w:eastAsia="Times New Roman" w:hAnsi="Times New Roman"/>
          <w:b/>
          <w:bCs/>
          <w:color w:val="1F4E78"/>
          <w:sz w:val="24"/>
          <w:szCs w:val="24"/>
        </w:rPr>
        <w:t xml:space="preserve">3.3 The Place of Taiwanese Literature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Taiwanese research has gradually shifted from application potential toward public values, discretion, discrimination risk, and institutional adaptation (Ding &amp; Lin, 2020; Huang et al., 2021; Lee et al., 2022; Huang &amp; Chen, 2023; Liao, 2024). The framework developed here does not claim that Taiwanese research lacks theory, but points out that further integration remains possible among coordinate positioning, structural phenomena, and scenario comparison.</w:t>
      </w:r>
    </w:p>
    <w:p>
      <w:pPr>
        <w:pStyle w:val="Heading2"/>
        <w:spacing w:after="160" w:before="280"/>
      </w:pPr>
      <w:r>
        <w:rPr>
          <w:rFonts w:ascii="Times New Roman" w:cs="Times New Roman" w:eastAsia="Times New Roman" w:hAnsi="Times New Roman"/>
          <w:b/>
          <w:bCs/>
          <w:color w:val="1F4E78"/>
          <w:sz w:val="24"/>
          <w:szCs w:val="24"/>
        </w:rPr>
        <w:t xml:space="preserve">3.4 Administrative Capacity, Institutional Adaptation, and Organizational Resilience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administrative-capacity literature concerns the analytical, coordinating, regulatory, and policy-delivery capacities agencies need to solve public problems (Lodge &amp; Wegrich, 2014); institutional adaptation emphasizes the adjustment of rules and roles as institutions face environmental change; organizational resilience discusses an organization's ability to maintain or recover function after withstanding shocks (Boin &amp; van Eeten, 2013). The institutional capacity to absorb disruption addressed here connects to these concepts but focuses specifically on whether the chains of reasons, responsibility, and authority can fulfill their normative functions. This distinction allows researchers to recognize that an institution may remain highly efficient and operationally continuous while no longer able to provide reviewable reasons or locate a lawful decision-maker.</w:t>
      </w:r>
    </w:p>
    <w:p>
      <w:pPr>
        <w:pStyle w:val="Heading2"/>
        <w:spacing w:after="160" w:before="280"/>
      </w:pPr>
      <w:r>
        <w:rPr>
          <w:rFonts w:ascii="Times New Roman" w:cs="Times New Roman" w:eastAsia="Times New Roman" w:hAnsi="Times New Roman"/>
          <w:b/>
          <w:bCs/>
          <w:color w:val="1F4E78"/>
          <w:sz w:val="24"/>
          <w:szCs w:val="24"/>
        </w:rPr>
        <w:t xml:space="preserve">3.5 Reason-Giving, Accountability, and Lawful Authorization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Reason-giving, administrative accountability, and lawful authorization are usually discussed separately in the existing literature. The integrative contribution offered here is to connect the three into the institutional chains that constitute institutional absorption, while preserving their distinct normative functions: the chain of reasons addresses whether a decision is comprehensible and contestable, the chain of responsibility addresses who bears and remedies error, and the chain of authority addresses who has the power to form judgments with legal effect. Meaningful review tests whether these three chains can actually change a decision, rather than leaving only formal procedure in place.</w:t>
      </w:r>
    </w:p>
    <w:p>
      <w:pPr>
        <w:pStyle w:val="Heading1"/>
        <w:spacing w:after="200" w:before="360"/>
      </w:pPr>
      <w:r>
        <w:rPr>
          <w:rFonts w:ascii="Times New Roman" w:cs="Times New Roman" w:eastAsia="Times New Roman" w:hAnsi="Times New Roman"/>
          <w:b/>
          <w:bCs/>
          <w:color w:val="1F4E78"/>
          <w:sz w:val="28"/>
          <w:szCs w:val="28"/>
        </w:rPr>
        <w:t xml:space="preserve">4. Scenario Analysis of Future Government under AI Governance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section uses the twenty-five governance coordinates to locate AI intervention, and then distinguishes three ideal-type scenarios—institutionally absorptive (optimistic), frictional hybrid (pragmatic), and authority-displacing (pessimistic)—based on the intensity of the three structural phenomena and institutional capacity to absorb disruption. Table 2 first presents the comparative baseline; subsequent subsections explain each scenario's institutional character and theoretical implications.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2400"/>
        <w:gridCol w:w="2400"/>
      </w:tblGrid>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Dimension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Institutionally Absorptive (Optimistic)</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Frictional Hybrid (Pragmatic)</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Authority-Displacing (Pessimistic)</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Intensity of Structural Phenomena</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Low; scope of effect limited</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Medium; crosses multiple coordinates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High; the three phenomena are coupled</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 Capacity to Absorb Disruption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Meaningful review, correction, and remedy possible</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Procedures exist but substantive capacity is uneven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Review and remedy can hardly change model effects</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Configuration of Authority</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Legal authorization and human discretion dominant</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Legal authorization and technical output coexist</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Technical output substantively compresses human discretion</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Main Risk</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Problem framing narrowed in advance by technology</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Ambiguous supply-chain responsibility and formalized review</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Chains of reasons, responsibility, and authority break down simultaneously</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Theoretical Implication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Existing theory can adapt</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Requires expanding analysis of supply chains and framing power</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Whether reconstruction is needed awaits case-based stress testing</w:t>
            </w:r>
          </w:p>
        </w:tc>
      </w:tr>
    </w:tbl>
    <w:p>
      <w:pPr>
        <w:spacing w:after="80" w:before="120"/>
        <w:jc w:val="center"/>
      </w:pPr>
      <w:r>
        <w:rPr>
          <w:rFonts w:ascii="Times New Roman" w:cs="Times New Roman" w:eastAsia="Times New Roman" w:hAnsi="Times New Roman"/>
          <w:b/>
          <w:bCs/>
          <w:color w:val="1F2937"/>
          <w:sz w:val="21"/>
          <w:szCs w:val="21"/>
        </w:rPr>
        <w:t xml:space="preserve">Table 2  Comparison of Three Ideal-Type Future Government Scenarios under AI Governance</w:t>
      </w:r>
    </w:p>
    <w:p>
      <w:pPr>
        <w:spacing w:after="240"/>
        <w:ind w:firstLine="0"/>
        <w:jc w:val="left"/>
      </w:pPr>
      <w:r>
        <w:rPr>
          <w:rFonts w:ascii="Times New Roman" w:cs="Times New Roman" w:eastAsia="Times New Roman" w:hAnsi="Times New Roman"/>
          <w:i/>
          <w:iCs/>
          <w:color w:val="595959"/>
          <w:sz w:val="19"/>
          <w:szCs w:val="19"/>
        </w:rPr>
        <w:t xml:space="preserve">Source: constructed by the author.</w:t>
      </w:r>
    </w:p>
    <w:p>
      <w:pPr>
        <w:pStyle w:val="Heading2"/>
        <w:spacing w:after="160" w:before="280"/>
      </w:pPr>
      <w:r>
        <w:rPr>
          <w:rFonts w:ascii="Times New Roman" w:cs="Times New Roman" w:eastAsia="Times New Roman" w:hAnsi="Times New Roman"/>
          <w:b/>
          <w:bCs/>
          <w:color w:val="1F4E78"/>
          <w:sz w:val="24"/>
          <w:szCs w:val="24"/>
        </w:rPr>
        <w:t xml:space="preserve">4.1 Institutionally Absorptive Type (Optimistic Scenario): Institutionally Adaptive Human–AI Governance</w:t>
      </w:r>
    </w:p>
    <w:p>
      <w:pPr>
        <w:pStyle w:val="Heading3"/>
        <w:spacing w:after="120" w:before="200"/>
      </w:pPr>
      <w:r>
        <w:rPr>
          <w:rFonts w:ascii="Times New Roman" w:cs="Times New Roman" w:eastAsia="Times New Roman" w:hAnsi="Times New Roman"/>
          <w:b/>
          <w:bCs/>
          <w:color w:val="1F2937"/>
          <w:sz w:val="22"/>
          <w:szCs w:val="22"/>
        </w:rPr>
        <w:t xml:space="preserve">(1) Coordinate Positioning and Intensity Judgment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In the optimistic scenario, AI is concentrated mainly at the levels of management operations and organizational design, with effects mainly on individual, group, and organizational units. The scope of cross-cell effects is limited, vendor responsibility can be traced through contracts and allocation of responsibility, meaningful human review can substantively change outcomes, and decision-making authority remains based on legal authorization and human normative judgment.</w:t>
      </w:r>
    </w:p>
    <w:p>
      <w:pPr>
        <w:pStyle w:val="Heading3"/>
        <w:spacing w:after="120" w:before="200"/>
      </w:pPr>
      <w:r>
        <w:rPr>
          <w:rFonts w:ascii="Times New Roman" w:cs="Times New Roman" w:eastAsia="Times New Roman" w:hAnsi="Times New Roman"/>
          <w:b/>
          <w:bCs/>
          <w:color w:val="1F2937"/>
          <w:sz w:val="22"/>
          <w:szCs w:val="22"/>
        </w:rPr>
        <w:t xml:space="preserve">(2) In-Depth Analysis of the Institutional Character</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core of this scenario is that algorithms assist administration rather than replace it. AI may organize facts, flag risks, or propose options, but normative judgment and final decisions remain the responsibility of personnel with lawful authorization. The key point of institutional design is not merely keeping a human in the loop, but clearly specifying when AI may be used, when matters must be handled manually, and what records reviewers must obtain (Young et al., 2019).</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Organizations may establish AI-collaboration positions, exception-handling windows, and dedicated review procedures, rather than simply cutting front-line positions. Representative bureaucracy theory retains explanatory power here, because human discretion and the function of interacting with the public remain institutionally preserved (Meier, 2019).</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Even when the intensity of the three phenomena is low, problem framing may still be narrowed in advance by data selection, preset categories, and summarization rules. The optimistic scenario therefore also requires examining who sets data, categories, and prompt rules, and whether these settings can be challenged and revised.</w:t>
      </w:r>
    </w:p>
    <w:p>
      <w:pPr>
        <w:pStyle w:val="Heading3"/>
        <w:spacing w:after="120" w:before="200"/>
      </w:pPr>
      <w:r>
        <w:rPr>
          <w:rFonts w:ascii="Times New Roman" w:cs="Times New Roman" w:eastAsia="Times New Roman" w:hAnsi="Times New Roman"/>
          <w:b/>
          <w:bCs/>
          <w:color w:val="1F2937"/>
          <w:sz w:val="22"/>
          <w:szCs w:val="22"/>
        </w:rPr>
        <w:t xml:space="preserve">(3) Theoretical Diagnosis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Existing public administration theory can largely still operate in this scenario, but needs to incorporate algorithmic framing and human–AI allocation of responsibility. The more reasonable theoretical response here is adaptation, not an immediate claim of paradigm reconstruction.</w:t>
      </w:r>
    </w:p>
    <w:p>
      <w:pPr>
        <w:pStyle w:val="Heading2"/>
        <w:spacing w:after="160" w:before="280"/>
      </w:pPr>
      <w:r>
        <w:rPr>
          <w:rFonts w:ascii="Times New Roman" w:cs="Times New Roman" w:eastAsia="Times New Roman" w:hAnsi="Times New Roman"/>
          <w:b/>
          <w:bCs/>
          <w:color w:val="1F4E78"/>
          <w:sz w:val="24"/>
          <w:szCs w:val="24"/>
        </w:rPr>
        <w:t xml:space="preserve">4.2 Frictional Hybrid Type (Pragmatic Scenario): Frictional Hybrid Governance</w:t>
      </w:r>
    </w:p>
    <w:p>
      <w:pPr>
        <w:pStyle w:val="Heading3"/>
        <w:spacing w:after="120" w:before="200"/>
      </w:pPr>
      <w:r>
        <w:rPr>
          <w:rFonts w:ascii="Times New Roman" w:cs="Times New Roman" w:eastAsia="Times New Roman" w:hAnsi="Times New Roman"/>
          <w:b/>
          <w:bCs/>
          <w:color w:val="1F2937"/>
          <w:sz w:val="22"/>
          <w:szCs w:val="22"/>
        </w:rPr>
        <w:t xml:space="preserve">(1) Coordinate Positioning and Intensity Judgment </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AI acts simultaneously on the policy-system and organizational-design levels, and crosses individual, organizational, and societal units. Cross-cell movement recurs; the responsibility boundaries among government, market, and platforms partly overlap; legal authorization and technical output jointly influence decisions. The three structural phenomena are mostly at medium intensity, while absorptive capacity varies by agency, policy domain, and case type.</w:t>
      </w:r>
    </w:p>
    <w:p>
      <w:pPr>
        <w:pStyle w:val="Heading3"/>
        <w:spacing w:after="120" w:before="200"/>
      </w:pPr>
      <w:r>
        <w:rPr>
          <w:rFonts w:ascii="Times New Roman" w:cs="Times New Roman" w:eastAsia="Times New Roman" w:hAnsi="Times New Roman"/>
          <w:b/>
          <w:bCs/>
          <w:color w:val="1F2937"/>
          <w:sz w:val="22"/>
          <w:szCs w:val="22"/>
        </w:rPr>
        <w:t xml:space="preserve">(2) In-Depth Analysis of the Institutional Character </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scenario presents a transitional state common in digital government transformation. Procurement contracts and allocation-of-responsibility charts still exist, but among model vendors, cloud service providers, system integrators, and using agencies, a gap may emerge in which decisions are traceable yet responsibility is hard to substantively attribute (Cobbe et al., 2021, 2023).</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When policy formation relies on AI-based sentiment analysis, classification, and simulation, data bias may expand from an individual case into a societal-level resource-allocation problem. Taiwanese research has already pointed to risks of unintended discrimination and misplaced public values (Lee et al., 2022; Huang &amp; Chen, 2023).</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analysis uses recent Taiwanese AI governance documents as illustrative materials rather than empirically validated cases. The function of illustrative materials is to help readers understand how the scenario criteria operate and how Taiwan's institutional development corresponds to this article's scenarios; it does not constitute an overall evaluation of the effectiveness of Taiwan's AI governance. In terms of institutional formation, the New Taipei City Government issued AI operating guidelines in 2025; the Ministry of Digital Affairs issued an AI risk classification framework and an application impact assessment in 2026 (New Taipei City Government, 2025; Ministry of Digital Affairs, 2026a, 2026b). Because the local document predates the central framework, these materials cannot demonstrate that a central institution has diffused to the local level; a more appropriate reading is that central and local AI risk-governance tools have formed successively. Whether their implementation effectiveness, consistency of criteria, and appeal procedures can substantively change decisions remains to be observed.</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At the organizational level, highly automated processes and manual exception-handling may coexist over a long period. This requires assessing whether an agency has the capacity to recognize model limitations, challenge outputs, adjust data, and initiate remedial procedures. If an agency only publishes an impact assessment or sets up an appeal window without substantive corrective capacity, the accountability procedure may still become formalized.</w:t>
      </w:r>
    </w:p>
    <w:p>
      <w:pPr>
        <w:pStyle w:val="Heading3"/>
        <w:spacing w:after="120" w:before="200"/>
      </w:pPr>
      <w:r>
        <w:rPr>
          <w:rFonts w:ascii="Times New Roman" w:cs="Times New Roman" w:eastAsia="Times New Roman" w:hAnsi="Times New Roman"/>
          <w:b/>
          <w:bCs/>
          <w:color w:val="1F2937"/>
          <w:sz w:val="22"/>
          <w:szCs w:val="22"/>
        </w:rPr>
        <w:t xml:space="preserve">(3) Theoretical Diagnosis </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pragmatic scenario is not institutional collapse, but a gradual narrowing of existing theory's explanatory range. Levels and units of analysis remain useful positioning tools, but if the substantive decision-makers within the supply chain, data framing, and cross-cell spillover effects are ignored, it becomes difficult to explain the flow of responsibility and authority.</w:t>
      </w:r>
    </w:p>
    <w:p>
      <w:pPr>
        <w:pStyle w:val="Heading2"/>
        <w:spacing w:after="160" w:before="280"/>
      </w:pPr>
      <w:r>
        <w:rPr>
          <w:rFonts w:ascii="Times New Roman" w:cs="Times New Roman" w:eastAsia="Times New Roman" w:hAnsi="Times New Roman"/>
          <w:b/>
          <w:bCs/>
          <w:color w:val="1F4E78"/>
          <w:sz w:val="24"/>
          <w:szCs w:val="24"/>
        </w:rPr>
        <w:t xml:space="preserve">4.3 Authority-Displacing Type (Pessimistic Scenario): Algorithmic Authority Displacement</w:t>
      </w:r>
    </w:p>
    <w:p>
      <w:pPr>
        <w:pStyle w:val="Heading3"/>
        <w:spacing w:after="120" w:before="200"/>
      </w:pPr>
      <w:r>
        <w:rPr>
          <w:rFonts w:ascii="Times New Roman" w:cs="Times New Roman" w:eastAsia="Times New Roman" w:hAnsi="Times New Roman"/>
          <w:b/>
          <w:bCs/>
          <w:color w:val="1F2937"/>
          <w:sz w:val="22"/>
          <w:szCs w:val="22"/>
        </w:rPr>
        <w:t xml:space="preserve">(1) Coordinate Positioning and Intensity Judgment  </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AI intervention extends to upper-level levels such as philosophy and values, institutional division of labor, and policy systems, while simultaneously affecting societal and international units. Cross-cell movement, boundary dissolution, and authority reconfiguration remain coupled across multiple cells; meaningful review, appeal, and remedy can hardly change the classifications, data, or options set by the model.</w:t>
      </w:r>
    </w:p>
    <w:p>
      <w:pPr>
        <w:pStyle w:val="Heading3"/>
        <w:spacing w:after="120" w:before="200"/>
      </w:pPr>
      <w:r>
        <w:rPr>
          <w:rFonts w:ascii="Times New Roman" w:cs="Times New Roman" w:eastAsia="Times New Roman" w:hAnsi="Times New Roman"/>
          <w:b/>
          <w:bCs/>
          <w:color w:val="1F2937"/>
          <w:sz w:val="22"/>
          <w:szCs w:val="22"/>
        </w:rPr>
        <w:t xml:space="preserve">(2) In-Depth Analysis of the Institutional Character  </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article uses “administration without humans” to describe an analytically extreme state: the organization still employs civil servants, but their discretion is substantially compressed by system parameters, preset categories, and process design, so that front-line staff mainly confirm system output rather than exercise independent judgment. This label is not a factual claim about current conditions.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In this scenario, the difficulty in the chain of reasons arises not only from the opacity of the model's internal reasoning, but also from the agency's inability to reconnect outcomes to comprehensible facts, law, and normative judgment. Technical opacity does not necessarily preclude administrative reasoning; the real rupture occurs when institutions cannot produce reviewable reasons, preserve records of dissent, or revise data and models in response to appeals (Busuioc, 2021; Grimmelikhuijsen &amp; Meijer, 2022).</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If cross-border models, cloud services, and technical standards are controlled by a small number of vendors, this may simultaneously weaken the state's control over data, models, and institutional options. At this point, domestic institutional division of labor and international regulatory coordination overlap, making it difficult for any single agency to independently handle responsibility and remedy.</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Formal signatories and substantive influencers may thereby become separated. Research on automation bias shows that decision-makers may over-rely on system output even when it conflicts with their professional judgment (Skitka et al., 1999). Under Taiwanese administrative law, Article 5 of the Administrative Procedure Act requires that the content of administrative acts be clear (Ministry of Justice, n.d.); Judicial Yuan Interpretation No. 443 further holds that administrative measures restricting people's rights or involving major public interests must generally have legal authorization or clear legal authorization. If AI substantively shapes eligibility determinations, restrictions on rights, or major resource allocation, institutions must confirm whether legal authorization covers such data use, model effect, and allocation of discretion. The U.S. nondelegation doctrine serves in this article only as a normative analogy (Sunstein, 2000), not as a claim that it can be directly transplanted to Taiwan; what genuinely needs to be examined is whether AI moves substantive discretion with legal effect out of the original chain of authority, leaving humans only a formal signing role.</w:t>
      </w:r>
    </w:p>
    <w:p>
      <w:pPr>
        <w:pStyle w:val="Heading3"/>
        <w:spacing w:after="120" w:before="200"/>
      </w:pPr>
      <w:r>
        <w:rPr>
          <w:rFonts w:ascii="Times New Roman" w:cs="Times New Roman" w:eastAsia="Times New Roman" w:hAnsi="Times New Roman"/>
          <w:b/>
          <w:bCs/>
          <w:color w:val="1F2937"/>
          <w:sz w:val="22"/>
          <w:szCs w:val="22"/>
        </w:rPr>
        <w:t xml:space="preserve">(3) Theoretical Diagnosis  </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scenario poses the strongest explanatory strain on existing public administration theory, but a paradigm shift cannot be declared on the basis of scenario projection alone. Only when cases across different policy domains repeatedly show that the twenty-five governance coordinates cannot track responsibility, reasons, and authority, and existing theory remains insufficient after adaptation, can theoretical reconstruction become a reasonable conclusion.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three scenarios are ideal-type positions along the joint variation of the two criteria; they do not exhaust the full combinatorial space. Figure 3 presents the institution's capacity to absorb these disruptions from high to low and the intensity of the three structural phenomena from low to high, showing the most typical direction of co-variation; it is not a stage theory in which time necessarily advances from left to right, nor does it exclude actual cases deviating from this axis.</w:t>
      </w:r>
    </w:p>
    <w:p>
      <w:pPr>
        <w:spacing w:after="120"/>
        <w:ind w:firstLine="0"/>
        <w:jc w:val="center"/>
      </w:pPr>
      <w:r>
        <w:rPr>
          <w:rFonts w:ascii="Times New Roman" w:cs="Times New Roman" w:eastAsia="Times New Roman" w:hAnsi="Times New Roman"/>
          <w:i w:val="false"/>
          <w:iCs w:val="false"/>
          <w:color w:val="404040"/>
          <w:sz w:val="20"/>
          <w:szCs w:val="20"/>
        </w:rPr>
        <w:t xml:space="preserve">Ideal-type co-variation axis: institutional absorptive capacity, from high to 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Institutionally Absorptive (Optimistic)
Institutionally Adaptive Human–AI Governance
Low Intensity / High Absorption</w:t>
            </w:r>
          </w:p>
        </w:tc>
        <w:tc>
          <w:tcPr>
            <w:tcW w:type="dxa" w:w="312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Frictional Hybrid (Pragmatic)
Frictional Hybrid Governance
Medium Intensity / Partial Absorption</w:t>
            </w:r>
          </w:p>
        </w:tc>
        <w:tc>
          <w:tcPr>
            <w:tcW w:type="dxa" w:w="312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Authority-Displacing (Pessimistic)
Algorithmic Authority Displacement
High-Intensity Coupling / Absorption Failure</w:t>
            </w:r>
          </w:p>
        </w:tc>
      </w:tr>
    </w:tbl>
    <w:p>
      <w:pPr>
        <w:spacing w:after="120"/>
        <w:ind w:firstLine="0"/>
        <w:jc w:val="center"/>
      </w:pPr>
      <w:r>
        <w:rPr>
          <w:rFonts w:ascii="Times New Roman" w:cs="Times New Roman" w:eastAsia="Times New Roman" w:hAnsi="Times New Roman"/>
          <w:i w:val="false"/>
          <w:iCs w:val="false"/>
          <w:color w:val="595959"/>
          <w:sz w:val="19"/>
          <w:szCs w:val="19"/>
        </w:rPr>
        <w:t xml:space="preserve">The three structural phenomena, from low intensity to high-intensity coupling … actual combinations may deviate from this axis</w:t>
      </w:r>
    </w:p>
    <w:p>
      <w:pPr>
        <w:spacing w:after="80" w:before="120"/>
        <w:jc w:val="center"/>
      </w:pPr>
      <w:r>
        <w:rPr>
          <w:rFonts w:ascii="Times New Roman" w:cs="Times New Roman" w:eastAsia="Times New Roman" w:hAnsi="Times New Roman"/>
          <w:b/>
          <w:bCs/>
          <w:color w:val="1F2937"/>
          <w:sz w:val="21"/>
          <w:szCs w:val="21"/>
        </w:rPr>
        <w:t xml:space="preserve">Figure 3  The Ideal-Type Institutional Absorption Spectrum of Future Government under AI Governance</w:t>
      </w:r>
    </w:p>
    <w:p>
      <w:pPr>
        <w:spacing w:after="240"/>
        <w:ind w:firstLine="0"/>
        <w:jc w:val="left"/>
      </w:pPr>
      <w:r>
        <w:rPr>
          <w:rFonts w:ascii="Times New Roman" w:cs="Times New Roman" w:eastAsia="Times New Roman" w:hAnsi="Times New Roman"/>
          <w:i/>
          <w:iCs/>
          <w:color w:val="595959"/>
          <w:sz w:val="19"/>
          <w:szCs w:val="19"/>
        </w:rPr>
        <w:t xml:space="preserve">Source: constructed by the author; the tripartite naming adapts Webb (2019). The dotted text in the figure indicates that the ideal-type axis does not exhaust all combinations.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spectrum presents only the most typical direction of co-variation between the two sets of criteria. To avoid mistaking correlation for necessity, Table 3 lists two atypical combinations that deviate from the ideal-type axis.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3744"/>
      </w:tblGrid>
      <w:tr>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Intensity of Structural Phenomena</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 Capacity to Absorb Disruption</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Theoretical Position</w:t>
            </w:r>
          </w:p>
        </w:tc>
        <w:tc>
          <w:tcPr>
            <w:tcW w:type="dxa" w:w="3744"/>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Treatment in This Article</w:t>
            </w:r>
          </w:p>
        </w:tc>
      </w:tr>
      <w:tr>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Low</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High</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Typical co-variation</w:t>
            </w:r>
          </w:p>
        </w:tc>
        <w:tc>
          <w:tcPr>
            <w:tcW w:type="dxa" w:w="3744"/>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Institutionally absorptive type (optimistic scenario)</w:t>
            </w:r>
          </w:p>
        </w:tc>
      </w:tr>
      <w:tr>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Medium</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Partial</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Typical co-variation</w:t>
            </w:r>
          </w:p>
        </w:tc>
        <w:tc>
          <w:tcPr>
            <w:tcW w:type="dxa" w:w="3744"/>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Frictional hybrid type (pragmatic scenario)</w:t>
            </w:r>
          </w:p>
        </w:tc>
      </w:tr>
      <w:tr>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High</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Failure</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Typical co-variation</w:t>
            </w:r>
          </w:p>
        </w:tc>
        <w:tc>
          <w:tcPr>
            <w:tcW w:type="dxa" w:w="3744"/>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Authority-displacing type (pessimistic scenario)</w:t>
            </w:r>
          </w:p>
        </w:tc>
      </w:tr>
      <w:tr>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High</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High</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Atypical combination</w:t>
            </w:r>
          </w:p>
        </w:tc>
        <w:tc>
          <w:tcPr>
            <w:tcW w:type="dxa" w:w="3744"/>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 design effectively addresses cross-cell effects; reserved as a test case for future research.</w:t>
            </w:r>
          </w:p>
        </w:tc>
      </w:tr>
      <w:tr>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Low</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Failure</w:t>
            </w:r>
          </w:p>
        </w:tc>
        <w:tc>
          <w:tcPr>
            <w:tcW w:type="dxa" w:w="1872"/>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Atypical combination</w:t>
            </w:r>
          </w:p>
        </w:tc>
        <w:tc>
          <w:tcPr>
            <w:tcW w:type="dxa" w:w="3744"/>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 defects preceded AI's shock; suggests that absorptive capacity may vary independently.</w:t>
            </w:r>
          </w:p>
        </w:tc>
      </w:tr>
    </w:tbl>
    <w:p>
      <w:pPr>
        <w:spacing w:after="80" w:before="120"/>
        <w:jc w:val="center"/>
      </w:pPr>
      <w:r>
        <w:rPr>
          <w:rFonts w:ascii="Times New Roman" w:cs="Times New Roman" w:eastAsia="Times New Roman" w:hAnsi="Times New Roman"/>
          <w:b/>
          <w:bCs/>
          <w:color w:val="1F2937"/>
          <w:sz w:val="21"/>
          <w:szCs w:val="21"/>
        </w:rPr>
        <w:t xml:space="preserve">Table 3  Typical Co-Variation Patterns and Atypical Combinations</w:t>
      </w:r>
    </w:p>
    <w:p>
      <w:pPr>
        <w:spacing w:after="240"/>
        <w:ind w:firstLine="0"/>
        <w:jc w:val="left"/>
      </w:pPr>
      <w:r>
        <w:rPr>
          <w:rFonts w:ascii="Times New Roman" w:cs="Times New Roman" w:eastAsia="Times New Roman" w:hAnsi="Times New Roman"/>
          <w:i/>
          <w:iCs/>
          <w:color w:val="595959"/>
          <w:sz w:val="19"/>
          <w:szCs w:val="19"/>
        </w:rPr>
        <w:t xml:space="preserve">Source: constructed by the author. Atypical combinations are not included in the three-scenario axis but are not excluded by theory.</w:t>
      </w:r>
    </w:p>
    <w:p>
      <w:pPr>
        <w:pStyle w:val="Heading2"/>
        <w:spacing w:after="160" w:before="280"/>
      </w:pPr>
      <w:r>
        <w:rPr>
          <w:rFonts w:ascii="Times New Roman" w:cs="Times New Roman" w:eastAsia="Times New Roman" w:hAnsi="Times New Roman"/>
          <w:b/>
          <w:bCs/>
          <w:color w:val="1F4E78"/>
          <w:sz w:val="24"/>
          <w:szCs w:val="24"/>
        </w:rPr>
        <w:t xml:space="preserve">4.4 Demonstrating the Analytical Procedure: AI-Assisted Welfare Eligibility Review</w:t>
      </w:r>
    </w:p>
    <w:p>
      <w:pPr>
        <w:pStyle w:val="Heading3"/>
        <w:spacing w:after="120" w:before="200"/>
      </w:pPr>
      <w:r>
        <w:rPr>
          <w:rFonts w:ascii="Times New Roman" w:cs="Times New Roman" w:eastAsia="Times New Roman" w:hAnsi="Times New Roman"/>
          <w:b/>
          <w:bCs/>
          <w:color w:val="1F2937"/>
          <w:sz w:val="22"/>
          <w:szCs w:val="22"/>
        </w:rPr>
        <w:t xml:space="preserve">(1) Nature of the Demonstration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following demonstrates this article's analytical procedure using AI-assisted welfare eligibility review as an example. It does not refer to any specific deployed system; it serves only as illustrative material and does not constitute empirical validation.</w:t>
      </w:r>
    </w:p>
    <w:p>
      <w:pPr>
        <w:pStyle w:val="Heading3"/>
        <w:spacing w:after="120" w:before="200"/>
      </w:pPr>
      <w:r>
        <w:rPr>
          <w:rFonts w:ascii="Times New Roman" w:cs="Times New Roman" w:eastAsia="Times New Roman" w:hAnsi="Times New Roman"/>
          <w:b/>
          <w:bCs/>
          <w:color w:val="1F2937"/>
          <w:sz w:val="22"/>
          <w:szCs w:val="22"/>
        </w:rPr>
        <w:t xml:space="preserve">(2) Coordinate Positioning</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primary cell for this type of application is “policy system × individual,” because AI output directly affects eligibility determination and individual rights; secondary cells include the group-level resource-allocation effect at “policy system × society” and the human–AI allocation of responsibility at “organizational design × organization.”</w:t>
      </w:r>
    </w:p>
    <w:p>
      <w:pPr>
        <w:pStyle w:val="Heading3"/>
        <w:spacing w:after="120" w:before="200"/>
      </w:pPr>
      <w:r>
        <w:rPr>
          <w:rFonts w:ascii="Times New Roman" w:cs="Times New Roman" w:eastAsia="Times New Roman" w:hAnsi="Times New Roman"/>
          <w:b/>
          <w:bCs/>
          <w:color w:val="1F2937"/>
          <w:sz w:val="22"/>
          <w:szCs w:val="22"/>
        </w:rPr>
        <w:t xml:space="preserve">(3) Identifying the Three Structural Phenomena</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Cross-cell movement may appear as an individual review outcome, distorted by data bias, expanding into a societal-level group disparity. Boundary dissolution may appear as overlapping responsibility between government and model, cloud, or system vendors. Authority reconfiguration occurs when reviewers habitually defer to system output, separating formal decision-making power from substantive influence.</w:t>
      </w:r>
    </w:p>
    <w:p>
      <w:pPr>
        <w:pStyle w:val="Heading3"/>
        <w:spacing w:after="120" w:before="200"/>
      </w:pPr>
      <w:r>
        <w:rPr>
          <w:rFonts w:ascii="Times New Roman" w:cs="Times New Roman" w:eastAsia="Times New Roman" w:hAnsi="Times New Roman"/>
          <w:b/>
          <w:bCs/>
          <w:color w:val="1F2937"/>
          <w:sz w:val="22"/>
          <w:szCs w:val="22"/>
        </w:rPr>
        <w:t xml:space="preserve">(4) Assessing Institutional Capacity to Absorb Disruption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Key points to assess include: whether human review has the capacity to understand, challenge, and change the review outcome; whether appeals can lead to correction of data, rules, or models; whether reasons can be connected back to facts and regulations; and whether AI's substantive effect remains within the scope of legal authorization.</w:t>
      </w:r>
    </w:p>
    <w:p>
      <w:pPr>
        <w:pStyle w:val="Heading3"/>
        <w:spacing w:after="120" w:before="200"/>
      </w:pPr>
      <w:r>
        <w:rPr>
          <w:rFonts w:ascii="Times New Roman" w:cs="Times New Roman" w:eastAsia="Times New Roman" w:hAnsi="Times New Roman"/>
          <w:b/>
          <w:bCs/>
          <w:color w:val="1F2937"/>
          <w:sz w:val="22"/>
          <w:szCs w:val="22"/>
        </w:rPr>
        <w:t xml:space="preserve">(5) Scenario Judgment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If cross-cell effects are limited, vendor responsibility is traceable, and review can substantively change outcomes, the case approaches the institutionally absorptive type. If cross-cell effects recur, responsibility boundaries are partly blurred, and review capacity varies by case, the case approaches the frictional hybrid type. If the three phenomena remain persistently coupled and neither review nor appeal can change the model's effect, the case approaches the authority-displacing type. This judgment demonstrates only the operability of the procedure and is not an evaluation of any specific system.</w:t>
      </w:r>
    </w:p>
    <w:p>
      <w:pPr>
        <w:pStyle w:val="Heading2"/>
        <w:spacing w:after="160" w:before="280"/>
      </w:pPr>
      <w:r>
        <w:rPr>
          <w:rFonts w:ascii="Times New Roman" w:cs="Times New Roman" w:eastAsia="Times New Roman" w:hAnsi="Times New Roman"/>
          <w:b/>
          <w:bCs/>
          <w:color w:val="1F4E78"/>
          <w:sz w:val="24"/>
          <w:szCs w:val="24"/>
        </w:rPr>
        <w:t xml:space="preserve">4.5 Conditions for Scenario Transition and Observation Indicators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three scenarios are movable analytical states, not fixed stages. A scenario's position shifts with the scope of influence of the structural phenomena, the degree of coupling among them, and institutions' capacity to absorb such disruption. The indicators below are used to observe the direction of transition; they do not constitute a causal model or a quantitative threshold.</w:t>
      </w:r>
    </w:p>
    <w:p>
      <w:pPr>
        <w:pStyle w:val="Heading3"/>
        <w:spacing w:after="120" w:before="200"/>
      </w:pPr>
      <w:r>
        <w:rPr>
          <w:rFonts w:ascii="Times New Roman" w:cs="Times New Roman" w:eastAsia="Times New Roman" w:hAnsi="Times New Roman"/>
          <w:b/>
          <w:bCs/>
          <w:color w:val="1F2937"/>
          <w:sz w:val="22"/>
          <w:szCs w:val="22"/>
        </w:rPr>
        <w:t xml:space="preserve">(1) Trigger Indicators for Sliding from Optimistic to Pragmatic</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In terms of cross-cell movement, AI applications originally confined to management operations or the individual level begin to repeatedly trigger societal-level disputes over fairness or rights. In terms of boundary dissolution, contracts and responsibility charts still exist, but vendors and using agencies shift blame for the cause of errors and remedial responsibility. In terms of authority reconfiguration, civil servants mainly cite “the system's recommendation” without forming an independent factual and normative judgment. If the capacity of exception-handling windows is insufficient, or reviewers lack the authority and capacity to change outcomes, institutional absorption is declining.</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stage is characterized by the three phenomena not yet being fully coupled, but patterns of “recorded yet hard to attribute” and “explained yet hard to correct” beginning to recur. This is an observable signal of movement from the optimistic to the pragmatic scenario.</w:t>
      </w:r>
    </w:p>
    <w:p>
      <w:pPr>
        <w:pStyle w:val="Heading3"/>
        <w:spacing w:after="120" w:before="200"/>
      </w:pPr>
      <w:r>
        <w:rPr>
          <w:rFonts w:ascii="Times New Roman" w:cs="Times New Roman" w:eastAsia="Times New Roman" w:hAnsi="Times New Roman"/>
          <w:b/>
          <w:bCs/>
          <w:color w:val="1F2937"/>
          <w:sz w:val="22"/>
          <w:szCs w:val="22"/>
        </w:rPr>
        <w:t xml:space="preserve">(2) Observation Indicators for Sliding from Pragmatic to Pessimistic</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Cross-cell movement shifts from occasional to persistent: automated decisions at the individual or organizational level systematically affect societal-level resource allocation and rights protection. Supply-chain responsibility cannot be pursued, and government's control over core data and models declines; affected parties can obtain only a score or classification result, without a comprehensible connection back to facts and norms; high-risk decisions are produced by the model, and human review can hardly change the outcome. If appeal, remedy, and oversight procedures cannot bring about correction of data, rules, or models, the case approaches the pessimistic scenario.</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At this point the three phenomena begin to couple at high intensity: cross-cell movement expands the scope of effect, boundary dissolution creates gaps in responsibility, and authority reconfiguration separates lawful authorization from substantive decision-making. This analysis calls this combination a candidate state of “explanatory-strain threshold”; whether it truly holds still requires case-based examination.</w:t>
      </w:r>
    </w:p>
    <w:p>
      <w:pPr>
        <w:pStyle w:val="Heading3"/>
        <w:spacing w:after="120" w:before="200"/>
      </w:pPr>
      <w:r>
        <w:rPr>
          <w:rFonts w:ascii="Times New Roman" w:cs="Times New Roman" w:eastAsia="Times New Roman" w:hAnsi="Times New Roman"/>
          <w:b/>
          <w:bCs/>
          <w:color w:val="1F2937"/>
          <w:sz w:val="22"/>
          <w:szCs w:val="22"/>
        </w:rPr>
        <w:t xml:space="preserve">(3) Institutional Conditions for Reverse Movement</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Moving back from the pessimistic or pragmatic scenario requires repairing three distinct institutional chains simultaneously. First, the chain of reasons: preserving records of inputs, model versions, prompts, review, and dissent, and connecting outcomes back to facts and norms. Second, the chain of responsibility: using contracts, organizational design, and remedial procedures to distinguish responsibility for recommendation, review, and decision. Third, the chain of authority: specifying which factual judgments and options AI may influence, and which decisions must be made by personnel with lawful authorization. In addition, fully automated decisions involving deprivation of rights, eligibility determination, or major resource allocation should be restricted, and civil servants' authority and capacity to challenge model output should be strengthened.</w:t>
      </w:r>
    </w:p>
    <w:p>
      <w:pPr>
        <w:pStyle w:val="Heading3"/>
        <w:spacing w:after="120" w:before="200"/>
      </w:pPr>
      <w:r>
        <w:rPr>
          <w:rFonts w:ascii="Times New Roman" w:cs="Times New Roman" w:eastAsia="Times New Roman" w:hAnsi="Times New Roman"/>
          <w:b/>
          <w:bCs/>
          <w:color w:val="1F2937"/>
          <w:sz w:val="22"/>
          <w:szCs w:val="22"/>
        </w:rPr>
        <w:t xml:space="preserve">(4) Diagnostic Questions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Practitioners or researchers may first pose three sets of questions. First, does AI's effect continue to diffuse from its originally designed cell to other levels and units? Second, when a dispute arises, can one separately trace who provided the reasons, who is responsible for remedy, and who holds lawful decision-making authority? Third, can review, appeal, or remedy substantively change the data, model, rules, or decision? If the answers remain persistently unclear while the three phenomena expand simultaneously, the scenario is moving toward a higher-risk position.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These questions are conceptual observation indicators. Their purpose is to connect the three scenarios to checkable institutional phenomena, rather than disguising a future scenario as a precise scale.</w:t>
      </w:r>
    </w:p>
    <w:p>
      <w:pPr>
        <w:pStyle w:val="Heading1"/>
        <w:spacing w:after="200" w:before="360"/>
      </w:pPr>
      <w:r>
        <w:rPr>
          <w:rFonts w:ascii="Times New Roman" w:cs="Times New Roman" w:eastAsia="Times New Roman" w:hAnsi="Times New Roman"/>
          <w:b/>
          <w:bCs/>
          <w:color w:val="1F4E78"/>
          <w:sz w:val="28"/>
          <w:szCs w:val="28"/>
        </w:rPr>
        <w:t xml:space="preserve">5. Theoretical Implications: Structural Phenomena, Institutional Absorption, and the Boundaries of Theory</w:t>
      </w:r>
    </w:p>
    <w:p>
      <w:pPr>
        <w:pStyle w:val="Heading2"/>
        <w:spacing w:after="160" w:before="280"/>
      </w:pPr>
      <w:r>
        <w:rPr>
          <w:rFonts w:ascii="Times New Roman" w:cs="Times New Roman" w:eastAsia="Times New Roman" w:hAnsi="Times New Roman"/>
          <w:b/>
          <w:bCs/>
          <w:color w:val="1F4E78"/>
          <w:sz w:val="24"/>
          <w:szCs w:val="24"/>
        </w:rPr>
        <w:t xml:space="preserve">5.1 Interaction, Not Mere Coexistence, of the Three Phenomena</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Cross-cell movement, boundary dissolution, and authority reconfiguration can be conceptually separated but may empirically reinforce one another. Cross-cell movement expands the scope of effect; boundary dissolution increases the difficulty of locating responsibility; authority reconfiguration changes the relationship among lawful authorization, factual judgment, and reason-giving. The present analysis does not presuppose the three as statistically independent variables, but requires case analysis to identify each separately and then examine whether they become coupled.</w:t>
      </w:r>
    </w:p>
    <w:p>
      <w:pPr>
        <w:pStyle w:val="Heading2"/>
        <w:spacing w:after="160" w:before="280"/>
      </w:pPr>
      <w:r>
        <w:rPr>
          <w:rFonts w:ascii="Times New Roman" w:cs="Times New Roman" w:eastAsia="Times New Roman" w:hAnsi="Times New Roman"/>
          <w:b/>
          <w:bCs/>
          <w:color w:val="1F4E78"/>
          <w:sz w:val="24"/>
          <w:szCs w:val="24"/>
        </w:rPr>
        <w:t xml:space="preserve">5.2 The Threshold Condition of Theoretical Explanatory Power</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article proposes a concept proposition awaiting stress testing: when the three structural phenomena remain persistently coupled at high intensity across multiple governance coordinates, and the three institutional chains of reasons, responsibility, and authority cannot absorb the consequences, existing public administration theory may enter an “explanatory-strain threshold.” Here, “threshold” is not an already-measured cutoff, but a theoretical claim that subsequent case studies need to examine.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difference between theoretical supplementation and theoretical failure lies in whether core concepts can still identify the phenomenon after adaptation. If existing theory can relocate authority, reasons, and responsibility by adding variables such as supply-chain roles, algorithmic framing, or hybrid discretion, this constitutes theoretical supplementation; if core concepts such as administrative discretion, level division, or responsibility attribution repeatedly fail to identify the substantive decision-maker across different cases, and adjustment still cannot locate the break in the chains of reasons and authority, this constitutes a candidate state of theoretical failure.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Conversely, if existing theory can still effectively locate the substantive decision-maker, the source of reasons, and responsibility attribution even when the three phenomena are coupled at high intensity, this article's proposition is refuted. If cases of high intensity/high absorption or low intensity/low absorption recur, this also indicates that the typical co-variation assumption of the two sets of criteria needs revision.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premise for discussing theoretical reconstruction lies not only in the number of cases but, more importantly, in their heterogeneity. Subsequent stress testing should cover at least three different policy domains—for example, social welfare, tax administration, and law enforcement and security—and should differ in actors, technical supply chains, and legal effects. Only when the same pattern of explanatory failure recurs across heterogeneous cases, and existing theory remains inadequate after adaptation, is there a basis for discussing paradigm reconstruction. The requirement of “at least three domains” here is a qualitative minimum for research design, not a statistical threshold.</w:t>
      </w:r>
    </w:p>
    <w:p>
      <w:pPr>
        <w:pStyle w:val="Heading2"/>
        <w:spacing w:after="160" w:before="280"/>
      </w:pPr>
      <w:r>
        <w:rPr>
          <w:rFonts w:ascii="Times New Roman" w:cs="Times New Roman" w:eastAsia="Times New Roman" w:hAnsi="Times New Roman"/>
          <w:b/>
          <w:bCs/>
          <w:color w:val="1F4E78"/>
          <w:sz w:val="24"/>
          <w:szCs w:val="24"/>
        </w:rPr>
        <w:t xml:space="preserve">5.3 The Link between Future Government and Theoretical Reconstruction</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optimistic scenario mainly calls for theoretical adaptation; the pragmatic scenario calls for expanding the analysis of supply chains, data framing, and hybrid authority; the pessimistic scenario raises the possibility of theoretical reconstruction. This correspondence cannot be used in reverse: one cannot conclude that a paradigm shift has occurred simply because a case is labeled the pessimistic scenario. Paradigm reconstruction can only be a possible conclusion after multiple heterogeneous cases have completed stress testing and explanatory failure recurs.</w:t>
      </w:r>
    </w:p>
    <w:p>
      <w:pPr>
        <w:pStyle w:val="Heading2"/>
        <w:spacing w:after="160" w:before="280"/>
      </w:pPr>
      <w:r>
        <w:rPr>
          <w:rFonts w:ascii="Times New Roman" w:cs="Times New Roman" w:eastAsia="Times New Roman" w:hAnsi="Times New Roman"/>
          <w:b/>
          <w:bCs/>
          <w:color w:val="1F4E78"/>
          <w:sz w:val="24"/>
          <w:szCs w:val="24"/>
        </w:rPr>
        <w:t xml:space="preserve">5.4 Repositioning Relative to Existing Literature</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Compared with single-axis multi-level models or lists of principles, this article requires researchers to complete, in sequence, coordinate positioning, identification of the three structural phenomena, assessment of institutional capacity to absorb disruption, and scenario comparison. Its added value lies in placing “what institutional condition future government under AI may take” and “under what conditions existing theory comes under explanatory strain” within the same analytical process; its limitation is that cross-case empirical testing is still lacking.</w:t>
      </w:r>
    </w:p>
    <w:p>
      <w:pPr>
        <w:pStyle w:val="Heading1"/>
        <w:spacing w:after="200" w:before="360"/>
      </w:pPr>
      <w:r>
        <w:rPr>
          <w:rFonts w:ascii="Times New Roman" w:cs="Times New Roman" w:eastAsia="Times New Roman" w:hAnsi="Times New Roman"/>
          <w:b/>
          <w:bCs/>
          <w:color w:val="1F4E78"/>
          <w:sz w:val="28"/>
          <w:szCs w:val="28"/>
        </w:rPr>
        <w:t xml:space="preserve">6. Conclusion</w:t>
      </w:r>
    </w:p>
    <w:p>
      <w:pPr>
        <w:pStyle w:val="Heading2"/>
        <w:spacing w:after="160" w:before="280"/>
      </w:pPr>
      <w:r>
        <w:rPr>
          <w:rFonts w:ascii="Times New Roman" w:cs="Times New Roman" w:eastAsia="Times New Roman" w:hAnsi="Times New Roman"/>
          <w:b/>
          <w:bCs/>
          <w:color w:val="1F4E78"/>
          <w:sz w:val="24"/>
          <w:szCs w:val="24"/>
        </w:rPr>
        <w:t xml:space="preserve">6.1 Research Findings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The framework developed here uses the twenty-five governance coordinates to locate AI intervention, and combines the scope and degree of coupling of cross-cell movement, boundary dissolution, and authority reconfiguration with absorptive capacity to construct three ideal-type future government scenarios: institutionally absorptive, frictional hybrid, and authority-displacing. The core proposition is that AI itself does not necessarily cause a theoretical rupture; stronger explanatory strain appears when the three structural phenomena remain persistently coupled and the three institutional chains of reasons, responsibility, and authority cannot be sustained. The three scenarios present only the typical direction of co-variation and do not exclude atypical combinations such as high intensity/high absorption or low intensity/low absorption.</w:t>
      </w:r>
    </w:p>
    <w:p>
      <w:pPr>
        <w:pStyle w:val="Heading2"/>
        <w:spacing w:after="160" w:before="280"/>
      </w:pPr>
      <w:r>
        <w:rPr>
          <w:rFonts w:ascii="Times New Roman" w:cs="Times New Roman" w:eastAsia="Times New Roman" w:hAnsi="Times New Roman"/>
          <w:b/>
          <w:bCs/>
          <w:color w:val="1F4E78"/>
          <w:sz w:val="24"/>
          <w:szCs w:val="24"/>
        </w:rPr>
        <w:t xml:space="preserve">6.2 Research Limitations</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This analysis is a work of conceptual construction and has four limitations. First, although directional criteria have been proposed for the intensity of the three structural phenomena and the institution's capacity to absorb these disruptions, a cross-case coding rule for evidence has not yet been developed. Second, institutional absorptive capacity is a normative concept constructed by this article specifically for AI-induced structural shock; its empirical distinction from administrative capacity, organizational resilience, and knowledge absorptive capacity still requires case-based examination. Third, given the short time since Taiwan's central and local AI governance documents were issued, this article can only treat them as illustrative materials of institutional formation, not as a basis for evaluating implementation effectiveness. Fourth, the three scenarios are ideal-type co-variation positions; the empirical applicability of atypical combinations and the explanatory-strain threshold still requires stress testing through longitudinal and cross-policy-domain cases.</w:t>
      </w:r>
    </w:p>
    <w:p>
      <w:pPr>
        <w:pStyle w:val="Heading2"/>
        <w:spacing w:after="160" w:before="280"/>
      </w:pPr>
      <w:r>
        <w:rPr>
          <w:rFonts w:ascii="Times New Roman" w:cs="Times New Roman" w:eastAsia="Times New Roman" w:hAnsi="Times New Roman"/>
          <w:b/>
          <w:bCs/>
          <w:color w:val="1F4E78"/>
          <w:sz w:val="24"/>
          <w:szCs w:val="24"/>
        </w:rPr>
        <w:t xml:space="preserve">6.3 Directions for Future Research</w:t>
      </w:r>
    </w:p>
    <w:p>
      <w:pPr>
        <w:spacing w:after="200" w:line="280" w:lineRule="auto"/>
        <w:ind w:firstLine="480"/>
        <w:jc w:val="left"/>
      </w:pPr>
      <w:r>
        <w:rPr>
          <w:rFonts w:ascii="Times New Roman" w:cs="Times New Roman" w:eastAsia="Times New Roman" w:hAnsi="Times New Roman"/>
          <w:b w:val="false"/>
          <w:bCs w:val="false"/>
          <w:i w:val="false"/>
          <w:iCs w:val="false"/>
          <w:color w:val="1F2937"/>
          <w:sz w:val="21"/>
          <w:szCs w:val="21"/>
        </w:rPr>
        <w:t xml:space="preserve">Future research may select AI governance cases with plural actors, technical supply chains, and legal effects, track cross-cell paths using the twenty-five governance coordinates, and separately examine the chains of reasons, responsibility, and authority. Cases here serve as tools for stress testing, not as illustrations supporting a predetermined conclusion. Only when existing theory, after adaptation across different cases, repeatedly fails to locate the substantive decision-maker, reasons, and responsibility is there a basis for discussing the direction of paradigm reconstruction in public administration.</w:t>
      </w:r>
    </w:p>
    <w:p>
      <w:pPr>
        <w:pStyle w:val="Heading1"/>
        <w:spacing w:after="200" w:before="360"/>
      </w:pPr>
      <w:r>
        <w:rPr>
          <w:rFonts w:ascii="Times New Roman" w:cs="Times New Roman" w:eastAsia="Times New Roman" w:hAnsi="Times New Roman"/>
          <w:b/>
          <w:bCs/>
          <w:color w:val="1F4E78"/>
          <w:sz w:val="28"/>
          <w:szCs w:val="28"/>
        </w:rPr>
        <w:t xml:space="preserve">References</w:t>
      </w:r>
    </w:p>
    <w:p>
      <w:pPr>
        <w:pStyle w:val="Heading2"/>
        <w:spacing w:after="160" w:before="280"/>
      </w:pPr>
      <w:r>
        <w:rPr>
          <w:rFonts w:ascii="Times New Roman" w:cs="Times New Roman" w:eastAsia="Times New Roman" w:hAnsi="Times New Roman"/>
          <w:b/>
          <w:bCs/>
          <w:color w:val="1F4E78"/>
          <w:sz w:val="24"/>
          <w:szCs w:val="24"/>
        </w:rPr>
        <w:t xml:space="preserve">Chinese-Language Literature</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Ding, Y.-C., &amp; Lin, T.-L. (2020). An exploration of the application potential of artificial intelligence in enhancing government public governance [in Chinese]. Archives Semiannual, 19(2), 24–41. https://www.airitilibrary.com/Article/Detail?DocID=P20190408001-202012-202101140011-202101140011-24-41</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Judicial Yuan. (1997). Judicial Yuan Interpretation No. 443 [in Chinese]. https://cons.judicial.gov.tw/docdata.aspx?fid=100&amp;id=310624</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Lee, T.-P., Chang, C.-Y., &amp; Li, C.-L. (2022). Unintended discrimination in the application of artificial intelligence in public policy: A systematic literature review [in Chinese]. Journal of Public Administration, 63, 1–49. https://doi.org/10.30409/JPA.202209_(63).0001</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Ministry of Justice. (n.d.). Administrative Procedure Act [in Chinese]. Laws &amp; Regulations Database of the Republic of China. https://law.moj.gov.tw/LawClass/LawAll.aspx?pcode=A0030055</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Huang, H.-Y., Tseng, K.-C., Liao, C.-P., &amp; Chen, D.-Y. (2021). When artificial intelligence enters government: Reflections on public administration theory's response to AI [in Chinese]. Civil Service Review, 13(2), 91–114. https://www.airitilibrary.com/Article/Detail?DocID=P20210507001-202111-202112300016-202112300016-91-114</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Huang, H.-Y., &amp; Chen, D.-Y. (2023). Public administration research under AI collaboration: A multi-level reflection on public-sector organizational issues [in Chinese]. Taiwan Journal of Political Science, 96, 139–178. https://doi.org/10.6166/TJPS.202306_(96).0004</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New Taipei City Government. (2025). New Taipei City Government guidelines on the use of artificial intelligence [in Chinese]. https://smartcity.ntpc.gov.tw/home.jsp?act=be4f48068b2b0031&amp;dataserno=40ff598e1046cb8458bf103100f56ca5&amp;id=1163650f96e90679</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Liao, H.-C. (2024). Opportunities and challenges of artificial intelligence in public administration [in Chinese]. Civil Service Review, 16(2), 1–19. https://www.exam.gov.tw/News_Content.aspx?n=620&amp;s=49468</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Ministry of Digital Affairs. (2026a). AI application impact assessment [in Chinese]. https://moda.gov.tw/major-policies/ai/governance/19246</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Ministry of Digital Affairs. (2026b). AI risk classification framework [in Chinese]. https://moda.gov.tw/major-policies/ai/governance/19244</w:t>
      </w:r>
    </w:p>
    <w:p>
      <w:pPr>
        <w:spacing w:after="300" w:line="280" w:lineRule="auto"/>
        <w:jc w:val="left"/>
      </w:pPr>
      <w:r>
        <w:rPr>
          <w:rFonts w:ascii="Times New Roman" w:cs="Times New Roman" w:eastAsia="Times New Roman" w:hAnsi="Times New Roman"/>
          <w:b w:val="false"/>
          <w:bCs w:val="false"/>
          <w:i w:val="false"/>
          <w:iCs w:val="false"/>
          <w:color w:val="1F2937"/>
          <w:sz w:val="21"/>
          <w:szCs w:val="21"/>
        </w:rPr>
        <w:t xml:space="preserve">Lu, C.-H. (1996). A literature review framework for public administration [in Chinese]. NOU Journal of Public Administration, 5, 177–210. https://www2.nou.edu.tw/pa/docdetail.aspx?docid=15797&amp;pid=3444&amp;uid=4675</w:t>
      </w:r>
    </w:p>
    <w:p>
      <w:pPr>
        <w:pStyle w:val="Heading2"/>
        <w:spacing w:after="160" w:before="280"/>
      </w:pPr>
      <w:r>
        <w:rPr>
          <w:rFonts w:ascii="Times New Roman" w:cs="Times New Roman" w:eastAsia="Times New Roman" w:hAnsi="Times New Roman"/>
          <w:b/>
          <w:bCs/>
          <w:color w:val="1F4E78"/>
          <w:sz w:val="24"/>
          <w:szCs w:val="24"/>
        </w:rPr>
        <w:t xml:space="preserve">English-Language Literature</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Boin, A., &amp; van Eeten, M. J. G. (2013). The resilient organization: A critical appraisal. Public Management Review, 15(3), 429–445. https://doi.org/10.1080/14719037.2013.769856</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Busuioc, M. (2021). Accountable artificial intelligence: Holding algorithms to account. Public Administration Review, 81(5), 825–836. https://doi.org/10.1111/puar.13293</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Cobbe, J., Lee, M. S. A., &amp; Singh, J. (2021). Reviewable automated decision-making: A framework for accountable algorithmic systems. Proceedings of the 2021 ACM Conference on Fairness, Accountability, and Transparency, 598–609. https://doi.org/10.1145/3442188.3445921</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Cobbe, J., Veale, M., &amp; Singh, J. (2023). Understanding accountability in algorithmic supply chains. Proceedings of the 2023 ACM Conference on Fairness, Accountability, and Transparency, 1186–1197. https://doi.org/10.1145/3593013.3594073</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Cohen, W. M., &amp; Levinthal, D. A. (1990). Absorptive capacity: A new perspective on learning and innovation. Administrative Science Quarterly, 35(1), 128–152. https://doi.org/10.2307/2393553</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Criado, J. I., Sandoval-Almazán, R., &amp; Gil-Garcia, J. R. (2025). Artificial intelligence and public administration: Understanding actors, governance, and policy from micro, meso, and macro perspectives. Public Policy and Administration, 40(2), 173–184. https://doi.org/10.1177/09520767241272921</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Dator, J. (2009). Alternative futures: At the Manoa School. Journal of Futures Studies, 14(2), 1–18. https://jfsdigital.org/articles-and-essays/2009-2/vol-14-no-2-november/articles/futuristsalternative-futures-at-the-manoa-school/</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Dunleavy, P., &amp; Margetts, H. (2025). Data science, artificial intelligence and the third wave of digital era governance. Public Policy and Administration, 40(2), 185–214. https://doi.org/10.1177/09520767231198737</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Grimmelikhuijsen, S., &amp; Meijer, A. (2022). Legitimacy of algorithmic decision-making: Six threats and the need for a calibrated institutional response. Perspectives on Public Management and Governance, 5(3), 232–242. https://doi.org/10.1093/ppmgov/gvac008</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Levine, C. H., Peters, B. G., &amp; Thompson, F. J. (1990). Public administration: Challenges, choices, consequences. Scott, Foresman.</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Lodge, M., &amp; Wegrich, K. (Eds.). (2014). The problem-solving capacity of the modern state: Governance challenges and administrative capacities. Oxford University Press. https://doi.org/10.1093/acprof:oso/9780198716365.001.0001</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Meier, K. J. (2019). Theoretical frontiers in representative bureaucracy: New directions for research. Perspectives on Public Management and Governance, 2(1), 39–56.</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Mökander, J., Schuett, J., Kirk, H. R., &amp; Floridi, L. (2024). Auditing large language models: A three-layered approach. AI and Ethics, 4, 1085–1115. https://doi.org/10.1007/s43681-023-00289-2</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Schwartz, P. (1991). The art of the long view: Planning for the future in an uncertain world. Doubleday.</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Skitka, L. J., Mosier, K. L., &amp; Burdick, M. D. (1999). Does automation bias decision-making? International Journal of Human-Computer Studies, 51(5), 991–1006. https://doi.org/10.1006/ijhc.1999.0252</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Sunstein, C. R. (2000). Nondelegation canons. University of Chicago Law Review, 67(2), 315–343. https://doi.org/10.2307/1600374</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Ulnicane, I., Knight, W., Leach, T., Stahl, B. C., &amp; Wanjiku, W.-G. (2021). Framing governance for a contested emerging technology: Insights from AI policy. Policy and Society, 40(2), 158–177. https://doi.org/10.1080/14494035.2020.1855800</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van der Heijden, K. (1996). Scenarios: The art of strategic conversation. Wiley.</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Voros, J. (2003). A generic foresight process framework. Foresight, 5(3), 10–21. https://doi.org/10.1108/14636680310698379</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Voros, J. (2017, February 24). The futures cone, use and history. The Voroscope. https://thevoroscope.com/2017/02/24/the-futures-cone-use-and-history/</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Webb, A. (2019). The big nine: How the tech titans and their thinking machines could warp humanity. PublicAffairs.</w:t>
      </w:r>
    </w:p>
    <w:p>
      <w:pPr>
        <w:spacing w:after="160" w:line="280" w:lineRule="auto"/>
        <w:jc w:val="left"/>
      </w:pPr>
      <w:r>
        <w:rPr>
          <w:rFonts w:ascii="Times New Roman" w:cs="Times New Roman" w:eastAsia="Times New Roman" w:hAnsi="Times New Roman"/>
          <w:b w:val="false"/>
          <w:bCs w:val="false"/>
          <w:i w:val="false"/>
          <w:iCs w:val="false"/>
          <w:color w:val="1F2937"/>
          <w:sz w:val="21"/>
          <w:szCs w:val="21"/>
        </w:rPr>
        <w:t xml:space="preserve">Young, M. M., Bullock, J. B., &amp; Lecy, J. D. (2019). Artificial discretion as a tool of governance: A framework for understanding the impact of artificial intelligence on public administration. Perspectives on Public Management and Governance, 2(4), 301–313. https://doi.org/10.1093/ppmgov/gvz014</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2026-08-03T05:10:53.645Z</dcterms:created>
  <dcterms:modified xsi:type="dcterms:W3CDTF">2026-08-03T05:10:53.664Z</dcterms:modified>
</cp:coreProperties>
</file>

<file path=docProps/custom.xml><?xml version="1.0" encoding="utf-8"?>
<Properties xmlns="http://schemas.openxmlformats.org/officeDocument/2006/custom-properties" xmlns:vt="http://schemas.openxmlformats.org/officeDocument/2006/docPropsVTypes"/>
</file>