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0A5" w:rsidRDefault="00A447DA">
      <w:pPr>
        <w:pStyle w:val="a4"/>
        <w:spacing w:line="643" w:lineRule="exact"/>
        <w:rPr>
          <w:lang w:eastAsia="zh-TW"/>
        </w:rPr>
      </w:pPr>
      <w:r>
        <w:rPr>
          <w:rFonts w:ascii="Times New Roman" w:eastAsia="Times New Roman"/>
          <w:color w:val="1F4E78"/>
          <w:lang w:eastAsia="zh-TW"/>
        </w:rPr>
        <w:t>AI</w:t>
      </w:r>
      <w:r>
        <w:rPr>
          <w:rFonts w:ascii="Times New Roman" w:eastAsia="Times New Roman"/>
          <w:color w:val="1F4E78"/>
          <w:spacing w:val="-14"/>
          <w:lang w:eastAsia="zh-TW"/>
        </w:rPr>
        <w:t xml:space="preserve"> </w:t>
      </w:r>
      <w:r>
        <w:rPr>
          <w:color w:val="1F4E78"/>
          <w:spacing w:val="-1"/>
          <w:lang w:eastAsia="zh-TW"/>
        </w:rPr>
        <w:t>治理下的情境推演：以制度吸收能力建構未來政府光</w:t>
      </w:r>
    </w:p>
    <w:p w:rsidR="002C50A5" w:rsidRDefault="00A447DA">
      <w:pPr>
        <w:pStyle w:val="a4"/>
        <w:spacing w:before="274"/>
        <w:ind w:right="284"/>
      </w:pPr>
      <w:r>
        <w:rPr>
          <w:color w:val="1F4E78"/>
          <w:spacing w:val="-10"/>
        </w:rPr>
        <w:t>譜</w:t>
      </w:r>
    </w:p>
    <w:p w:rsidR="002C50A5" w:rsidRDefault="00A447DA">
      <w:pPr>
        <w:spacing w:before="449" w:line="360" w:lineRule="auto"/>
        <w:ind w:left="524" w:right="806"/>
        <w:jc w:val="center"/>
        <w:rPr>
          <w:rFonts w:ascii="Times New Roman"/>
          <w:i/>
          <w:sz w:val="24"/>
        </w:rPr>
      </w:pPr>
      <w:r>
        <w:rPr>
          <w:rFonts w:ascii="Times New Roman"/>
          <w:i/>
          <w:color w:val="1F2937"/>
          <w:sz w:val="24"/>
        </w:rPr>
        <w:t>Scenario</w:t>
      </w:r>
      <w:r>
        <w:rPr>
          <w:rFonts w:ascii="Times New Roman"/>
          <w:i/>
          <w:color w:val="1F2937"/>
          <w:spacing w:val="-4"/>
          <w:sz w:val="24"/>
        </w:rPr>
        <w:t xml:space="preserve"> </w:t>
      </w:r>
      <w:r>
        <w:rPr>
          <w:rFonts w:ascii="Times New Roman"/>
          <w:i/>
          <w:color w:val="1F2937"/>
          <w:sz w:val="24"/>
        </w:rPr>
        <w:t>Analysis</w:t>
      </w:r>
      <w:r>
        <w:rPr>
          <w:rFonts w:ascii="Times New Roman"/>
          <w:i/>
          <w:color w:val="1F2937"/>
          <w:spacing w:val="-4"/>
          <w:sz w:val="24"/>
        </w:rPr>
        <w:t xml:space="preserve"> </w:t>
      </w:r>
      <w:r>
        <w:rPr>
          <w:rFonts w:ascii="Times New Roman"/>
          <w:i/>
          <w:color w:val="1F2937"/>
          <w:sz w:val="24"/>
        </w:rPr>
        <w:t>under</w:t>
      </w:r>
      <w:r>
        <w:rPr>
          <w:rFonts w:ascii="Times New Roman"/>
          <w:i/>
          <w:color w:val="1F2937"/>
          <w:spacing w:val="-2"/>
          <w:sz w:val="24"/>
        </w:rPr>
        <w:t xml:space="preserve"> </w:t>
      </w:r>
      <w:r>
        <w:rPr>
          <w:rFonts w:ascii="Times New Roman"/>
          <w:i/>
          <w:color w:val="1F2937"/>
          <w:sz w:val="24"/>
        </w:rPr>
        <w:t>AI</w:t>
      </w:r>
      <w:r>
        <w:rPr>
          <w:rFonts w:ascii="Times New Roman"/>
          <w:i/>
          <w:color w:val="1F2937"/>
          <w:spacing w:val="-5"/>
          <w:sz w:val="24"/>
        </w:rPr>
        <w:t xml:space="preserve"> </w:t>
      </w:r>
      <w:r>
        <w:rPr>
          <w:rFonts w:ascii="Times New Roman"/>
          <w:i/>
          <w:color w:val="1F2937"/>
          <w:sz w:val="24"/>
        </w:rPr>
        <w:t>Governance:</w:t>
      </w:r>
      <w:r>
        <w:rPr>
          <w:rFonts w:ascii="Times New Roman"/>
          <w:i/>
          <w:color w:val="1F2937"/>
          <w:spacing w:val="-5"/>
          <w:sz w:val="24"/>
        </w:rPr>
        <w:t xml:space="preserve"> </w:t>
      </w:r>
      <w:r>
        <w:rPr>
          <w:rFonts w:ascii="Times New Roman"/>
          <w:i/>
          <w:color w:val="1F2937"/>
          <w:sz w:val="24"/>
        </w:rPr>
        <w:t>A</w:t>
      </w:r>
      <w:r>
        <w:rPr>
          <w:rFonts w:ascii="Times New Roman"/>
          <w:i/>
          <w:color w:val="1F2937"/>
          <w:spacing w:val="-2"/>
          <w:sz w:val="24"/>
        </w:rPr>
        <w:t xml:space="preserve"> </w:t>
      </w:r>
      <w:r>
        <w:rPr>
          <w:rFonts w:ascii="Times New Roman"/>
          <w:i/>
          <w:color w:val="1F2937"/>
          <w:sz w:val="24"/>
        </w:rPr>
        <w:t>Future</w:t>
      </w:r>
      <w:r>
        <w:rPr>
          <w:rFonts w:ascii="Times New Roman"/>
          <w:i/>
          <w:color w:val="1F2937"/>
          <w:spacing w:val="-5"/>
          <w:sz w:val="24"/>
        </w:rPr>
        <w:t xml:space="preserve"> </w:t>
      </w:r>
      <w:r>
        <w:rPr>
          <w:rFonts w:ascii="Times New Roman"/>
          <w:i/>
          <w:color w:val="1F2937"/>
          <w:sz w:val="24"/>
        </w:rPr>
        <w:t>Government</w:t>
      </w:r>
      <w:r>
        <w:rPr>
          <w:rFonts w:ascii="Times New Roman"/>
          <w:i/>
          <w:color w:val="1F2937"/>
          <w:spacing w:val="-4"/>
          <w:sz w:val="24"/>
        </w:rPr>
        <w:t xml:space="preserve"> </w:t>
      </w:r>
      <w:r>
        <w:rPr>
          <w:rFonts w:ascii="Times New Roman"/>
          <w:i/>
          <w:color w:val="1F2937"/>
          <w:sz w:val="24"/>
        </w:rPr>
        <w:t>Spectrum</w:t>
      </w:r>
      <w:r>
        <w:rPr>
          <w:rFonts w:ascii="Times New Roman"/>
          <w:i/>
          <w:color w:val="1F2937"/>
          <w:spacing w:val="-5"/>
          <w:sz w:val="24"/>
        </w:rPr>
        <w:t xml:space="preserve"> </w:t>
      </w:r>
      <w:r>
        <w:rPr>
          <w:rFonts w:ascii="Times New Roman"/>
          <w:i/>
          <w:color w:val="1F2937"/>
          <w:sz w:val="24"/>
        </w:rPr>
        <w:t>Based</w:t>
      </w:r>
      <w:r>
        <w:rPr>
          <w:rFonts w:ascii="Times New Roman"/>
          <w:i/>
          <w:color w:val="1F2937"/>
          <w:spacing w:val="-4"/>
          <w:sz w:val="24"/>
        </w:rPr>
        <w:t xml:space="preserve"> </w:t>
      </w:r>
      <w:r>
        <w:rPr>
          <w:rFonts w:ascii="Times New Roman"/>
          <w:i/>
          <w:color w:val="1F2937"/>
          <w:sz w:val="24"/>
        </w:rPr>
        <w:t>on Institutional Capacity to Absorb AI-Induced Structural Disruptions</w:t>
      </w:r>
    </w:p>
    <w:p w:rsidR="002C50A5" w:rsidRDefault="00A447DA">
      <w:pPr>
        <w:spacing w:before="108"/>
        <w:ind w:right="279"/>
        <w:jc w:val="center"/>
        <w:rPr>
          <w:rFonts w:ascii="Times New Roman" w:eastAsia="Times New Roman" w:hAnsi="Times New Roman"/>
          <w:b/>
          <w:sz w:val="23"/>
        </w:rPr>
      </w:pPr>
      <w:r>
        <w:rPr>
          <w:rFonts w:ascii="Times New Roman" w:eastAsia="Times New Roman" w:hAnsi="Times New Roman"/>
          <w:b/>
          <w:color w:val="585858"/>
          <w:spacing w:val="-2"/>
          <w:sz w:val="23"/>
        </w:rPr>
        <w:t>——</w:t>
      </w:r>
      <w:proofErr w:type="spellStart"/>
      <w:r>
        <w:rPr>
          <w:rFonts w:ascii="Times New Roman" w:eastAsia="Times New Roman" w:hAnsi="Times New Roman"/>
          <w:b/>
          <w:color w:val="585858"/>
          <w:spacing w:val="-2"/>
          <w:sz w:val="23"/>
        </w:rPr>
        <w:t>以二十五治理座標與三項結構效應為分析軸線</w:t>
      </w:r>
      <w:proofErr w:type="spellEnd"/>
      <w:r>
        <w:rPr>
          <w:rFonts w:ascii="Times New Roman" w:eastAsia="Times New Roman" w:hAnsi="Times New Roman"/>
          <w:b/>
          <w:color w:val="585858"/>
          <w:spacing w:val="-2"/>
          <w:sz w:val="23"/>
        </w:rPr>
        <w:t>——</w:t>
      </w:r>
    </w:p>
    <w:p w:rsidR="002C50A5" w:rsidRDefault="002C50A5">
      <w:pPr>
        <w:pStyle w:val="a3"/>
        <w:spacing w:before="153"/>
        <w:ind w:left="0" w:right="0" w:firstLine="0"/>
        <w:jc w:val="left"/>
        <w:rPr>
          <w:rFonts w:ascii="Times New Roman"/>
          <w:b/>
          <w:sz w:val="23"/>
        </w:rPr>
      </w:pPr>
    </w:p>
    <w:p w:rsidR="002C50A5" w:rsidRDefault="00A447DA">
      <w:pPr>
        <w:tabs>
          <w:tab w:val="left" w:pos="842"/>
        </w:tabs>
        <w:ind w:right="284"/>
        <w:jc w:val="center"/>
        <w:rPr>
          <w:rFonts w:ascii="Times New Roman" w:eastAsia="Times New Roman" w:hAnsi="Times New Roman"/>
          <w:sz w:val="21"/>
        </w:rPr>
      </w:pPr>
      <w:proofErr w:type="spellStart"/>
      <w:r>
        <w:t>盧建旭</w:t>
      </w:r>
      <w:proofErr w:type="spellEnd"/>
      <w:r>
        <w:tab/>
        <w:t>Lancelot Lu</w:t>
      </w:r>
    </w:p>
    <w:p w:rsidR="002C50A5" w:rsidRDefault="002C50A5">
      <w:pPr>
        <w:pStyle w:val="a3"/>
        <w:spacing w:before="168"/>
        <w:ind w:left="0" w:right="0" w:firstLine="0"/>
        <w:jc w:val="left"/>
        <w:rPr>
          <w:rFonts w:ascii="Times New Roman"/>
          <w:sz w:val="21"/>
        </w:rPr>
      </w:pPr>
    </w:p>
    <w:p w:rsidR="002C50A5" w:rsidRDefault="00A447DA">
      <w:pPr>
        <w:spacing w:line="470" w:lineRule="auto"/>
        <w:ind w:left="1590" w:right="1874"/>
        <w:jc w:val="center"/>
        <w:rPr>
          <w:rFonts w:ascii="Times New Roman" w:eastAsia="Times New Roman"/>
          <w:sz w:val="20"/>
        </w:rPr>
      </w:pPr>
      <w:r>
        <w:rPr>
          <w:rFonts w:ascii="Times New Roman" w:eastAsia="Times New Roman"/>
          <w:color w:val="404040"/>
          <w:sz w:val="20"/>
        </w:rPr>
        <w:t>Doctor</w:t>
      </w:r>
      <w:r>
        <w:rPr>
          <w:rFonts w:ascii="Times New Roman" w:eastAsia="Times New Roman"/>
          <w:color w:val="404040"/>
          <w:spacing w:val="-3"/>
          <w:sz w:val="20"/>
        </w:rPr>
        <w:t xml:space="preserve"> </w:t>
      </w:r>
      <w:r>
        <w:rPr>
          <w:rFonts w:ascii="Times New Roman" w:eastAsia="Times New Roman"/>
          <w:color w:val="404040"/>
          <w:sz w:val="20"/>
        </w:rPr>
        <w:t>of</w:t>
      </w:r>
      <w:r>
        <w:rPr>
          <w:rFonts w:ascii="Times New Roman" w:eastAsia="Times New Roman"/>
          <w:color w:val="404040"/>
          <w:spacing w:val="-6"/>
          <w:sz w:val="20"/>
        </w:rPr>
        <w:t xml:space="preserve"> </w:t>
      </w:r>
      <w:r>
        <w:rPr>
          <w:rFonts w:ascii="Times New Roman" w:eastAsia="Times New Roman"/>
          <w:color w:val="404040"/>
          <w:sz w:val="20"/>
        </w:rPr>
        <w:t>Public</w:t>
      </w:r>
      <w:r>
        <w:rPr>
          <w:rFonts w:ascii="Times New Roman" w:eastAsia="Times New Roman"/>
          <w:color w:val="404040"/>
          <w:spacing w:val="-4"/>
          <w:sz w:val="20"/>
        </w:rPr>
        <w:t xml:space="preserve"> </w:t>
      </w:r>
      <w:r>
        <w:rPr>
          <w:rFonts w:ascii="Times New Roman" w:eastAsia="Times New Roman"/>
          <w:color w:val="404040"/>
          <w:sz w:val="20"/>
        </w:rPr>
        <w:t>Administration,</w:t>
      </w:r>
      <w:r>
        <w:rPr>
          <w:rFonts w:ascii="Times New Roman" w:eastAsia="Times New Roman"/>
          <w:color w:val="404040"/>
          <w:spacing w:val="-3"/>
          <w:sz w:val="20"/>
        </w:rPr>
        <w:t xml:space="preserve"> </w:t>
      </w:r>
      <w:r>
        <w:rPr>
          <w:rFonts w:ascii="Times New Roman" w:eastAsia="Times New Roman"/>
          <w:color w:val="404040"/>
          <w:sz w:val="20"/>
        </w:rPr>
        <w:t>University</w:t>
      </w:r>
      <w:r>
        <w:rPr>
          <w:rFonts w:ascii="Times New Roman" w:eastAsia="Times New Roman"/>
          <w:color w:val="404040"/>
          <w:spacing w:val="-5"/>
          <w:sz w:val="20"/>
        </w:rPr>
        <w:t xml:space="preserve"> </w:t>
      </w:r>
      <w:r>
        <w:rPr>
          <w:rFonts w:ascii="Times New Roman" w:eastAsia="Times New Roman"/>
          <w:color w:val="404040"/>
          <w:sz w:val="20"/>
        </w:rPr>
        <w:t>of</w:t>
      </w:r>
      <w:r>
        <w:rPr>
          <w:rFonts w:ascii="Times New Roman" w:eastAsia="Times New Roman"/>
          <w:color w:val="404040"/>
          <w:spacing w:val="-6"/>
          <w:sz w:val="20"/>
        </w:rPr>
        <w:t xml:space="preserve"> </w:t>
      </w:r>
      <w:r>
        <w:rPr>
          <w:rFonts w:ascii="Times New Roman" w:eastAsia="Times New Roman"/>
          <w:color w:val="404040"/>
          <w:sz w:val="20"/>
        </w:rPr>
        <w:t>Southern</w:t>
      </w:r>
      <w:r>
        <w:rPr>
          <w:rFonts w:ascii="Times New Roman" w:eastAsia="Times New Roman"/>
          <w:color w:val="404040"/>
          <w:spacing w:val="-5"/>
          <w:sz w:val="20"/>
        </w:rPr>
        <w:t xml:space="preserve"> </w:t>
      </w:r>
      <w:r>
        <w:rPr>
          <w:rFonts w:ascii="Times New Roman" w:eastAsia="Times New Roman"/>
          <w:color w:val="404040"/>
          <w:sz w:val="20"/>
        </w:rPr>
        <w:t>California,</w:t>
      </w:r>
      <w:r>
        <w:rPr>
          <w:rFonts w:ascii="Times New Roman" w:eastAsia="Times New Roman"/>
          <w:color w:val="404040"/>
          <w:spacing w:val="-3"/>
          <w:sz w:val="20"/>
        </w:rPr>
        <w:t xml:space="preserve"> </w:t>
      </w:r>
      <w:r>
        <w:rPr>
          <w:rFonts w:ascii="Times New Roman" w:eastAsia="Times New Roman"/>
          <w:color w:val="404040"/>
          <w:sz w:val="20"/>
        </w:rPr>
        <w:t xml:space="preserve">USA </w:t>
      </w:r>
      <w:hyperlink r:id="rId7">
        <w:r>
          <w:rPr>
            <w:rFonts w:ascii="Times New Roman" w:eastAsia="Times New Roman"/>
            <w:color w:val="404040"/>
            <w:spacing w:val="-2"/>
            <w:sz w:val="20"/>
          </w:rPr>
          <w:t>jslu2020@gmail.com</w:t>
        </w:r>
      </w:hyperlink>
      <w:r>
        <w:rPr>
          <w:color w:val="404040"/>
          <w:spacing w:val="-2"/>
          <w:sz w:val="20"/>
        </w:rPr>
        <w:t>；</w:t>
      </w:r>
      <w:hyperlink r:id="rId8">
        <w:r>
          <w:rPr>
            <w:rFonts w:ascii="Times New Roman" w:eastAsia="Times New Roman"/>
            <w:color w:val="404040"/>
            <w:spacing w:val="-2"/>
            <w:sz w:val="20"/>
          </w:rPr>
          <w:t>jyanshiulu@gmail.com</w:t>
        </w:r>
      </w:hyperlink>
    </w:p>
    <w:p w:rsidR="002C50A5" w:rsidRDefault="00A447DA">
      <w:pPr>
        <w:spacing w:before="50"/>
        <w:ind w:right="283"/>
        <w:jc w:val="center"/>
        <w:rPr>
          <w:rFonts w:ascii="Times New Roman"/>
          <w:sz w:val="20"/>
        </w:rPr>
      </w:pPr>
      <w:r>
        <w:rPr>
          <w:rFonts w:ascii="Times New Roman"/>
          <w:color w:val="404040"/>
          <w:spacing w:val="-2"/>
          <w:sz w:val="20"/>
        </w:rPr>
        <w:t>lancelotlu.org</w:t>
      </w:r>
    </w:p>
    <w:p w:rsidR="002C50A5" w:rsidRDefault="002C50A5">
      <w:pPr>
        <w:pStyle w:val="a3"/>
        <w:spacing w:before="100"/>
        <w:ind w:left="0" w:right="0" w:firstLine="0"/>
        <w:jc w:val="left"/>
        <w:rPr>
          <w:rFonts w:ascii="Times New Roman"/>
          <w:sz w:val="20"/>
        </w:rPr>
      </w:pPr>
    </w:p>
    <w:p w:rsidR="002C50A5" w:rsidRDefault="00A447DA">
      <w:pPr>
        <w:ind w:right="284"/>
        <w:jc w:val="center"/>
        <w:rPr>
          <w:sz w:val="21"/>
          <w:lang w:eastAsia="zh-TW"/>
        </w:rPr>
      </w:pPr>
      <w:r>
        <w:rPr>
          <w:color w:val="808080"/>
          <w:spacing w:val="16"/>
          <w:w w:val="90"/>
          <w:sz w:val="21"/>
          <w:lang w:eastAsia="zh-TW"/>
        </w:rPr>
        <w:t>本文與</w:t>
      </w:r>
      <w:r>
        <w:rPr>
          <w:rFonts w:ascii="Times New Roman" w:eastAsia="Times New Roman"/>
          <w:i/>
          <w:color w:val="808080"/>
          <w:w w:val="90"/>
          <w:sz w:val="20"/>
          <w:lang w:eastAsia="zh-TW"/>
        </w:rPr>
        <w:t>AI</w:t>
      </w:r>
      <w:r>
        <w:rPr>
          <w:rFonts w:ascii="Times New Roman" w:eastAsia="Times New Roman"/>
          <w:i/>
          <w:color w:val="808080"/>
          <w:spacing w:val="55"/>
          <w:sz w:val="20"/>
          <w:lang w:eastAsia="zh-TW"/>
        </w:rPr>
        <w:t xml:space="preserve">  </w:t>
      </w:r>
      <w:r>
        <w:rPr>
          <w:color w:val="808080"/>
          <w:w w:val="90"/>
          <w:sz w:val="21"/>
          <w:lang w:eastAsia="zh-TW"/>
        </w:rPr>
        <w:t>協作完成，</w:t>
      </w:r>
      <w:r>
        <w:rPr>
          <w:rFonts w:ascii="Times New Roman" w:eastAsia="Times New Roman"/>
          <w:i/>
          <w:color w:val="808080"/>
          <w:w w:val="90"/>
          <w:sz w:val="20"/>
          <w:lang w:eastAsia="zh-TW"/>
        </w:rPr>
        <w:t>AI</w:t>
      </w:r>
      <w:r>
        <w:rPr>
          <w:rFonts w:ascii="Times New Roman" w:eastAsia="Times New Roman"/>
          <w:i/>
          <w:color w:val="808080"/>
          <w:spacing w:val="55"/>
          <w:sz w:val="20"/>
          <w:lang w:eastAsia="zh-TW"/>
        </w:rPr>
        <w:t xml:space="preserve">  </w:t>
      </w:r>
      <w:r>
        <w:rPr>
          <w:color w:val="808080"/>
          <w:spacing w:val="-1"/>
          <w:w w:val="90"/>
          <w:sz w:val="21"/>
          <w:lang w:eastAsia="zh-TW"/>
        </w:rPr>
        <w:t>參與文字組織與論證檢驗，概念構思與最終判斷由作者負責。</w:t>
      </w:r>
    </w:p>
    <w:p w:rsidR="002C50A5" w:rsidRDefault="00A447DA">
      <w:pPr>
        <w:pStyle w:val="1"/>
        <w:spacing w:before="383"/>
        <w:ind w:left="23" w:firstLine="0"/>
        <w:rPr>
          <w:lang w:eastAsia="zh-TW"/>
        </w:rPr>
      </w:pPr>
      <w:bookmarkStart w:id="0" w:name="摘要"/>
      <w:bookmarkEnd w:id="0"/>
      <w:r>
        <w:rPr>
          <w:color w:val="1F4E78"/>
          <w:spacing w:val="-5"/>
          <w:lang w:eastAsia="zh-TW"/>
        </w:rPr>
        <w:t>摘要</w:t>
      </w:r>
    </w:p>
    <w:p w:rsidR="002C50A5" w:rsidRDefault="00A447DA">
      <w:pPr>
        <w:spacing w:before="336" w:line="283" w:lineRule="auto"/>
        <w:ind w:left="22" w:right="92"/>
        <w:rPr>
          <w:color w:val="1F2937"/>
          <w:spacing w:val="1"/>
          <w:sz w:val="21"/>
          <w:lang w:eastAsia="zh-TW"/>
        </w:rPr>
      </w:pPr>
      <w:r>
        <w:rPr>
          <w:color w:val="1F2937"/>
          <w:spacing w:val="1"/>
          <w:sz w:val="21"/>
          <w:lang w:eastAsia="zh-TW"/>
        </w:rPr>
        <w:t>人工智慧進入公共服務、政策形成與內部行政後，公共行政理論如何持續定位權威、裁量、理由與責任，已成為數位治理研究的重要問題。本文以五分析層次與五分析單位交叉形成的二十五治理座標作為定位工具，並以跨座標移動、邊界消解與權威重構三項結構效應描述AI介入後的制度變化。情境分類</w:t>
      </w:r>
      <w:proofErr w:type="gramStart"/>
      <w:r>
        <w:rPr>
          <w:color w:val="1F2937"/>
          <w:spacing w:val="1"/>
          <w:sz w:val="21"/>
          <w:lang w:eastAsia="zh-TW"/>
        </w:rPr>
        <w:t>採</w:t>
      </w:r>
      <w:proofErr w:type="gramEnd"/>
      <w:r>
        <w:rPr>
          <w:color w:val="1F2937"/>
          <w:spacing w:val="1"/>
          <w:sz w:val="21"/>
          <w:lang w:eastAsia="zh-TW"/>
        </w:rPr>
        <w:t>兩組概念上可區辨、經驗上可能相關的判準：一是三項結構效應的影響範圍與耦合程度；二是制度吸收能力，即制度能否維持情境建構、權威、理由與責任四條治理鏈，並透過實質覆核使異議有改變決定的可能。據此區分制度吸收型（樂觀）、調適混合型（務實）與權威位移型（悲觀）三種理想型情境。本文提出一項待壓力測試的概念命題：當三項結構效應持續高強度耦合，且四條治理鏈同時無法維持其規範功能時，既有公共行政理論將面臨較強的解釋壓力。本文提供情境定位與比較架構，不是未來預測或因果模型；臺灣政策文件僅作說明性材料，理論調適或</w:t>
      </w:r>
      <w:proofErr w:type="gramStart"/>
      <w:r>
        <w:rPr>
          <w:color w:val="1F2937"/>
          <w:spacing w:val="1"/>
          <w:sz w:val="21"/>
          <w:lang w:eastAsia="zh-TW"/>
        </w:rPr>
        <w:t>重構只能</w:t>
      </w:r>
      <w:proofErr w:type="gramEnd"/>
      <w:r>
        <w:rPr>
          <w:color w:val="1F2937"/>
          <w:spacing w:val="1"/>
          <w:sz w:val="21"/>
          <w:lang w:eastAsia="zh-TW"/>
        </w:rPr>
        <w:t>是異質案例壓力測試後的可能結論。</w:t>
      </w:r>
    </w:p>
    <w:p w:rsidR="00AB79E7" w:rsidRDefault="00AB79E7">
      <w:pPr>
        <w:spacing w:before="336" w:line="283" w:lineRule="auto"/>
        <w:ind w:left="22" w:right="92"/>
        <w:rPr>
          <w:rFonts w:hint="eastAsia"/>
          <w:sz w:val="21"/>
          <w:lang w:eastAsia="zh-TW"/>
        </w:rPr>
      </w:pPr>
      <w:r>
        <w:rPr>
          <w:b/>
          <w:color w:val="1F2937"/>
          <w:spacing w:val="-2"/>
          <w:sz w:val="21"/>
          <w:lang w:eastAsia="zh-TW"/>
        </w:rPr>
        <w:t>關鍵詞：人工智慧治理、情境推演、二十五治理座標、制度吸收能力、跨座標移動、權威重構</w:t>
      </w:r>
    </w:p>
    <w:p w:rsidR="002C50A5" w:rsidRDefault="00A447DA">
      <w:pPr>
        <w:pStyle w:val="2"/>
        <w:spacing w:before="95"/>
        <w:ind w:left="23" w:firstLine="0"/>
        <w:rPr>
          <w:rFonts w:ascii="Times New Roman"/>
        </w:rPr>
      </w:pPr>
      <w:bookmarkStart w:id="1" w:name="Abstract"/>
      <w:bookmarkEnd w:id="1"/>
      <w:r>
        <w:rPr>
          <w:rFonts w:ascii="Times New Roman"/>
          <w:color w:val="1F2937"/>
          <w:spacing w:val="-2"/>
        </w:rPr>
        <w:t>Abstract</w:t>
      </w:r>
    </w:p>
    <w:p w:rsidR="002C50A5" w:rsidRDefault="00A447DA">
      <w:pPr>
        <w:spacing w:before="266" w:line="300" w:lineRule="auto"/>
        <w:ind w:left="23" w:right="301"/>
        <w:jc w:val="both"/>
        <w:rPr>
          <w:rFonts w:ascii="Times New Roman"/>
          <w:i/>
          <w:sz w:val="21"/>
        </w:rPr>
      </w:pPr>
      <w:r>
        <w:rPr>
          <w:rFonts w:ascii="Times New Roman"/>
          <w:i/>
          <w:color w:val="1F2937"/>
          <w:sz w:val="21"/>
        </w:rPr>
        <w:lastRenderedPageBreak/>
        <w:t>As artificial intelligence becomes embedded in public services, policy formation, and internal administration, public administration theory faces renewed difficulty in locating authority, discretion, reasons, and responsibility. This article uses twenty-five governance coordinates, formed by crossing five analytical levels with five units of analysis, as a positioning framework and treats cross-coordinate movement, boundary dissolution, and authority reconfiguration as three structural effects of AI intervention. Scenario classification rests on two conceptually distinct but empirically related criteria: the scope and coupling of the three structural effects, and institutional absorption capacity, defined as the ability to sustain the context-construction, authority, reasoning, and responsibility chains while preserving meaningful review that can alter a decision. These criteria yield three ideal types: institutionally absorptive (optimistic), adaptive hybrid (pragmatic), and authority-displacing (pessimistic). The central proposition is deliberately provisional: explanatory strain on public administration theory increases when the three structural effects remain strongly coupled and the four governance chains simultaneously fail to perform their normative functions. The framework supports scenario positioning and comparison rather than prediction or causal inference. Taiwanese policy documents serve only as illustrative materials; theoretical adaptation or reconstruction can be considered only as a possible conclusion after stress testing across heterogeneous cases.</w:t>
      </w:r>
    </w:p>
    <w:p w:rsidR="002C50A5" w:rsidRDefault="00A447DA">
      <w:pPr>
        <w:spacing w:before="89" w:line="295" w:lineRule="auto"/>
        <w:ind w:left="23" w:right="527"/>
        <w:rPr>
          <w:rFonts w:ascii="Times New Roman" w:eastAsia="Times New Roman"/>
          <w:i/>
          <w:sz w:val="21"/>
        </w:rPr>
      </w:pPr>
      <w:bookmarkStart w:id="2" w:name="_GoBack"/>
      <w:bookmarkEnd w:id="2"/>
      <w:r>
        <w:rPr>
          <w:b/>
          <w:color w:val="1F2937"/>
          <w:spacing w:val="-2"/>
          <w:sz w:val="21"/>
        </w:rPr>
        <w:t>Keywords: AI governance, scenario analysis, twenty-five governance coordinates, institutional capacity, cross-coordinate movement, authority reconfiguration</w:t>
      </w:r>
    </w:p>
    <w:p w:rsidR="002C50A5" w:rsidRDefault="002C50A5">
      <w:pPr>
        <w:spacing w:line="295" w:lineRule="auto"/>
        <w:rPr>
          <w:rFonts w:ascii="Times New Roman" w:eastAsia="Times New Roman"/>
          <w:i/>
          <w:sz w:val="21"/>
        </w:rPr>
        <w:sectPr w:rsidR="002C50A5">
          <w:headerReference w:type="default" r:id="rId9"/>
          <w:footerReference w:type="default" r:id="rId10"/>
          <w:pgSz w:w="11906" w:h="16838"/>
          <w:pgMar w:top="1247" w:right="1417" w:bottom="1247" w:left="1417" w:header="0" w:footer="730" w:gutter="0"/>
          <w:cols w:space="720"/>
        </w:sectPr>
      </w:pPr>
    </w:p>
    <w:p w:rsidR="002C50A5" w:rsidRDefault="00A447DA">
      <w:pPr>
        <w:pStyle w:val="1"/>
        <w:numPr>
          <w:ilvl w:val="0"/>
          <w:numId w:val="9"/>
        </w:numPr>
        <w:tabs>
          <w:tab w:val="left" w:pos="584"/>
        </w:tabs>
        <w:ind w:left="584" w:hanging="561"/>
      </w:pPr>
      <w:bookmarkStart w:id="3" w:name="壹、緒論"/>
      <w:bookmarkEnd w:id="3"/>
      <w:proofErr w:type="spellStart"/>
      <w:r>
        <w:rPr>
          <w:color w:val="1F4E78"/>
          <w:spacing w:val="-5"/>
        </w:rPr>
        <w:lastRenderedPageBreak/>
        <w:t>緒論</w:t>
      </w:r>
      <w:proofErr w:type="spellEnd"/>
    </w:p>
    <w:p w:rsidR="002C50A5" w:rsidRDefault="00A447DA">
      <w:pPr>
        <w:pStyle w:val="2"/>
        <w:numPr>
          <w:ilvl w:val="1"/>
          <w:numId w:val="9"/>
        </w:numPr>
        <w:tabs>
          <w:tab w:val="left" w:pos="522"/>
        </w:tabs>
        <w:spacing w:before="394"/>
        <w:ind w:left="522" w:hanging="499"/>
      </w:pPr>
      <w:bookmarkStart w:id="4" w:name="一、問題的重新定位"/>
      <w:bookmarkEnd w:id="4"/>
      <w:proofErr w:type="spellStart"/>
      <w:r>
        <w:rPr>
          <w:color w:val="1F2937"/>
          <w:spacing w:val="-5"/>
        </w:rPr>
        <w:t>問題的重新定位</w:t>
      </w:r>
      <w:proofErr w:type="spellEnd"/>
    </w:p>
    <w:p w:rsidR="002C50A5" w:rsidRDefault="00A447DA">
      <w:pPr>
        <w:pStyle w:val="a3"/>
        <w:spacing w:line="338" w:lineRule="auto"/>
        <w:rPr>
          <w:lang w:eastAsia="zh-TW"/>
        </w:rPr>
      </w:pPr>
      <w:r>
        <w:rPr>
          <w:color w:val="1F2937"/>
          <w:spacing w:val="4"/>
          <w:lang w:eastAsia="zh-TW"/>
        </w:rPr>
        <w:t>人工智慧不只擴張政府處理資料與生成內容的能力，也可能改變行政組織的資訊</w:t>
      </w:r>
      <w:r>
        <w:rPr>
          <w:color w:val="1F2937"/>
          <w:lang w:eastAsia="zh-TW"/>
        </w:rPr>
        <w:t>體制、功能配置與委外關係（</w:t>
      </w:r>
      <w:r>
        <w:rPr>
          <w:rFonts w:ascii="Times New Roman" w:eastAsia="Times New Roman"/>
          <w:color w:val="1F2937"/>
          <w:spacing w:val="-1"/>
          <w:lang w:eastAsia="zh-TW"/>
        </w:rPr>
        <w:t>D</w:t>
      </w:r>
      <w:r>
        <w:rPr>
          <w:rFonts w:ascii="Times New Roman" w:eastAsia="Times New Roman"/>
          <w:color w:val="1F2937"/>
          <w:lang w:eastAsia="zh-TW"/>
        </w:rPr>
        <w:t>unl</w:t>
      </w:r>
      <w:r>
        <w:rPr>
          <w:rFonts w:ascii="Times New Roman" w:eastAsia="Times New Roman"/>
          <w:color w:val="1F2937"/>
          <w:spacing w:val="-1"/>
          <w:lang w:eastAsia="zh-TW"/>
        </w:rPr>
        <w:t>ea</w:t>
      </w:r>
      <w:r>
        <w:rPr>
          <w:rFonts w:ascii="Times New Roman" w:eastAsia="Times New Roman"/>
          <w:color w:val="1F2937"/>
          <w:spacing w:val="4"/>
          <w:lang w:eastAsia="zh-TW"/>
        </w:rPr>
        <w:t>v</w:t>
      </w:r>
      <w:r>
        <w:rPr>
          <w:rFonts w:ascii="Times New Roman" w:eastAsia="Times New Roman"/>
          <w:color w:val="1F2937"/>
          <w:lang w:eastAsia="zh-TW"/>
        </w:rPr>
        <w:t>y</w:t>
      </w:r>
      <w:r>
        <w:rPr>
          <w:rFonts w:ascii="Times New Roman" w:eastAsia="Times New Roman"/>
          <w:color w:val="1F2937"/>
          <w:spacing w:val="2"/>
          <w:lang w:eastAsia="zh-TW"/>
        </w:rPr>
        <w:t xml:space="preserve"> </w:t>
      </w:r>
      <w:r>
        <w:rPr>
          <w:rFonts w:ascii="Times New Roman" w:eastAsia="Times New Roman"/>
          <w:color w:val="1F2937"/>
          <w:lang w:eastAsia="zh-TW"/>
        </w:rPr>
        <w:t>&amp;</w:t>
      </w:r>
      <w:r>
        <w:rPr>
          <w:rFonts w:ascii="Times New Roman" w:eastAsia="Times New Roman"/>
          <w:color w:val="1F2937"/>
          <w:spacing w:val="5"/>
          <w:lang w:eastAsia="zh-TW"/>
        </w:rPr>
        <w:t xml:space="preserve"> </w:t>
      </w:r>
      <w:r>
        <w:rPr>
          <w:rFonts w:ascii="Times New Roman" w:eastAsia="Times New Roman"/>
          <w:color w:val="1F2937"/>
          <w:lang w:eastAsia="zh-TW"/>
        </w:rPr>
        <w:t>M</w:t>
      </w:r>
      <w:r>
        <w:rPr>
          <w:rFonts w:ascii="Times New Roman" w:eastAsia="Times New Roman"/>
          <w:color w:val="1F2937"/>
          <w:spacing w:val="1"/>
          <w:lang w:eastAsia="zh-TW"/>
        </w:rPr>
        <w:t>ar</w:t>
      </w:r>
      <w:r>
        <w:rPr>
          <w:rFonts w:ascii="Times New Roman" w:eastAsia="Times New Roman"/>
          <w:color w:val="1F2937"/>
          <w:spacing w:val="-3"/>
          <w:lang w:eastAsia="zh-TW"/>
        </w:rPr>
        <w:t>g</w:t>
      </w:r>
      <w:r>
        <w:rPr>
          <w:rFonts w:ascii="Times New Roman" w:eastAsia="Times New Roman"/>
          <w:color w:val="1F2937"/>
          <w:spacing w:val="-1"/>
          <w:lang w:eastAsia="zh-TW"/>
        </w:rPr>
        <w:t>e</w:t>
      </w:r>
      <w:r>
        <w:rPr>
          <w:rFonts w:ascii="Times New Roman" w:eastAsia="Times New Roman"/>
          <w:color w:val="1F2937"/>
          <w:lang w:eastAsia="zh-TW"/>
        </w:rPr>
        <w:t>tts,</w:t>
      </w:r>
      <w:r>
        <w:rPr>
          <w:rFonts w:ascii="Times New Roman" w:eastAsia="Times New Roman"/>
          <w:color w:val="1F2937"/>
          <w:spacing w:val="7"/>
          <w:lang w:eastAsia="zh-TW"/>
        </w:rPr>
        <w:t xml:space="preserve"> </w:t>
      </w:r>
      <w:r>
        <w:rPr>
          <w:rFonts w:ascii="Times New Roman" w:eastAsia="Times New Roman"/>
          <w:color w:val="1F2937"/>
          <w:lang w:eastAsia="zh-TW"/>
        </w:rPr>
        <w:t>2025</w:t>
      </w:r>
      <w:r>
        <w:rPr>
          <w:color w:val="1F2937"/>
          <w:lang w:eastAsia="zh-TW"/>
        </w:rPr>
        <w:t>）</w:t>
      </w:r>
      <w:r>
        <w:rPr>
          <w:color w:val="1F2937"/>
          <w:spacing w:val="-1"/>
          <w:lang w:eastAsia="zh-TW"/>
        </w:rPr>
        <w:t xml:space="preserve">。因此，本文關注的不是 </w:t>
      </w:r>
      <w:r>
        <w:rPr>
          <w:rFonts w:ascii="Times New Roman" w:eastAsia="Times New Roman"/>
          <w:color w:val="1F2937"/>
          <w:spacing w:val="1"/>
          <w:lang w:eastAsia="zh-TW"/>
        </w:rPr>
        <w:t>AI</w:t>
      </w:r>
      <w:r>
        <w:rPr>
          <w:color w:val="1F2937"/>
          <w:spacing w:val="2"/>
          <w:lang w:eastAsia="zh-TW"/>
        </w:rPr>
        <w:t>是否提升效率，而是技術介入後，既有公共行政理論能否持續定位權威、裁量、理由</w:t>
      </w:r>
      <w:r>
        <w:rPr>
          <w:color w:val="1F2937"/>
          <w:lang w:eastAsia="zh-TW"/>
        </w:rPr>
        <w:t>與責任。</w:t>
      </w:r>
    </w:p>
    <w:p w:rsidR="002C50A5" w:rsidRDefault="00A447DA">
      <w:pPr>
        <w:pStyle w:val="a3"/>
        <w:spacing w:before="122" w:line="338" w:lineRule="auto"/>
        <w:ind w:right="306"/>
        <w:rPr>
          <w:lang w:eastAsia="zh-TW"/>
        </w:rPr>
      </w:pPr>
      <w:r>
        <w:rPr>
          <w:color w:val="1F2937"/>
          <w:lang w:eastAsia="zh-TW"/>
        </w:rPr>
        <w:t>本文所稱「</w:t>
      </w:r>
      <w:r>
        <w:rPr>
          <w:rFonts w:ascii="Times New Roman" w:eastAsia="Times New Roman"/>
          <w:color w:val="1F2937"/>
          <w:lang w:eastAsia="zh-TW"/>
        </w:rPr>
        <w:t>AI</w:t>
      </w:r>
      <w:r>
        <w:rPr>
          <w:rFonts w:ascii="Times New Roman" w:eastAsia="Times New Roman"/>
          <w:color w:val="1F2937"/>
          <w:spacing w:val="-15"/>
          <w:lang w:eastAsia="zh-TW"/>
        </w:rPr>
        <w:t xml:space="preserve"> </w:t>
      </w:r>
      <w:r>
        <w:rPr>
          <w:color w:val="1F2937"/>
          <w:spacing w:val="-2"/>
          <w:lang w:eastAsia="zh-TW"/>
        </w:rPr>
        <w:t xml:space="preserve">治理」涵蓋治理 </w:t>
      </w:r>
      <w:r>
        <w:rPr>
          <w:rFonts w:ascii="Times New Roman" w:eastAsia="Times New Roman"/>
          <w:color w:val="1F2937"/>
          <w:lang w:eastAsia="zh-TW"/>
        </w:rPr>
        <w:t>AI</w:t>
      </w:r>
      <w:r>
        <w:rPr>
          <w:rFonts w:ascii="Times New Roman" w:eastAsia="Times New Roman"/>
          <w:color w:val="1F2937"/>
          <w:spacing w:val="-15"/>
          <w:lang w:eastAsia="zh-TW"/>
        </w:rPr>
        <w:t xml:space="preserve"> </w:t>
      </w:r>
      <w:r>
        <w:rPr>
          <w:color w:val="1F2937"/>
          <w:lang w:eastAsia="zh-TW"/>
        </w:rPr>
        <w:t xml:space="preserve">與透過 </w:t>
      </w:r>
      <w:r>
        <w:rPr>
          <w:rFonts w:ascii="Times New Roman" w:eastAsia="Times New Roman"/>
          <w:color w:val="1F2937"/>
          <w:lang w:eastAsia="zh-TW"/>
        </w:rPr>
        <w:t>AI</w:t>
      </w:r>
      <w:r>
        <w:rPr>
          <w:rFonts w:ascii="Times New Roman" w:eastAsia="Times New Roman"/>
          <w:color w:val="1F2937"/>
          <w:spacing w:val="-15"/>
          <w:lang w:eastAsia="zh-TW"/>
        </w:rPr>
        <w:t xml:space="preserve"> </w:t>
      </w:r>
      <w:r>
        <w:rPr>
          <w:color w:val="1F2937"/>
          <w:lang w:eastAsia="zh-TW"/>
        </w:rPr>
        <w:t xml:space="preserve">治理兩者的交互作用：前者指對 </w:t>
      </w:r>
      <w:r>
        <w:rPr>
          <w:rFonts w:ascii="Times New Roman" w:eastAsia="Times New Roman"/>
          <w:color w:val="1F2937"/>
          <w:lang w:eastAsia="zh-TW"/>
        </w:rPr>
        <w:t>AI</w:t>
      </w:r>
      <w:r>
        <w:rPr>
          <w:rFonts w:ascii="Times New Roman" w:eastAsia="Times New Roman"/>
          <w:color w:val="1F2937"/>
          <w:spacing w:val="-15"/>
          <w:lang w:eastAsia="zh-TW"/>
        </w:rPr>
        <w:t xml:space="preserve"> </w:t>
      </w:r>
      <w:r>
        <w:rPr>
          <w:color w:val="1F2937"/>
          <w:lang w:eastAsia="zh-TW"/>
        </w:rPr>
        <w:t>設</w:t>
      </w:r>
      <w:r>
        <w:rPr>
          <w:color w:val="1F2937"/>
          <w:spacing w:val="-1"/>
          <w:lang w:eastAsia="zh-TW"/>
        </w:rPr>
        <w:t xml:space="preserve">計、採購與使用的規範，後者指 </w:t>
      </w:r>
      <w:r>
        <w:rPr>
          <w:rFonts w:ascii="Times New Roman" w:eastAsia="Times New Roman"/>
          <w:color w:val="1F2937"/>
          <w:lang w:eastAsia="zh-TW"/>
        </w:rPr>
        <w:t>AI</w:t>
      </w:r>
      <w:r>
        <w:rPr>
          <w:rFonts w:ascii="Times New Roman" w:eastAsia="Times New Roman"/>
          <w:color w:val="1F2937"/>
          <w:spacing w:val="-15"/>
          <w:lang w:eastAsia="zh-TW"/>
        </w:rPr>
        <w:t xml:space="preserve"> </w:t>
      </w:r>
      <w:r>
        <w:rPr>
          <w:color w:val="1F2937"/>
          <w:lang w:eastAsia="zh-TW"/>
        </w:rPr>
        <w:t xml:space="preserve">作為行政與政策工具所形成的治理效果。本文的理論分析偏重透過 </w:t>
      </w:r>
      <w:r>
        <w:rPr>
          <w:rFonts w:ascii="Times New Roman" w:eastAsia="Times New Roman"/>
          <w:color w:val="1F2937"/>
          <w:lang w:eastAsia="zh-TW"/>
        </w:rPr>
        <w:t xml:space="preserve">AI </w:t>
      </w:r>
      <w:r>
        <w:rPr>
          <w:color w:val="1F2937"/>
          <w:lang w:eastAsia="zh-TW"/>
        </w:rPr>
        <w:t xml:space="preserve">治理，臺灣政策文件則主要呈現治理 </w:t>
      </w:r>
      <w:r>
        <w:rPr>
          <w:rFonts w:ascii="Times New Roman" w:eastAsia="Times New Roman"/>
          <w:color w:val="1F2937"/>
          <w:lang w:eastAsia="zh-TW"/>
        </w:rPr>
        <w:t xml:space="preserve">AI </w:t>
      </w:r>
      <w:r>
        <w:rPr>
          <w:color w:val="1F2937"/>
          <w:lang w:eastAsia="zh-TW"/>
        </w:rPr>
        <w:t>的制度形成；兩者的交會</w:t>
      </w:r>
      <w:r>
        <w:rPr>
          <w:color w:val="1F2937"/>
          <w:spacing w:val="-2"/>
          <w:lang w:eastAsia="zh-TW"/>
        </w:rPr>
        <w:t>處，正是制度吸收能力需要處理的範圍。</w:t>
      </w:r>
    </w:p>
    <w:p w:rsidR="002C50A5" w:rsidRDefault="00A447DA">
      <w:pPr>
        <w:pStyle w:val="a3"/>
        <w:spacing w:before="120" w:line="338" w:lineRule="auto"/>
        <w:ind w:right="67"/>
        <w:jc w:val="left"/>
        <w:rPr>
          <w:lang w:eastAsia="zh-TW"/>
        </w:rPr>
      </w:pPr>
      <w:proofErr w:type="spellStart"/>
      <w:r>
        <w:rPr>
          <w:color w:val="1F2937"/>
          <w:spacing w:val="21"/>
        </w:rPr>
        <w:t>既有研究已分別處理人工裁量</w:t>
      </w:r>
      <w:proofErr w:type="spellEnd"/>
      <w:r>
        <w:rPr>
          <w:color w:val="1F2937"/>
        </w:rPr>
        <w:t>（</w:t>
      </w:r>
      <w:r>
        <w:rPr>
          <w:color w:val="1F2937"/>
          <w:spacing w:val="-28"/>
        </w:rPr>
        <w:t xml:space="preserve"> </w:t>
      </w:r>
      <w:r>
        <w:rPr>
          <w:rFonts w:ascii="Times New Roman" w:eastAsia="Times New Roman"/>
          <w:color w:val="1F2937"/>
        </w:rPr>
        <w:t>Young</w:t>
      </w:r>
      <w:r>
        <w:rPr>
          <w:rFonts w:ascii="Times New Roman" w:eastAsia="Times New Roman"/>
          <w:color w:val="1F2937"/>
          <w:spacing w:val="40"/>
        </w:rPr>
        <w:t xml:space="preserve"> </w:t>
      </w:r>
      <w:r>
        <w:rPr>
          <w:rFonts w:ascii="Times New Roman" w:eastAsia="Times New Roman"/>
          <w:color w:val="1F2937"/>
        </w:rPr>
        <w:t>et</w:t>
      </w:r>
      <w:r>
        <w:rPr>
          <w:rFonts w:ascii="Times New Roman" w:eastAsia="Times New Roman"/>
          <w:color w:val="1F2937"/>
          <w:spacing w:val="40"/>
        </w:rPr>
        <w:t xml:space="preserve"> </w:t>
      </w:r>
      <w:r>
        <w:rPr>
          <w:rFonts w:ascii="Times New Roman" w:eastAsia="Times New Roman"/>
          <w:color w:val="1F2937"/>
        </w:rPr>
        <w:t>al.,</w:t>
      </w:r>
      <w:r>
        <w:rPr>
          <w:rFonts w:ascii="Times New Roman" w:eastAsia="Times New Roman"/>
          <w:color w:val="1F2937"/>
          <w:spacing w:val="40"/>
        </w:rPr>
        <w:t xml:space="preserve"> </w:t>
      </w:r>
      <w:r>
        <w:rPr>
          <w:rFonts w:ascii="Times New Roman" w:eastAsia="Times New Roman"/>
          <w:color w:val="1F2937"/>
        </w:rPr>
        <w:t>2019</w:t>
      </w:r>
      <w:r>
        <w:rPr>
          <w:rFonts w:ascii="Times New Roman" w:eastAsia="Times New Roman"/>
          <w:color w:val="1F2937"/>
          <w:spacing w:val="-32"/>
        </w:rPr>
        <w:t xml:space="preserve"> </w:t>
      </w:r>
      <w:r>
        <w:rPr>
          <w:color w:val="1F2937"/>
          <w:spacing w:val="21"/>
        </w:rPr>
        <w:t>）、</w:t>
      </w:r>
      <w:proofErr w:type="spellStart"/>
      <w:r>
        <w:rPr>
          <w:color w:val="1F2937"/>
          <w:spacing w:val="21"/>
        </w:rPr>
        <w:t>演算法問責</w:t>
      </w:r>
      <w:proofErr w:type="spellEnd"/>
      <w:r>
        <w:rPr>
          <w:color w:val="1F2937"/>
        </w:rPr>
        <w:t>（</w:t>
      </w:r>
      <w:r>
        <w:rPr>
          <w:color w:val="1F2937"/>
          <w:spacing w:val="-28"/>
        </w:rPr>
        <w:t xml:space="preserve"> </w:t>
      </w:r>
      <w:proofErr w:type="spellStart"/>
      <w:r>
        <w:rPr>
          <w:rFonts w:ascii="Times New Roman" w:eastAsia="Times New Roman"/>
          <w:color w:val="1F2937"/>
        </w:rPr>
        <w:t>Busuioc</w:t>
      </w:r>
      <w:proofErr w:type="spellEnd"/>
      <w:r>
        <w:rPr>
          <w:rFonts w:ascii="Times New Roman" w:eastAsia="Times New Roman"/>
          <w:color w:val="1F2937"/>
        </w:rPr>
        <w:t>, 2021</w:t>
      </w:r>
      <w:r>
        <w:rPr>
          <w:color w:val="1F2937"/>
        </w:rPr>
        <w:t>）、</w:t>
      </w:r>
      <w:proofErr w:type="spellStart"/>
      <w:r>
        <w:rPr>
          <w:color w:val="1F2937"/>
        </w:rPr>
        <w:t>政策框定（</w:t>
      </w:r>
      <w:r>
        <w:rPr>
          <w:rFonts w:ascii="Times New Roman" w:eastAsia="Times New Roman"/>
          <w:color w:val="1F2937"/>
        </w:rPr>
        <w:t>Ulnicane</w:t>
      </w:r>
      <w:proofErr w:type="spellEnd"/>
      <w:r>
        <w:rPr>
          <w:rFonts w:ascii="Times New Roman" w:eastAsia="Times New Roman"/>
          <w:color w:val="1F2937"/>
          <w:spacing w:val="40"/>
        </w:rPr>
        <w:t xml:space="preserve"> </w:t>
      </w:r>
      <w:r>
        <w:rPr>
          <w:rFonts w:ascii="Times New Roman" w:eastAsia="Times New Roman"/>
          <w:color w:val="1F2937"/>
        </w:rPr>
        <w:t>et</w:t>
      </w:r>
      <w:r>
        <w:rPr>
          <w:rFonts w:ascii="Times New Roman" w:eastAsia="Times New Roman"/>
          <w:color w:val="1F2937"/>
          <w:spacing w:val="40"/>
        </w:rPr>
        <w:t xml:space="preserve"> </w:t>
      </w:r>
      <w:r>
        <w:rPr>
          <w:rFonts w:ascii="Times New Roman" w:eastAsia="Times New Roman"/>
          <w:color w:val="1F2937"/>
        </w:rPr>
        <w:t>al.,</w:t>
      </w:r>
      <w:r>
        <w:rPr>
          <w:rFonts w:ascii="Times New Roman" w:eastAsia="Times New Roman"/>
          <w:color w:val="1F2937"/>
          <w:spacing w:val="40"/>
        </w:rPr>
        <w:t xml:space="preserve"> </w:t>
      </w:r>
      <w:r>
        <w:rPr>
          <w:rFonts w:ascii="Times New Roman" w:eastAsia="Times New Roman"/>
          <w:color w:val="1F2937"/>
        </w:rPr>
        <w:t>2021</w:t>
      </w:r>
      <w:r>
        <w:rPr>
          <w:color w:val="1F2937"/>
        </w:rPr>
        <w:t>）及多層次治理（</w:t>
      </w:r>
      <w:r>
        <w:rPr>
          <w:rFonts w:ascii="Times New Roman" w:eastAsia="Times New Roman"/>
          <w:color w:val="1F2937"/>
        </w:rPr>
        <w:t>Criado</w:t>
      </w:r>
      <w:r>
        <w:rPr>
          <w:rFonts w:ascii="Times New Roman" w:eastAsia="Times New Roman"/>
          <w:color w:val="1F2937"/>
          <w:spacing w:val="40"/>
        </w:rPr>
        <w:t xml:space="preserve"> </w:t>
      </w:r>
      <w:r>
        <w:rPr>
          <w:rFonts w:ascii="Times New Roman" w:eastAsia="Times New Roman"/>
          <w:color w:val="1F2937"/>
        </w:rPr>
        <w:t>et</w:t>
      </w:r>
      <w:r>
        <w:rPr>
          <w:rFonts w:ascii="Times New Roman" w:eastAsia="Times New Roman"/>
          <w:color w:val="1F2937"/>
          <w:spacing w:val="40"/>
        </w:rPr>
        <w:t xml:space="preserve"> </w:t>
      </w:r>
      <w:r>
        <w:rPr>
          <w:rFonts w:ascii="Times New Roman" w:eastAsia="Times New Roman"/>
          <w:color w:val="1F2937"/>
        </w:rPr>
        <w:t>al.,</w:t>
      </w:r>
      <w:r>
        <w:rPr>
          <w:rFonts w:ascii="Times New Roman" w:eastAsia="Times New Roman"/>
          <w:color w:val="1F2937"/>
          <w:spacing w:val="40"/>
        </w:rPr>
        <w:t xml:space="preserve"> </w:t>
      </w:r>
      <w:r>
        <w:rPr>
          <w:rFonts w:ascii="Times New Roman" w:eastAsia="Times New Roman"/>
          <w:color w:val="1F2937"/>
        </w:rPr>
        <w:t>2025</w:t>
      </w:r>
      <w:r>
        <w:rPr>
          <w:color w:val="1F2937"/>
        </w:rPr>
        <w:t>）。</w:t>
      </w:r>
      <w:r>
        <w:rPr>
          <w:color w:val="1F2937"/>
          <w:lang w:eastAsia="zh-TW"/>
        </w:rPr>
        <w:t>這些 研究提供重要基礎，但對於「</w:t>
      </w:r>
      <w:r>
        <w:rPr>
          <w:rFonts w:ascii="Times New Roman" w:eastAsia="Times New Roman"/>
          <w:color w:val="1F2937"/>
          <w:lang w:eastAsia="zh-TW"/>
        </w:rPr>
        <w:t>AI</w:t>
      </w:r>
      <w:r>
        <w:rPr>
          <w:rFonts w:ascii="Times New Roman" w:eastAsia="Times New Roman"/>
          <w:color w:val="1F2937"/>
          <w:spacing w:val="36"/>
          <w:lang w:eastAsia="zh-TW"/>
        </w:rPr>
        <w:t xml:space="preserve"> </w:t>
      </w:r>
      <w:r>
        <w:rPr>
          <w:color w:val="1F2937"/>
          <w:lang w:eastAsia="zh-TW"/>
        </w:rPr>
        <w:t>介入哪一治理位置」「結構變化如何跨越層次與單位」</w:t>
      </w:r>
      <w:r>
        <w:rPr>
          <w:color w:val="1F2937"/>
          <w:spacing w:val="-2"/>
          <w:lang w:eastAsia="zh-TW"/>
        </w:rPr>
        <w:t>及「不同變化如何形成可比較的政府情境」，仍缺少一套可串接的分析架構。</w:t>
      </w:r>
    </w:p>
    <w:p w:rsidR="002C50A5" w:rsidRDefault="00A447DA">
      <w:pPr>
        <w:pStyle w:val="2"/>
        <w:numPr>
          <w:ilvl w:val="1"/>
          <w:numId w:val="9"/>
        </w:numPr>
        <w:tabs>
          <w:tab w:val="left" w:pos="522"/>
        </w:tabs>
        <w:spacing w:before="181"/>
        <w:ind w:left="522" w:hanging="499"/>
        <w:rPr>
          <w:lang w:eastAsia="zh-TW"/>
        </w:rPr>
      </w:pPr>
      <w:bookmarkStart w:id="5" w:name="二、情境方法的文獻脈絡：從情境規劃到未來政府"/>
      <w:bookmarkEnd w:id="5"/>
      <w:r>
        <w:rPr>
          <w:color w:val="1F2937"/>
          <w:spacing w:val="-5"/>
          <w:lang w:eastAsia="zh-TW"/>
        </w:rPr>
        <w:t>情境方法的文獻脈絡：從情境規劃到未來政府</w:t>
      </w:r>
    </w:p>
    <w:p w:rsidR="002C50A5" w:rsidRDefault="00A447DA">
      <w:pPr>
        <w:pStyle w:val="a3"/>
        <w:spacing w:before="309" w:line="338" w:lineRule="auto"/>
        <w:ind w:right="62"/>
        <w:jc w:val="left"/>
        <w:rPr>
          <w:lang w:eastAsia="zh-TW"/>
        </w:rPr>
      </w:pPr>
      <w:r>
        <w:rPr>
          <w:color w:val="1F2937"/>
          <w:lang w:eastAsia="zh-TW"/>
        </w:rPr>
        <w:t>本文採用情境規劃（</w:t>
      </w:r>
      <w:r>
        <w:rPr>
          <w:rFonts w:ascii="Times New Roman" w:eastAsia="Times New Roman"/>
          <w:color w:val="1F2937"/>
          <w:lang w:eastAsia="zh-TW"/>
        </w:rPr>
        <w:t>scenario</w:t>
      </w:r>
      <w:r>
        <w:rPr>
          <w:rFonts w:ascii="Times New Roman" w:eastAsia="Times New Roman"/>
          <w:color w:val="1F2937"/>
          <w:spacing w:val="40"/>
          <w:lang w:eastAsia="zh-TW"/>
        </w:rPr>
        <w:t xml:space="preserve"> </w:t>
      </w:r>
      <w:r>
        <w:rPr>
          <w:rFonts w:ascii="Times New Roman" w:eastAsia="Times New Roman"/>
          <w:color w:val="1F2937"/>
          <w:lang w:eastAsia="zh-TW"/>
        </w:rPr>
        <w:t>planning</w:t>
      </w:r>
      <w:r>
        <w:rPr>
          <w:color w:val="1F2937"/>
          <w:lang w:eastAsia="zh-TW"/>
        </w:rPr>
        <w:t>）的基本立場：情境不是對唯一未來的預測，</w:t>
      </w:r>
      <w:r>
        <w:rPr>
          <w:color w:val="1F2937"/>
          <w:spacing w:val="33"/>
          <w:lang w:eastAsia="zh-TW"/>
        </w:rPr>
        <w:t>而是將關鍵不確定性與制度條件組合成數</w:t>
      </w:r>
      <w:proofErr w:type="gramStart"/>
      <w:r>
        <w:rPr>
          <w:color w:val="1F2937"/>
          <w:spacing w:val="33"/>
          <w:lang w:eastAsia="zh-TW"/>
        </w:rPr>
        <w:t>個</w:t>
      </w:r>
      <w:proofErr w:type="gramEnd"/>
      <w:r>
        <w:rPr>
          <w:color w:val="1F2937"/>
          <w:spacing w:val="33"/>
          <w:lang w:eastAsia="zh-TW"/>
        </w:rPr>
        <w:t>內部一致、可供比較的可能未來</w:t>
      </w:r>
    </w:p>
    <w:p w:rsidR="002C50A5" w:rsidRDefault="00A447DA">
      <w:pPr>
        <w:pStyle w:val="a3"/>
        <w:spacing w:before="1" w:line="338" w:lineRule="auto"/>
        <w:ind w:right="304" w:firstLine="0"/>
        <w:jc w:val="left"/>
        <w:rPr>
          <w:lang w:eastAsia="zh-TW"/>
        </w:rPr>
      </w:pPr>
      <w:r>
        <w:rPr>
          <w:color w:val="1F2937"/>
        </w:rPr>
        <w:t>（</w:t>
      </w:r>
      <w:r>
        <w:rPr>
          <w:rFonts w:ascii="Times New Roman" w:eastAsia="Times New Roman"/>
          <w:color w:val="1F2937"/>
        </w:rPr>
        <w:t>Schwartz, 1991</w:t>
      </w:r>
      <w:r>
        <w:rPr>
          <w:color w:val="1F2937"/>
        </w:rPr>
        <w:t>；</w:t>
      </w:r>
      <w:r>
        <w:rPr>
          <w:rFonts w:ascii="Times New Roman" w:eastAsia="Times New Roman"/>
          <w:color w:val="1F2937"/>
        </w:rPr>
        <w:t>van der Heijden, 1996</w:t>
      </w:r>
      <w:r>
        <w:rPr>
          <w:color w:val="1F2937"/>
        </w:rPr>
        <w:t>）。</w:t>
      </w:r>
      <w:r>
        <w:rPr>
          <w:color w:val="1F2937"/>
          <w:lang w:eastAsia="zh-TW"/>
        </w:rPr>
        <w:t>因此，本文的三情境是分析工具，不是發</w:t>
      </w:r>
      <w:r>
        <w:rPr>
          <w:color w:val="1F2937"/>
          <w:spacing w:val="-2"/>
          <w:lang w:eastAsia="zh-TW"/>
        </w:rPr>
        <w:t>生機率或時間順序的估計。</w:t>
      </w:r>
    </w:p>
    <w:p w:rsidR="002C50A5" w:rsidRDefault="002C50A5">
      <w:pPr>
        <w:pStyle w:val="a3"/>
        <w:spacing w:line="338" w:lineRule="auto"/>
        <w:jc w:val="left"/>
        <w:rPr>
          <w:lang w:eastAsia="zh-TW"/>
        </w:rPr>
        <w:sectPr w:rsidR="002C50A5">
          <w:pgSz w:w="11906" w:h="16838"/>
          <w:pgMar w:top="1247" w:right="1417" w:bottom="1247" w:left="1417" w:header="0" w:footer="730" w:gutter="0"/>
          <w:cols w:space="720"/>
        </w:sectPr>
      </w:pPr>
    </w:p>
    <w:p w:rsidR="002C50A5" w:rsidRDefault="00A447DA">
      <w:pPr>
        <w:pStyle w:val="a3"/>
        <w:spacing w:before="9" w:line="338" w:lineRule="auto"/>
        <w:ind w:right="300"/>
        <w:jc w:val="left"/>
        <w:rPr>
          <w:rFonts w:ascii="Times New Roman" w:eastAsia="Times New Roman"/>
          <w:lang w:eastAsia="zh-TW"/>
        </w:rPr>
      </w:pPr>
      <w:r>
        <w:rPr>
          <w:color w:val="1F2937"/>
          <w:spacing w:val="-2"/>
          <w:lang w:eastAsia="zh-TW"/>
        </w:rPr>
        <w:lastRenderedPageBreak/>
        <w:t>未來研究另有兩套常用架構。</w:t>
      </w:r>
      <w:proofErr w:type="spellStart"/>
      <w:r>
        <w:rPr>
          <w:rFonts w:ascii="Times New Roman" w:eastAsia="Times New Roman"/>
          <w:color w:val="1F2937"/>
          <w:spacing w:val="-2"/>
          <w:lang w:eastAsia="zh-TW"/>
        </w:rPr>
        <w:t>Dator</w:t>
      </w:r>
      <w:proofErr w:type="spellEnd"/>
      <w:r>
        <w:rPr>
          <w:color w:val="1F2937"/>
          <w:spacing w:val="-2"/>
          <w:lang w:eastAsia="zh-TW"/>
        </w:rPr>
        <w:t>（</w:t>
      </w:r>
      <w:r>
        <w:rPr>
          <w:rFonts w:ascii="Times New Roman" w:eastAsia="Times New Roman"/>
          <w:color w:val="1F2937"/>
          <w:spacing w:val="-2"/>
          <w:lang w:eastAsia="zh-TW"/>
        </w:rPr>
        <w:t>2009</w:t>
      </w:r>
      <w:r>
        <w:rPr>
          <w:color w:val="1F2937"/>
          <w:spacing w:val="-2"/>
          <w:lang w:eastAsia="zh-TW"/>
        </w:rPr>
        <w:t>）以持續成長、崩潰、</w:t>
      </w:r>
      <w:proofErr w:type="gramStart"/>
      <w:r>
        <w:rPr>
          <w:color w:val="1F2937"/>
          <w:spacing w:val="-2"/>
          <w:lang w:eastAsia="zh-TW"/>
        </w:rPr>
        <w:t>規</w:t>
      </w:r>
      <w:proofErr w:type="gramEnd"/>
      <w:r>
        <w:rPr>
          <w:color w:val="1F2937"/>
          <w:spacing w:val="-2"/>
          <w:lang w:eastAsia="zh-TW"/>
        </w:rPr>
        <w:t>訓與轉型呈現</w:t>
      </w:r>
      <w:r>
        <w:rPr>
          <w:color w:val="1F2937"/>
          <w:lang w:eastAsia="zh-TW"/>
        </w:rPr>
        <w:t>四種並列的原型未來，目的在打破單一「官方未來」，並不按樂觀與悲觀排序。</w:t>
      </w:r>
      <w:proofErr w:type="spellStart"/>
      <w:r>
        <w:rPr>
          <w:rFonts w:ascii="Times New Roman" w:eastAsia="Times New Roman"/>
          <w:color w:val="1F2937"/>
          <w:spacing w:val="-2"/>
          <w:lang w:eastAsia="zh-TW"/>
        </w:rPr>
        <w:t>Voros</w:t>
      </w:r>
      <w:proofErr w:type="spellEnd"/>
    </w:p>
    <w:p w:rsidR="002C50A5" w:rsidRDefault="00A447DA">
      <w:pPr>
        <w:pStyle w:val="a3"/>
        <w:spacing w:before="1"/>
        <w:ind w:right="0" w:firstLine="0"/>
        <w:jc w:val="left"/>
        <w:rPr>
          <w:lang w:eastAsia="zh-TW"/>
        </w:rPr>
      </w:pPr>
      <w:r>
        <w:rPr>
          <w:color w:val="1F2937"/>
          <w:lang w:eastAsia="zh-TW"/>
        </w:rPr>
        <w:t>（</w:t>
      </w:r>
      <w:r>
        <w:rPr>
          <w:rFonts w:ascii="Times New Roman" w:eastAsia="Times New Roman"/>
          <w:color w:val="1F2937"/>
          <w:lang w:eastAsia="zh-TW"/>
        </w:rPr>
        <w:t>2003,</w:t>
      </w:r>
      <w:r>
        <w:rPr>
          <w:rFonts w:ascii="Times New Roman" w:eastAsia="Times New Roman"/>
          <w:color w:val="1F2937"/>
          <w:spacing w:val="26"/>
          <w:lang w:eastAsia="zh-TW"/>
        </w:rPr>
        <w:t xml:space="preserve"> </w:t>
      </w:r>
      <w:r>
        <w:rPr>
          <w:rFonts w:ascii="Times New Roman" w:eastAsia="Times New Roman"/>
          <w:color w:val="1F2937"/>
          <w:lang w:eastAsia="zh-TW"/>
        </w:rPr>
        <w:t>2017</w:t>
      </w:r>
      <w:r>
        <w:rPr>
          <w:color w:val="1F2937"/>
          <w:lang w:eastAsia="zh-TW"/>
        </w:rPr>
        <w:t>）</w:t>
      </w:r>
      <w:r>
        <w:rPr>
          <w:color w:val="1F2937"/>
          <w:spacing w:val="-1"/>
          <w:lang w:eastAsia="zh-TW"/>
        </w:rPr>
        <w:t>的擴充</w:t>
      </w:r>
      <w:proofErr w:type="gramStart"/>
      <w:r>
        <w:rPr>
          <w:color w:val="1F2937"/>
          <w:spacing w:val="-1"/>
          <w:lang w:eastAsia="zh-TW"/>
        </w:rPr>
        <w:t>未來錐則以</w:t>
      </w:r>
      <w:proofErr w:type="gramEnd"/>
      <w:r>
        <w:rPr>
          <w:color w:val="1F2937"/>
          <w:spacing w:val="-1"/>
          <w:lang w:eastAsia="zh-TW"/>
        </w:rPr>
        <w:t>可能性範圍區分推估、</w:t>
      </w:r>
      <w:proofErr w:type="gramStart"/>
      <w:r>
        <w:rPr>
          <w:color w:val="1F2937"/>
          <w:spacing w:val="-1"/>
          <w:lang w:eastAsia="zh-TW"/>
        </w:rPr>
        <w:t>概</w:t>
      </w:r>
      <w:proofErr w:type="gramEnd"/>
      <w:r>
        <w:rPr>
          <w:color w:val="1F2937"/>
          <w:spacing w:val="-1"/>
          <w:lang w:eastAsia="zh-TW"/>
        </w:rPr>
        <w:t>然、似真、可能與荒誕未來；</w:t>
      </w:r>
    </w:p>
    <w:p w:rsidR="002C50A5" w:rsidRDefault="00A447DA">
      <w:pPr>
        <w:pStyle w:val="a3"/>
        <w:spacing w:before="181" w:line="338" w:lineRule="auto"/>
        <w:ind w:right="297" w:firstLine="0"/>
        <w:rPr>
          <w:lang w:eastAsia="zh-TW"/>
        </w:rPr>
      </w:pPr>
      <w:r>
        <w:rPr>
          <w:color w:val="1F2937"/>
          <w:spacing w:val="-2"/>
          <w:lang w:eastAsia="zh-TW"/>
        </w:rPr>
        <w:t>「偏好未來」可位於不同範圍內。</w:t>
      </w:r>
      <w:proofErr w:type="gramStart"/>
      <w:r>
        <w:rPr>
          <w:color w:val="1F2937"/>
          <w:spacing w:val="-2"/>
          <w:lang w:eastAsia="zh-TW"/>
        </w:rPr>
        <w:t>未來錐隨時間</w:t>
      </w:r>
      <w:proofErr w:type="gramEnd"/>
      <w:r>
        <w:rPr>
          <w:color w:val="1F2937"/>
          <w:spacing w:val="-2"/>
          <w:lang w:eastAsia="zh-TW"/>
        </w:rPr>
        <w:t>向外展開，但其層次不是精確機率刻度。圖 1 比較三者後可見，本文的軸線是制度吸收能力與</w:t>
      </w:r>
      <w:proofErr w:type="gramStart"/>
      <w:r>
        <w:rPr>
          <w:color w:val="1F2937"/>
          <w:spacing w:val="-2"/>
          <w:lang w:eastAsia="zh-TW"/>
        </w:rPr>
        <w:t>結構結構</w:t>
      </w:r>
      <w:proofErr w:type="gramEnd"/>
      <w:r>
        <w:rPr>
          <w:color w:val="1F2937"/>
          <w:spacing w:val="-2"/>
          <w:lang w:eastAsia="zh-TW"/>
        </w:rPr>
        <w:t xml:space="preserve">效應強度，回答的問題與 </w:t>
      </w:r>
      <w:proofErr w:type="spellStart"/>
      <w:r>
        <w:rPr>
          <w:color w:val="1F2937"/>
          <w:spacing w:val="-2"/>
          <w:lang w:eastAsia="zh-TW"/>
        </w:rPr>
        <w:t>Dator</w:t>
      </w:r>
      <w:proofErr w:type="spellEnd"/>
      <w:r>
        <w:rPr>
          <w:color w:val="1F2937"/>
          <w:spacing w:val="-2"/>
          <w:lang w:eastAsia="zh-TW"/>
        </w:rPr>
        <w:t xml:space="preserve"> 及 </w:t>
      </w:r>
      <w:proofErr w:type="spellStart"/>
      <w:r>
        <w:rPr>
          <w:color w:val="1F2937"/>
          <w:spacing w:val="-2"/>
          <w:lang w:eastAsia="zh-TW"/>
        </w:rPr>
        <w:t>Voros</w:t>
      </w:r>
      <w:proofErr w:type="spellEnd"/>
      <w:r>
        <w:rPr>
          <w:color w:val="1F2937"/>
          <w:spacing w:val="-2"/>
          <w:lang w:eastAsia="zh-TW"/>
        </w:rPr>
        <w:t xml:space="preserve"> 不同。</w:t>
      </w:r>
    </w:p>
    <w:p w:rsidR="002C50A5" w:rsidRDefault="002C50A5">
      <w:pPr>
        <w:pStyle w:val="a3"/>
        <w:spacing w:before="5" w:after="1"/>
        <w:ind w:left="0" w:right="0" w:firstLine="0"/>
        <w:jc w:val="left"/>
        <w:rPr>
          <w:sz w:val="7"/>
          <w:lang w:eastAsia="zh-TW"/>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0"/>
      </w:tblGrid>
      <w:tr w:rsidR="002C50A5">
        <w:trPr>
          <w:trHeight w:val="2234"/>
        </w:trPr>
        <w:tc>
          <w:tcPr>
            <w:tcW w:w="8760" w:type="dxa"/>
            <w:shd w:val="clear" w:color="auto" w:fill="DDEBF7"/>
          </w:tcPr>
          <w:p w:rsidR="002C50A5" w:rsidRDefault="00A447DA">
            <w:pPr>
              <w:pStyle w:val="TableParagraph"/>
              <w:spacing w:before="79" w:line="249" w:lineRule="auto"/>
              <w:ind w:left="110" w:right="5287" w:firstLine="420"/>
              <w:rPr>
                <w:sz w:val="18"/>
                <w:lang w:eastAsia="zh-TW"/>
              </w:rPr>
            </w:pPr>
            <w:r>
              <w:rPr>
                <w:color w:val="1F2937"/>
                <w:spacing w:val="-2"/>
                <w:sz w:val="18"/>
                <w:lang w:eastAsia="zh-TW"/>
              </w:rPr>
              <w:t>區塊</w:t>
            </w:r>
            <w:proofErr w:type="gramStart"/>
            <w:r>
              <w:rPr>
                <w:color w:val="1F2937"/>
                <w:spacing w:val="-2"/>
                <w:sz w:val="18"/>
                <w:lang w:eastAsia="zh-TW"/>
              </w:rPr>
              <w:t>一</w:t>
            </w:r>
            <w:proofErr w:type="gramEnd"/>
            <w:r>
              <w:rPr>
                <w:color w:val="1F2937"/>
                <w:spacing w:val="-2"/>
                <w:sz w:val="18"/>
                <w:lang w:eastAsia="zh-TW"/>
              </w:rPr>
              <w:t>：</w:t>
            </w:r>
            <w:proofErr w:type="spellStart"/>
            <w:r>
              <w:rPr>
                <w:rFonts w:ascii="Times New Roman" w:eastAsia="Times New Roman"/>
                <w:color w:val="1F2937"/>
                <w:spacing w:val="-2"/>
                <w:sz w:val="18"/>
                <w:lang w:eastAsia="zh-TW"/>
              </w:rPr>
              <w:t>Dator</w:t>
            </w:r>
            <w:proofErr w:type="spellEnd"/>
            <w:r>
              <w:rPr>
                <w:color w:val="1F2937"/>
                <w:spacing w:val="-2"/>
                <w:sz w:val="18"/>
                <w:lang w:eastAsia="zh-TW"/>
              </w:rPr>
              <w:t>（</w:t>
            </w:r>
            <w:r>
              <w:rPr>
                <w:rFonts w:ascii="Times New Roman" w:eastAsia="Times New Roman"/>
                <w:color w:val="1F2937"/>
                <w:spacing w:val="-2"/>
                <w:sz w:val="18"/>
                <w:lang w:eastAsia="zh-TW"/>
              </w:rPr>
              <w:t>2009</w:t>
            </w:r>
            <w:r>
              <w:rPr>
                <w:color w:val="1F2937"/>
                <w:spacing w:val="-2"/>
                <w:sz w:val="18"/>
                <w:lang w:eastAsia="zh-TW"/>
              </w:rPr>
              <w:t>）四種原型未來分類對象：原型未來</w:t>
            </w:r>
          </w:p>
          <w:p w:rsidR="002C50A5" w:rsidRDefault="00A447DA">
            <w:pPr>
              <w:pStyle w:val="TableParagraph"/>
              <w:spacing w:line="247" w:lineRule="auto"/>
              <w:ind w:left="110" w:right="4317"/>
              <w:rPr>
                <w:sz w:val="18"/>
                <w:lang w:eastAsia="zh-TW"/>
              </w:rPr>
            </w:pPr>
            <w:r>
              <w:rPr>
                <w:color w:val="1F2937"/>
                <w:spacing w:val="-2"/>
                <w:sz w:val="18"/>
                <w:lang w:eastAsia="zh-TW"/>
              </w:rPr>
              <w:t>核心維度：價值取向（持續成長／崩潰／</w:t>
            </w:r>
            <w:proofErr w:type="gramStart"/>
            <w:r>
              <w:rPr>
                <w:color w:val="1F2937"/>
                <w:spacing w:val="-2"/>
                <w:sz w:val="18"/>
                <w:lang w:eastAsia="zh-TW"/>
              </w:rPr>
              <w:t>規</w:t>
            </w:r>
            <w:proofErr w:type="gramEnd"/>
            <w:r>
              <w:rPr>
                <w:color w:val="1F2937"/>
                <w:spacing w:val="-2"/>
                <w:sz w:val="18"/>
                <w:lang w:eastAsia="zh-TW"/>
              </w:rPr>
              <w:t>訓／轉型）類型或範圍：四種並列類型</w:t>
            </w:r>
          </w:p>
          <w:p w:rsidR="002C50A5" w:rsidRDefault="00A447DA">
            <w:pPr>
              <w:pStyle w:val="TableParagraph"/>
              <w:ind w:left="110"/>
              <w:rPr>
                <w:sz w:val="18"/>
                <w:lang w:eastAsia="zh-TW"/>
              </w:rPr>
            </w:pPr>
            <w:r>
              <w:rPr>
                <w:color w:val="1F2937"/>
                <w:spacing w:val="-1"/>
                <w:sz w:val="18"/>
                <w:lang w:eastAsia="zh-TW"/>
              </w:rPr>
              <w:t>是否具有排序：否；不按樂觀或悲觀排序</w:t>
            </w:r>
          </w:p>
          <w:p w:rsidR="002C50A5" w:rsidRDefault="00A447DA">
            <w:pPr>
              <w:pStyle w:val="TableParagraph"/>
              <w:spacing w:before="13"/>
              <w:ind w:left="110"/>
              <w:rPr>
                <w:sz w:val="18"/>
                <w:lang w:eastAsia="zh-TW"/>
              </w:rPr>
            </w:pPr>
            <w:r>
              <w:rPr>
                <w:color w:val="1F2937"/>
                <w:spacing w:val="-1"/>
                <w:sz w:val="18"/>
                <w:lang w:eastAsia="zh-TW"/>
              </w:rPr>
              <w:t>本文如何借用及如何不同：借用多元未來立場；不借用其類型，亦不與本文</w:t>
            </w:r>
            <w:proofErr w:type="gramStart"/>
            <w:r>
              <w:rPr>
                <w:color w:val="1F2937"/>
                <w:spacing w:val="-1"/>
                <w:sz w:val="18"/>
                <w:lang w:eastAsia="zh-TW"/>
              </w:rPr>
              <w:t>情境逐列對應</w:t>
            </w:r>
            <w:proofErr w:type="gramEnd"/>
          </w:p>
        </w:tc>
      </w:tr>
      <w:tr w:rsidR="002C50A5">
        <w:trPr>
          <w:trHeight w:val="2233"/>
        </w:trPr>
        <w:tc>
          <w:tcPr>
            <w:tcW w:w="8760" w:type="dxa"/>
            <w:shd w:val="clear" w:color="auto" w:fill="FFF1CC"/>
          </w:tcPr>
          <w:p w:rsidR="002C50A5" w:rsidRDefault="00A447DA">
            <w:pPr>
              <w:pStyle w:val="TableParagraph"/>
              <w:spacing w:before="79" w:line="249" w:lineRule="auto"/>
              <w:ind w:left="110" w:right="4987" w:firstLine="420"/>
              <w:rPr>
                <w:sz w:val="18"/>
                <w:lang w:eastAsia="zh-TW"/>
              </w:rPr>
            </w:pPr>
            <w:r>
              <w:rPr>
                <w:color w:val="1F2937"/>
                <w:sz w:val="18"/>
                <w:lang w:eastAsia="zh-TW"/>
              </w:rPr>
              <w:t>區塊二：</w:t>
            </w:r>
            <w:proofErr w:type="spellStart"/>
            <w:r>
              <w:rPr>
                <w:rFonts w:ascii="Times New Roman" w:eastAsia="Times New Roman"/>
                <w:color w:val="1F2937"/>
                <w:sz w:val="18"/>
                <w:lang w:eastAsia="zh-TW"/>
              </w:rPr>
              <w:t>Voros</w:t>
            </w:r>
            <w:proofErr w:type="spellEnd"/>
            <w:r>
              <w:rPr>
                <w:color w:val="1F2937"/>
                <w:sz w:val="18"/>
                <w:lang w:eastAsia="zh-TW"/>
              </w:rPr>
              <w:t>（</w:t>
            </w:r>
            <w:r>
              <w:rPr>
                <w:rFonts w:ascii="Times New Roman" w:eastAsia="Times New Roman"/>
                <w:color w:val="1F2937"/>
                <w:sz w:val="18"/>
                <w:lang w:eastAsia="zh-TW"/>
              </w:rPr>
              <w:t>2003</w:t>
            </w:r>
            <w:r>
              <w:rPr>
                <w:rFonts w:ascii="Times New Roman" w:eastAsia="Times New Roman"/>
                <w:color w:val="1F2937"/>
                <w:spacing w:val="-6"/>
                <w:sz w:val="18"/>
                <w:lang w:eastAsia="zh-TW"/>
              </w:rPr>
              <w:t xml:space="preserve">, </w:t>
            </w:r>
            <w:r>
              <w:rPr>
                <w:rFonts w:ascii="Times New Roman" w:eastAsia="Times New Roman"/>
                <w:color w:val="1F2937"/>
                <w:sz w:val="18"/>
                <w:lang w:eastAsia="zh-TW"/>
              </w:rPr>
              <w:t>2017</w:t>
            </w:r>
            <w:r>
              <w:rPr>
                <w:color w:val="1F2937"/>
                <w:sz w:val="18"/>
                <w:lang w:eastAsia="zh-TW"/>
              </w:rPr>
              <w:t>）擴充未來</w:t>
            </w:r>
            <w:proofErr w:type="gramStart"/>
            <w:r>
              <w:rPr>
                <w:color w:val="1F2937"/>
                <w:sz w:val="18"/>
                <w:lang w:eastAsia="zh-TW"/>
              </w:rPr>
              <w:t>錐</w:t>
            </w:r>
            <w:proofErr w:type="gramEnd"/>
            <w:r>
              <w:rPr>
                <w:color w:val="1F2937"/>
                <w:spacing w:val="-2"/>
                <w:sz w:val="18"/>
                <w:lang w:eastAsia="zh-TW"/>
              </w:rPr>
              <w:t>分類對象：未來的可能性範圍</w:t>
            </w:r>
          </w:p>
          <w:p w:rsidR="002C50A5" w:rsidRDefault="00A447DA">
            <w:pPr>
              <w:pStyle w:val="TableParagraph"/>
              <w:spacing w:line="249" w:lineRule="auto"/>
              <w:ind w:left="110" w:right="2517"/>
              <w:rPr>
                <w:sz w:val="18"/>
                <w:lang w:eastAsia="zh-TW"/>
              </w:rPr>
            </w:pPr>
            <w:r>
              <w:rPr>
                <w:color w:val="1F2937"/>
                <w:spacing w:val="-2"/>
                <w:sz w:val="18"/>
                <w:lang w:eastAsia="zh-TW"/>
              </w:rPr>
              <w:t>核心維度：向未來展開的時間軸，以及推估／</w:t>
            </w:r>
            <w:proofErr w:type="gramStart"/>
            <w:r>
              <w:rPr>
                <w:color w:val="1F2937"/>
                <w:spacing w:val="-2"/>
                <w:sz w:val="18"/>
                <w:lang w:eastAsia="zh-TW"/>
              </w:rPr>
              <w:t>概然</w:t>
            </w:r>
            <w:proofErr w:type="gramEnd"/>
            <w:r>
              <w:rPr>
                <w:color w:val="1F2937"/>
                <w:spacing w:val="-2"/>
                <w:sz w:val="18"/>
                <w:lang w:eastAsia="zh-TW"/>
              </w:rPr>
              <w:t>／似真／可能／荒誕等範圍類型或範圍：五層可能性範圍，另含可位於不同範圍的偏好未來</w:t>
            </w:r>
          </w:p>
          <w:p w:rsidR="002C50A5" w:rsidRDefault="00A447DA">
            <w:pPr>
              <w:pStyle w:val="TableParagraph"/>
              <w:spacing w:line="327" w:lineRule="exact"/>
              <w:ind w:left="110"/>
              <w:rPr>
                <w:sz w:val="18"/>
                <w:lang w:eastAsia="zh-TW"/>
              </w:rPr>
            </w:pPr>
            <w:r>
              <w:rPr>
                <w:color w:val="1F2937"/>
                <w:spacing w:val="-1"/>
                <w:sz w:val="18"/>
                <w:lang w:eastAsia="zh-TW"/>
              </w:rPr>
              <w:t>是否具有排序：依範圍由內向外展開，但不是精確機率刻度</w:t>
            </w:r>
          </w:p>
          <w:p w:rsidR="002C50A5" w:rsidRDefault="00A447DA">
            <w:pPr>
              <w:pStyle w:val="TableParagraph"/>
              <w:spacing w:before="10"/>
              <w:ind w:left="110"/>
              <w:rPr>
                <w:sz w:val="18"/>
                <w:lang w:eastAsia="zh-TW"/>
              </w:rPr>
            </w:pPr>
            <w:r>
              <w:rPr>
                <w:color w:val="1F2937"/>
                <w:spacing w:val="-1"/>
                <w:sz w:val="18"/>
                <w:lang w:eastAsia="zh-TW"/>
              </w:rPr>
              <w:t>本文如何借用及如何不同：借用多層可能性概念；不</w:t>
            </w:r>
            <w:proofErr w:type="gramStart"/>
            <w:r>
              <w:rPr>
                <w:color w:val="1F2937"/>
                <w:spacing w:val="-1"/>
                <w:sz w:val="18"/>
                <w:lang w:eastAsia="zh-TW"/>
              </w:rPr>
              <w:t>採</w:t>
            </w:r>
            <w:proofErr w:type="gramEnd"/>
            <w:r>
              <w:rPr>
                <w:color w:val="1F2937"/>
                <w:spacing w:val="-1"/>
                <w:sz w:val="18"/>
                <w:lang w:eastAsia="zh-TW"/>
              </w:rPr>
              <w:t>其時間軸，也不將各範圍對應本文三情境</w:t>
            </w:r>
          </w:p>
        </w:tc>
      </w:tr>
      <w:tr w:rsidR="002C50A5">
        <w:trPr>
          <w:trHeight w:val="2236"/>
        </w:trPr>
        <w:tc>
          <w:tcPr>
            <w:tcW w:w="8760" w:type="dxa"/>
            <w:shd w:val="clear" w:color="auto" w:fill="E1EFD9"/>
          </w:tcPr>
          <w:p w:rsidR="002C50A5" w:rsidRDefault="00A447DA">
            <w:pPr>
              <w:pStyle w:val="TableParagraph"/>
              <w:spacing w:before="82"/>
              <w:ind w:left="530"/>
              <w:rPr>
                <w:sz w:val="18"/>
                <w:lang w:eastAsia="zh-TW"/>
              </w:rPr>
            </w:pPr>
            <w:r>
              <w:rPr>
                <w:color w:val="1F2937"/>
                <w:spacing w:val="-1"/>
                <w:sz w:val="18"/>
                <w:lang w:eastAsia="zh-TW"/>
              </w:rPr>
              <w:t>區塊</w:t>
            </w:r>
            <w:proofErr w:type="gramStart"/>
            <w:r>
              <w:rPr>
                <w:color w:val="1F2937"/>
                <w:spacing w:val="-1"/>
                <w:sz w:val="18"/>
                <w:lang w:eastAsia="zh-TW"/>
              </w:rPr>
              <w:t>三</w:t>
            </w:r>
            <w:proofErr w:type="gramEnd"/>
            <w:r>
              <w:rPr>
                <w:color w:val="1F2937"/>
                <w:spacing w:val="-1"/>
                <w:sz w:val="18"/>
                <w:lang w:eastAsia="zh-TW"/>
              </w:rPr>
              <w:t>：本文</w:t>
            </w:r>
            <w:proofErr w:type="gramStart"/>
            <w:r>
              <w:rPr>
                <w:color w:val="1F2937"/>
                <w:spacing w:val="-1"/>
                <w:sz w:val="18"/>
                <w:lang w:eastAsia="zh-TW"/>
              </w:rPr>
              <w:t>三</w:t>
            </w:r>
            <w:proofErr w:type="gramEnd"/>
            <w:r>
              <w:rPr>
                <w:color w:val="1F2937"/>
                <w:spacing w:val="-1"/>
                <w:sz w:val="18"/>
                <w:lang w:eastAsia="zh-TW"/>
              </w:rPr>
              <w:t>情境光譜</w:t>
            </w:r>
          </w:p>
          <w:p w:rsidR="002C50A5" w:rsidRDefault="00A447DA">
            <w:pPr>
              <w:pStyle w:val="TableParagraph"/>
              <w:spacing w:before="10" w:line="249" w:lineRule="auto"/>
              <w:ind w:left="110" w:right="5352"/>
              <w:rPr>
                <w:sz w:val="18"/>
                <w:lang w:eastAsia="zh-TW"/>
              </w:rPr>
            </w:pPr>
            <w:r>
              <w:rPr>
                <w:color w:val="1F2937"/>
                <w:spacing w:val="-2"/>
                <w:sz w:val="18"/>
                <w:lang w:eastAsia="zh-TW"/>
              </w:rPr>
              <w:t>分類對象：AI 介入後的未來政府制度狀態核心維度：</w:t>
            </w:r>
            <w:proofErr w:type="gramStart"/>
            <w:r>
              <w:rPr>
                <w:color w:val="1F2937"/>
                <w:spacing w:val="-2"/>
                <w:sz w:val="18"/>
                <w:lang w:eastAsia="zh-TW"/>
              </w:rPr>
              <w:t>結構結構</w:t>
            </w:r>
            <w:proofErr w:type="gramEnd"/>
            <w:r>
              <w:rPr>
                <w:color w:val="1F2937"/>
                <w:spacing w:val="-2"/>
                <w:sz w:val="18"/>
                <w:lang w:eastAsia="zh-TW"/>
              </w:rPr>
              <w:t>效應強度與制度吸收能力</w:t>
            </w:r>
          </w:p>
          <w:p w:rsidR="002C50A5" w:rsidRDefault="00A447DA">
            <w:pPr>
              <w:pStyle w:val="TableParagraph"/>
              <w:spacing w:line="247" w:lineRule="auto"/>
              <w:ind w:left="110" w:right="2337"/>
              <w:rPr>
                <w:sz w:val="18"/>
                <w:lang w:eastAsia="zh-TW"/>
              </w:rPr>
            </w:pPr>
            <w:r>
              <w:rPr>
                <w:color w:val="1F2937"/>
                <w:spacing w:val="-2"/>
                <w:sz w:val="18"/>
                <w:lang w:eastAsia="zh-TW"/>
              </w:rPr>
              <w:t>類型或範圍：制度吸收型（樂觀）／調適混合型（務實）／權威位移型（悲觀）是否具有排序：僅呈現兩項判</w:t>
            </w:r>
            <w:proofErr w:type="gramStart"/>
            <w:r>
              <w:rPr>
                <w:color w:val="1F2937"/>
                <w:spacing w:val="-2"/>
                <w:sz w:val="18"/>
                <w:lang w:eastAsia="zh-TW"/>
              </w:rPr>
              <w:t>準</w:t>
            </w:r>
            <w:proofErr w:type="gramEnd"/>
            <w:r>
              <w:rPr>
                <w:color w:val="1F2937"/>
                <w:spacing w:val="-2"/>
                <w:sz w:val="18"/>
                <w:lang w:eastAsia="zh-TW"/>
              </w:rPr>
              <w:t>的</w:t>
            </w:r>
            <w:proofErr w:type="gramStart"/>
            <w:r>
              <w:rPr>
                <w:color w:val="1F2937"/>
                <w:spacing w:val="-2"/>
                <w:sz w:val="18"/>
                <w:lang w:eastAsia="zh-TW"/>
              </w:rPr>
              <w:t>理想型共變方</w:t>
            </w:r>
            <w:proofErr w:type="gramEnd"/>
            <w:r>
              <w:rPr>
                <w:color w:val="1F2937"/>
                <w:spacing w:val="-2"/>
                <w:sz w:val="18"/>
                <w:lang w:eastAsia="zh-TW"/>
              </w:rPr>
              <w:t>向</w:t>
            </w:r>
          </w:p>
          <w:p w:rsidR="002C50A5" w:rsidRDefault="00A447DA">
            <w:pPr>
              <w:pStyle w:val="TableParagraph"/>
              <w:ind w:left="110"/>
              <w:rPr>
                <w:sz w:val="18"/>
                <w:lang w:eastAsia="zh-TW"/>
              </w:rPr>
            </w:pPr>
            <w:r>
              <w:rPr>
                <w:color w:val="1F2937"/>
                <w:spacing w:val="-1"/>
                <w:sz w:val="18"/>
                <w:lang w:eastAsia="zh-TW"/>
              </w:rPr>
              <w:t>本文如何借用及如何不同：以制度判</w:t>
            </w:r>
            <w:proofErr w:type="gramStart"/>
            <w:r>
              <w:rPr>
                <w:color w:val="1F2937"/>
                <w:spacing w:val="-1"/>
                <w:sz w:val="18"/>
                <w:lang w:eastAsia="zh-TW"/>
              </w:rPr>
              <w:t>準</w:t>
            </w:r>
            <w:proofErr w:type="gramEnd"/>
            <w:r>
              <w:rPr>
                <w:color w:val="1F2937"/>
                <w:spacing w:val="-1"/>
                <w:sz w:val="18"/>
                <w:lang w:eastAsia="zh-TW"/>
              </w:rPr>
              <w:t xml:space="preserve">取代時間與可能性範圍；不由 </w:t>
            </w:r>
            <w:proofErr w:type="spellStart"/>
            <w:r>
              <w:rPr>
                <w:rFonts w:ascii="Times New Roman" w:eastAsia="Times New Roman"/>
                <w:color w:val="1F2937"/>
                <w:sz w:val="18"/>
                <w:lang w:eastAsia="zh-TW"/>
              </w:rPr>
              <w:t>Dator</w:t>
            </w:r>
            <w:proofErr w:type="spellEnd"/>
            <w:r>
              <w:rPr>
                <w:rFonts w:ascii="Times New Roman" w:eastAsia="Times New Roman"/>
                <w:color w:val="1F2937"/>
                <w:spacing w:val="-10"/>
                <w:sz w:val="18"/>
                <w:lang w:eastAsia="zh-TW"/>
              </w:rPr>
              <w:t xml:space="preserve"> </w:t>
            </w:r>
            <w:r>
              <w:rPr>
                <w:color w:val="1F2937"/>
                <w:spacing w:val="-1"/>
                <w:sz w:val="18"/>
                <w:lang w:eastAsia="zh-TW"/>
              </w:rPr>
              <w:t xml:space="preserve">或 </w:t>
            </w:r>
            <w:proofErr w:type="spellStart"/>
            <w:r>
              <w:rPr>
                <w:rFonts w:ascii="Times New Roman" w:eastAsia="Times New Roman"/>
                <w:color w:val="1F2937"/>
                <w:sz w:val="18"/>
                <w:lang w:eastAsia="zh-TW"/>
              </w:rPr>
              <w:t>Voros</w:t>
            </w:r>
            <w:proofErr w:type="spellEnd"/>
            <w:r>
              <w:rPr>
                <w:rFonts w:ascii="Times New Roman" w:eastAsia="Times New Roman"/>
                <w:color w:val="1F2937"/>
                <w:spacing w:val="-10"/>
                <w:sz w:val="18"/>
                <w:lang w:eastAsia="zh-TW"/>
              </w:rPr>
              <w:t xml:space="preserve"> </w:t>
            </w:r>
            <w:r>
              <w:rPr>
                <w:color w:val="1F2937"/>
                <w:spacing w:val="-5"/>
                <w:sz w:val="18"/>
                <w:lang w:eastAsia="zh-TW"/>
              </w:rPr>
              <w:t>推導</w:t>
            </w:r>
          </w:p>
        </w:tc>
      </w:tr>
    </w:tbl>
    <w:p w:rsidR="002C50A5" w:rsidRDefault="00A447DA">
      <w:pPr>
        <w:tabs>
          <w:tab w:val="left" w:pos="578"/>
        </w:tabs>
        <w:spacing w:before="91"/>
        <w:ind w:right="283"/>
        <w:jc w:val="center"/>
        <w:rPr>
          <w:b/>
          <w:sz w:val="21"/>
          <w:lang w:eastAsia="zh-TW"/>
        </w:rPr>
      </w:pPr>
      <w:r>
        <w:rPr>
          <w:b/>
          <w:color w:val="1F2937"/>
          <w:sz w:val="21"/>
          <w:lang w:eastAsia="zh-TW"/>
        </w:rPr>
        <w:t xml:space="preserve">圖 </w:t>
      </w:r>
      <w:r>
        <w:rPr>
          <w:rFonts w:ascii="Times New Roman" w:eastAsia="Times New Roman"/>
          <w:b/>
          <w:color w:val="1F2937"/>
          <w:spacing w:val="-10"/>
          <w:sz w:val="21"/>
          <w:lang w:eastAsia="zh-TW"/>
        </w:rPr>
        <w:t>1</w:t>
      </w:r>
      <w:r>
        <w:rPr>
          <w:rFonts w:ascii="Times New Roman" w:eastAsia="Times New Roman"/>
          <w:b/>
          <w:color w:val="1F2937"/>
          <w:sz w:val="21"/>
          <w:lang w:eastAsia="zh-TW"/>
        </w:rPr>
        <w:tab/>
      </w:r>
      <w:proofErr w:type="spellStart"/>
      <w:r>
        <w:rPr>
          <w:rFonts w:ascii="Times New Roman" w:eastAsia="Times New Roman"/>
          <w:b/>
          <w:color w:val="1F2937"/>
          <w:spacing w:val="-2"/>
          <w:sz w:val="21"/>
          <w:lang w:eastAsia="zh-TW"/>
        </w:rPr>
        <w:t>Dator</w:t>
      </w:r>
      <w:proofErr w:type="spellEnd"/>
      <w:r>
        <w:rPr>
          <w:b/>
          <w:color w:val="1F2937"/>
          <w:spacing w:val="-2"/>
          <w:sz w:val="21"/>
          <w:lang w:eastAsia="zh-TW"/>
        </w:rPr>
        <w:t>、</w:t>
      </w:r>
      <w:proofErr w:type="spellStart"/>
      <w:r>
        <w:rPr>
          <w:rFonts w:ascii="Times New Roman" w:eastAsia="Times New Roman"/>
          <w:b/>
          <w:color w:val="1F2937"/>
          <w:spacing w:val="-2"/>
          <w:sz w:val="21"/>
          <w:lang w:eastAsia="zh-TW"/>
        </w:rPr>
        <w:t>Voros</w:t>
      </w:r>
      <w:proofErr w:type="spellEnd"/>
      <w:r>
        <w:rPr>
          <w:rFonts w:ascii="Times New Roman" w:eastAsia="Times New Roman"/>
          <w:b/>
          <w:color w:val="1F2937"/>
          <w:spacing w:val="7"/>
          <w:sz w:val="21"/>
          <w:lang w:eastAsia="zh-TW"/>
        </w:rPr>
        <w:t xml:space="preserve"> </w:t>
      </w:r>
      <w:r>
        <w:rPr>
          <w:b/>
          <w:color w:val="1F2937"/>
          <w:spacing w:val="-2"/>
          <w:sz w:val="21"/>
          <w:lang w:eastAsia="zh-TW"/>
        </w:rPr>
        <w:t>與本文情境架構的獨立比較區</w:t>
      </w:r>
      <w:r>
        <w:rPr>
          <w:b/>
          <w:color w:val="1F2937"/>
          <w:spacing w:val="-10"/>
          <w:sz w:val="21"/>
          <w:lang w:eastAsia="zh-TW"/>
        </w:rPr>
        <w:t>塊</w:t>
      </w:r>
    </w:p>
    <w:p w:rsidR="002C50A5" w:rsidRDefault="00A447DA">
      <w:pPr>
        <w:spacing w:before="30" w:line="225" w:lineRule="auto"/>
        <w:ind w:left="83" w:right="364"/>
        <w:jc w:val="center"/>
        <w:rPr>
          <w:sz w:val="18"/>
          <w:lang w:eastAsia="zh-TW"/>
        </w:rPr>
      </w:pPr>
      <w:r>
        <w:rPr>
          <w:color w:val="585858"/>
          <w:spacing w:val="-2"/>
          <w:sz w:val="18"/>
          <w:lang w:eastAsia="zh-TW"/>
        </w:rPr>
        <w:t xml:space="preserve">資料來源：作者依 </w:t>
      </w:r>
      <w:proofErr w:type="spellStart"/>
      <w:r>
        <w:rPr>
          <w:rFonts w:ascii="Times New Roman" w:eastAsia="Times New Roman"/>
          <w:color w:val="585858"/>
          <w:sz w:val="18"/>
          <w:lang w:eastAsia="zh-TW"/>
        </w:rPr>
        <w:t>Dator</w:t>
      </w:r>
      <w:proofErr w:type="spellEnd"/>
      <w:r>
        <w:rPr>
          <w:color w:val="585858"/>
          <w:sz w:val="18"/>
          <w:lang w:eastAsia="zh-TW"/>
        </w:rPr>
        <w:t>（</w:t>
      </w:r>
      <w:r>
        <w:rPr>
          <w:rFonts w:ascii="Times New Roman" w:eastAsia="Times New Roman"/>
          <w:color w:val="585858"/>
          <w:sz w:val="18"/>
          <w:lang w:eastAsia="zh-TW"/>
        </w:rPr>
        <w:t>2009</w:t>
      </w:r>
      <w:r>
        <w:rPr>
          <w:color w:val="585858"/>
          <w:sz w:val="18"/>
          <w:lang w:eastAsia="zh-TW"/>
        </w:rPr>
        <w:t>）、</w:t>
      </w:r>
      <w:proofErr w:type="spellStart"/>
      <w:r>
        <w:rPr>
          <w:rFonts w:ascii="Times New Roman" w:eastAsia="Times New Roman"/>
          <w:color w:val="585858"/>
          <w:sz w:val="18"/>
          <w:lang w:eastAsia="zh-TW"/>
        </w:rPr>
        <w:t>Voros</w:t>
      </w:r>
      <w:proofErr w:type="spellEnd"/>
      <w:r>
        <w:rPr>
          <w:color w:val="585858"/>
          <w:sz w:val="18"/>
          <w:lang w:eastAsia="zh-TW"/>
        </w:rPr>
        <w:t>（</w:t>
      </w:r>
      <w:r>
        <w:rPr>
          <w:rFonts w:ascii="Times New Roman" w:eastAsia="Times New Roman"/>
          <w:color w:val="585858"/>
          <w:sz w:val="18"/>
          <w:lang w:eastAsia="zh-TW"/>
        </w:rPr>
        <w:t>2003</w:t>
      </w:r>
      <w:r>
        <w:rPr>
          <w:rFonts w:ascii="Times New Roman" w:eastAsia="Times New Roman"/>
          <w:color w:val="585858"/>
          <w:spacing w:val="-6"/>
          <w:sz w:val="18"/>
          <w:lang w:eastAsia="zh-TW"/>
        </w:rPr>
        <w:t xml:space="preserve">, </w:t>
      </w:r>
      <w:r>
        <w:rPr>
          <w:rFonts w:ascii="Times New Roman" w:eastAsia="Times New Roman"/>
          <w:color w:val="585858"/>
          <w:sz w:val="18"/>
          <w:lang w:eastAsia="zh-TW"/>
        </w:rPr>
        <w:t>2017</w:t>
      </w:r>
      <w:r>
        <w:rPr>
          <w:color w:val="585858"/>
          <w:sz w:val="18"/>
          <w:lang w:eastAsia="zh-TW"/>
        </w:rPr>
        <w:t>）及本文架構整理。三個區塊回答不同問題，不</w:t>
      </w:r>
      <w:proofErr w:type="gramStart"/>
      <w:r>
        <w:rPr>
          <w:color w:val="585858"/>
          <w:sz w:val="18"/>
          <w:lang w:eastAsia="zh-TW"/>
        </w:rPr>
        <w:t>構成逐列對</w:t>
      </w:r>
      <w:r>
        <w:rPr>
          <w:color w:val="585858"/>
          <w:spacing w:val="-6"/>
          <w:sz w:val="18"/>
          <w:lang w:eastAsia="zh-TW"/>
        </w:rPr>
        <w:t>應</w:t>
      </w:r>
      <w:proofErr w:type="gramEnd"/>
      <w:r>
        <w:rPr>
          <w:color w:val="585858"/>
          <w:spacing w:val="-6"/>
          <w:sz w:val="18"/>
          <w:lang w:eastAsia="zh-TW"/>
        </w:rPr>
        <w:t>。</w:t>
      </w:r>
    </w:p>
    <w:p w:rsidR="002C50A5" w:rsidRDefault="00A447DA">
      <w:pPr>
        <w:pStyle w:val="a3"/>
        <w:spacing w:before="143" w:line="338" w:lineRule="auto"/>
        <w:ind w:right="297"/>
        <w:rPr>
          <w:lang w:eastAsia="zh-TW"/>
        </w:rPr>
      </w:pPr>
      <w:r>
        <w:rPr>
          <w:color w:val="1F2937"/>
          <w:lang w:eastAsia="zh-TW"/>
        </w:rPr>
        <w:t>三套架構回答的問題不同：</w:t>
      </w:r>
      <w:proofErr w:type="spellStart"/>
      <w:r>
        <w:rPr>
          <w:color w:val="1F2937"/>
          <w:lang w:eastAsia="zh-TW"/>
        </w:rPr>
        <w:t>Dator</w:t>
      </w:r>
      <w:proofErr w:type="spellEnd"/>
      <w:r>
        <w:rPr>
          <w:color w:val="1F2937"/>
          <w:lang w:eastAsia="zh-TW"/>
        </w:rPr>
        <w:t xml:space="preserve"> 區分原型未來的類型，</w:t>
      </w:r>
      <w:proofErr w:type="spellStart"/>
      <w:r>
        <w:rPr>
          <w:color w:val="1F2937"/>
          <w:lang w:eastAsia="zh-TW"/>
        </w:rPr>
        <w:t>Voros</w:t>
      </w:r>
      <w:proofErr w:type="spellEnd"/>
      <w:r>
        <w:rPr>
          <w:color w:val="1F2937"/>
          <w:lang w:eastAsia="zh-TW"/>
        </w:rPr>
        <w:t xml:space="preserve"> 標示未來可能性的範圍，本文則以</w:t>
      </w:r>
      <w:proofErr w:type="gramStart"/>
      <w:r>
        <w:rPr>
          <w:color w:val="1F2937"/>
          <w:lang w:eastAsia="zh-TW"/>
        </w:rPr>
        <w:t>結構結構</w:t>
      </w:r>
      <w:proofErr w:type="gramEnd"/>
      <w:r>
        <w:rPr>
          <w:color w:val="1F2937"/>
          <w:lang w:eastAsia="zh-TW"/>
        </w:rPr>
        <w:t>效應強度與制度吸收能力判斷未來政府的制度狀態。</w:t>
      </w:r>
      <w:r>
        <w:rPr>
          <w:color w:val="1F2937"/>
          <w:lang w:eastAsia="zh-TW"/>
        </w:rPr>
        <w:lastRenderedPageBreak/>
        <w:t>三者之間不</w:t>
      </w:r>
      <w:proofErr w:type="gramStart"/>
      <w:r>
        <w:rPr>
          <w:color w:val="1F2937"/>
          <w:lang w:eastAsia="zh-TW"/>
        </w:rPr>
        <w:t>存在逐列對應</w:t>
      </w:r>
      <w:proofErr w:type="gramEnd"/>
      <w:r>
        <w:rPr>
          <w:color w:val="1F2937"/>
          <w:lang w:eastAsia="zh-TW"/>
        </w:rPr>
        <w:t xml:space="preserve">關係，不能將 </w:t>
      </w:r>
      <w:proofErr w:type="spellStart"/>
      <w:r>
        <w:rPr>
          <w:color w:val="1F2937"/>
          <w:lang w:eastAsia="zh-TW"/>
        </w:rPr>
        <w:t>Dator</w:t>
      </w:r>
      <w:proofErr w:type="spellEnd"/>
      <w:r>
        <w:rPr>
          <w:color w:val="1F2937"/>
          <w:lang w:eastAsia="zh-TW"/>
        </w:rPr>
        <w:t xml:space="preserve"> 的某一原型等同於 </w:t>
      </w:r>
      <w:proofErr w:type="spellStart"/>
      <w:r>
        <w:rPr>
          <w:color w:val="1F2937"/>
          <w:lang w:eastAsia="zh-TW"/>
        </w:rPr>
        <w:t>Voros</w:t>
      </w:r>
      <w:proofErr w:type="spellEnd"/>
      <w:r>
        <w:rPr>
          <w:color w:val="1F2937"/>
          <w:lang w:eastAsia="zh-TW"/>
        </w:rPr>
        <w:t xml:space="preserve"> 的某一範圍或本文的某一</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pStyle w:val="a3"/>
        <w:spacing w:before="9" w:line="338" w:lineRule="auto"/>
        <w:ind w:right="305" w:firstLine="0"/>
        <w:rPr>
          <w:lang w:eastAsia="zh-TW"/>
        </w:rPr>
      </w:pPr>
      <w:r>
        <w:rPr>
          <w:color w:val="1F2937"/>
          <w:spacing w:val="1"/>
          <w:lang w:eastAsia="zh-TW"/>
        </w:rPr>
        <w:lastRenderedPageBreak/>
        <w:t xml:space="preserve">情境。本文只借用多元未來與情境比較的基本立場，不從 </w:t>
      </w:r>
      <w:proofErr w:type="spellStart"/>
      <w:r>
        <w:rPr>
          <w:rFonts w:ascii="Times New Roman" w:eastAsia="Times New Roman"/>
          <w:color w:val="1F2937"/>
          <w:lang w:eastAsia="zh-TW"/>
        </w:rPr>
        <w:t>Dator</w:t>
      </w:r>
      <w:proofErr w:type="spellEnd"/>
      <w:r>
        <w:rPr>
          <w:rFonts w:ascii="Times New Roman" w:eastAsia="Times New Roman"/>
          <w:color w:val="1F2937"/>
          <w:lang w:eastAsia="zh-TW"/>
        </w:rPr>
        <w:t xml:space="preserve"> </w:t>
      </w:r>
      <w:r>
        <w:rPr>
          <w:color w:val="1F2937"/>
          <w:spacing w:val="20"/>
          <w:lang w:eastAsia="zh-TW"/>
        </w:rPr>
        <w:t xml:space="preserve">或 </w:t>
      </w:r>
      <w:proofErr w:type="spellStart"/>
      <w:r>
        <w:rPr>
          <w:rFonts w:ascii="Times New Roman" w:eastAsia="Times New Roman"/>
          <w:color w:val="1F2937"/>
          <w:lang w:eastAsia="zh-TW"/>
        </w:rPr>
        <w:t>Voros</w:t>
      </w:r>
      <w:proofErr w:type="spellEnd"/>
      <w:r>
        <w:rPr>
          <w:rFonts w:ascii="Times New Roman" w:eastAsia="Times New Roman"/>
          <w:color w:val="1F2937"/>
          <w:lang w:eastAsia="zh-TW"/>
        </w:rPr>
        <w:t xml:space="preserve"> </w:t>
      </w:r>
      <w:r>
        <w:rPr>
          <w:color w:val="1F2937"/>
          <w:lang w:eastAsia="zh-TW"/>
        </w:rPr>
        <w:t>推導三種情</w:t>
      </w:r>
      <w:r>
        <w:rPr>
          <w:color w:val="1F2937"/>
          <w:spacing w:val="-6"/>
          <w:lang w:eastAsia="zh-TW"/>
        </w:rPr>
        <w:t>境。</w:t>
      </w:r>
    </w:p>
    <w:p w:rsidR="002C50A5" w:rsidRDefault="00A447DA">
      <w:pPr>
        <w:pStyle w:val="a3"/>
        <w:spacing w:before="121" w:line="338" w:lineRule="auto"/>
        <w:ind w:right="297"/>
        <w:rPr>
          <w:lang w:eastAsia="zh-TW"/>
        </w:rPr>
      </w:pPr>
      <w:r>
        <w:rPr>
          <w:rFonts w:ascii="Times New Roman" w:eastAsia="Times New Roman"/>
          <w:color w:val="1F2937"/>
        </w:rPr>
        <w:t xml:space="preserve">Webb（2019）在《The Big </w:t>
      </w:r>
      <w:proofErr w:type="spellStart"/>
      <w:r>
        <w:rPr>
          <w:rFonts w:ascii="Times New Roman" w:eastAsia="Times New Roman"/>
          <w:color w:val="1F2937"/>
        </w:rPr>
        <w:t>Nine》中使用</w:t>
      </w:r>
      <w:proofErr w:type="spellEnd"/>
      <w:r>
        <w:rPr>
          <w:rFonts w:ascii="Times New Roman" w:eastAsia="Times New Roman"/>
          <w:color w:val="1F2937"/>
        </w:rPr>
        <w:t xml:space="preserve"> </w:t>
      </w:r>
      <w:proofErr w:type="spellStart"/>
      <w:r>
        <w:rPr>
          <w:rFonts w:ascii="Times New Roman" w:eastAsia="Times New Roman"/>
          <w:color w:val="1F2937"/>
        </w:rPr>
        <w:t>optimistic、pragmatic</w:t>
      </w:r>
      <w:proofErr w:type="spellEnd"/>
      <w:r>
        <w:rPr>
          <w:rFonts w:ascii="Times New Roman" w:eastAsia="Times New Roman"/>
          <w:color w:val="1F2937"/>
        </w:rPr>
        <w:t xml:space="preserve"> 與 catastrophic 三種結果情境。本文借用其三分形式，但不照搬價值判斷：依公共行政語境改稱樂觀、務實與悲觀，並以制度吸收能力及三項結構效應的強度建立明確判準。</w:t>
      </w:r>
      <w:r>
        <w:rPr>
          <w:rFonts w:ascii="Times New Roman" w:eastAsia="Times New Roman"/>
          <w:color w:val="1F2937"/>
          <w:lang w:eastAsia="zh-TW"/>
        </w:rPr>
        <w:t>Webb 提供命名靈感；本文的方法基礎仍來自情境規劃，分析內容則由二十五治理座標與三項結構效應構成。</w:t>
      </w:r>
    </w:p>
    <w:p w:rsidR="002C50A5" w:rsidRDefault="00A447DA">
      <w:pPr>
        <w:pStyle w:val="2"/>
        <w:numPr>
          <w:ilvl w:val="1"/>
          <w:numId w:val="9"/>
        </w:numPr>
        <w:tabs>
          <w:tab w:val="left" w:pos="522"/>
        </w:tabs>
        <w:ind w:left="522" w:hanging="499"/>
      </w:pPr>
      <w:bookmarkStart w:id="6" w:name="三、研究問題與定位"/>
      <w:bookmarkEnd w:id="6"/>
      <w:proofErr w:type="spellStart"/>
      <w:r>
        <w:rPr>
          <w:color w:val="1F2937"/>
          <w:spacing w:val="-5"/>
        </w:rPr>
        <w:t>研究問題與定位</w:t>
      </w:r>
      <w:proofErr w:type="spellEnd"/>
    </w:p>
    <w:p w:rsidR="002C50A5" w:rsidRDefault="00A447DA">
      <w:pPr>
        <w:pStyle w:val="a3"/>
        <w:spacing w:line="338" w:lineRule="auto"/>
        <w:ind w:right="62"/>
        <w:jc w:val="left"/>
        <w:rPr>
          <w:lang w:eastAsia="zh-TW"/>
        </w:rPr>
      </w:pPr>
      <w:r>
        <w:rPr>
          <w:color w:val="1F2937"/>
          <w:lang w:eastAsia="zh-TW"/>
        </w:rPr>
        <w:t xml:space="preserve">本文提出兩項研究問題：第一，AI 介入行政運作後，如何以治理座標定位結構現 </w:t>
      </w:r>
      <w:proofErr w:type="gramStart"/>
      <w:r>
        <w:rPr>
          <w:color w:val="1F2937"/>
          <w:lang w:eastAsia="zh-TW"/>
        </w:rPr>
        <w:t>象</w:t>
      </w:r>
      <w:proofErr w:type="gramEnd"/>
      <w:r>
        <w:rPr>
          <w:color w:val="1F2937"/>
          <w:lang w:eastAsia="zh-TW"/>
        </w:rPr>
        <w:t>的影響範圍，並辨識哪些位置可能面臨解釋壓力？第二，如何以可比較的概念判</w:t>
      </w:r>
      <w:proofErr w:type="gramStart"/>
      <w:r>
        <w:rPr>
          <w:color w:val="1F2937"/>
          <w:lang w:eastAsia="zh-TW"/>
        </w:rPr>
        <w:t>準</w:t>
      </w:r>
      <w:proofErr w:type="gramEnd"/>
      <w:r>
        <w:rPr>
          <w:color w:val="1F2937"/>
          <w:lang w:eastAsia="zh-TW"/>
        </w:rPr>
        <w:t>，區分制度吸收型（樂觀）、調適混合型（務實）與權威位移型（悲觀）三種未來政府  情境？本文提供定位工具與判</w:t>
      </w:r>
      <w:proofErr w:type="gramStart"/>
      <w:r>
        <w:rPr>
          <w:color w:val="1F2937"/>
          <w:lang w:eastAsia="zh-TW"/>
        </w:rPr>
        <w:t>準</w:t>
      </w:r>
      <w:proofErr w:type="gramEnd"/>
      <w:r>
        <w:rPr>
          <w:color w:val="1F2937"/>
          <w:lang w:eastAsia="zh-TW"/>
        </w:rPr>
        <w:t>，並透過臺灣政策文件進行示範性說明，但尚未完成  系統性的壓力位置辨識。</w:t>
      </w:r>
    </w:p>
    <w:p w:rsidR="002C50A5" w:rsidRDefault="00A447DA">
      <w:pPr>
        <w:pStyle w:val="a3"/>
        <w:spacing w:before="121" w:line="338" w:lineRule="auto"/>
        <w:ind w:left="22"/>
        <w:rPr>
          <w:lang w:eastAsia="zh-TW"/>
        </w:rPr>
      </w:pPr>
      <w:r>
        <w:rPr>
          <w:color w:val="1F2937"/>
          <w:spacing w:val="4"/>
          <w:lang w:eastAsia="zh-TW"/>
        </w:rPr>
        <w:t>本文</w:t>
      </w:r>
      <w:proofErr w:type="gramStart"/>
      <w:r>
        <w:rPr>
          <w:color w:val="1F2937"/>
          <w:spacing w:val="4"/>
          <w:lang w:eastAsia="zh-TW"/>
        </w:rPr>
        <w:t>採</w:t>
      </w:r>
      <w:proofErr w:type="gramEnd"/>
      <w:r>
        <w:rPr>
          <w:color w:val="1F2937"/>
          <w:spacing w:val="4"/>
          <w:lang w:eastAsia="zh-TW"/>
        </w:rPr>
        <w:t>概念</w:t>
      </w:r>
      <w:proofErr w:type="gramStart"/>
      <w:r>
        <w:rPr>
          <w:color w:val="1F2937"/>
          <w:spacing w:val="4"/>
          <w:lang w:eastAsia="zh-TW"/>
        </w:rPr>
        <w:t>建構取</w:t>
      </w:r>
      <w:proofErr w:type="gramEnd"/>
      <w:r>
        <w:rPr>
          <w:color w:val="1F2937"/>
          <w:spacing w:val="4"/>
          <w:lang w:eastAsia="zh-TW"/>
        </w:rPr>
        <w:t>徑，不進行機率預測、操作化測量或因果推論。分析依序包括</w:t>
      </w:r>
      <w:r>
        <w:rPr>
          <w:color w:val="1F2937"/>
          <w:spacing w:val="1"/>
          <w:lang w:eastAsia="zh-TW"/>
        </w:rPr>
        <w:t xml:space="preserve">三個步驟：先以二十五治理座標定位 </w:t>
      </w:r>
      <w:r>
        <w:rPr>
          <w:rFonts w:ascii="Times New Roman" w:eastAsia="Times New Roman"/>
          <w:color w:val="1F2937"/>
          <w:spacing w:val="1"/>
          <w:lang w:eastAsia="zh-TW"/>
        </w:rPr>
        <w:t>A</w:t>
      </w:r>
      <w:r>
        <w:rPr>
          <w:rFonts w:ascii="Times New Roman" w:eastAsia="Times New Roman"/>
          <w:color w:val="1F2937"/>
          <w:lang w:eastAsia="zh-TW"/>
        </w:rPr>
        <w:t>I</w:t>
      </w:r>
      <w:r>
        <w:rPr>
          <w:rFonts w:ascii="Times New Roman" w:eastAsia="Times New Roman"/>
          <w:color w:val="1F2937"/>
          <w:spacing w:val="-11"/>
          <w:lang w:eastAsia="zh-TW"/>
        </w:rPr>
        <w:t xml:space="preserve"> </w:t>
      </w:r>
      <w:r>
        <w:rPr>
          <w:color w:val="1F2937"/>
          <w:lang w:eastAsia="zh-TW"/>
        </w:rPr>
        <w:t>介入位置；再觀察跨座標移動、邊界消解與權威</w:t>
      </w:r>
      <w:r>
        <w:rPr>
          <w:color w:val="1F2937"/>
          <w:spacing w:val="2"/>
          <w:lang w:eastAsia="zh-TW"/>
        </w:rPr>
        <w:t>重構的影響範圍及耦合程度；最後評估制度是否仍能維持實質覆核、理由說明、責任</w:t>
      </w:r>
      <w:r>
        <w:rPr>
          <w:color w:val="1F2937"/>
          <w:lang w:eastAsia="zh-TW"/>
        </w:rPr>
        <w:t>歸屬與合法授權。分析座標</w:t>
      </w:r>
      <w:proofErr w:type="gramStart"/>
      <w:r>
        <w:rPr>
          <w:color w:val="1F2937"/>
          <w:lang w:eastAsia="zh-TW"/>
        </w:rPr>
        <w:t>不</w:t>
      </w:r>
      <w:proofErr w:type="gramEnd"/>
      <w:r>
        <w:rPr>
          <w:color w:val="1F2937"/>
          <w:lang w:eastAsia="zh-TW"/>
        </w:rPr>
        <w:t>假定現實邊界固定，而是用來追蹤邊界如何改變。</w:t>
      </w:r>
    </w:p>
    <w:p w:rsidR="002C50A5" w:rsidRDefault="00A447DA">
      <w:pPr>
        <w:pStyle w:val="2"/>
        <w:numPr>
          <w:ilvl w:val="1"/>
          <w:numId w:val="9"/>
        </w:numPr>
        <w:tabs>
          <w:tab w:val="left" w:pos="522"/>
        </w:tabs>
        <w:spacing w:before="181"/>
        <w:ind w:left="522" w:hanging="499"/>
      </w:pPr>
      <w:bookmarkStart w:id="7" w:name="四、概念建構方法"/>
      <w:bookmarkEnd w:id="7"/>
      <w:proofErr w:type="spellStart"/>
      <w:r>
        <w:rPr>
          <w:color w:val="1F2937"/>
          <w:spacing w:val="-5"/>
        </w:rPr>
        <w:t>概念建構方法</w:t>
      </w:r>
      <w:proofErr w:type="spellEnd"/>
    </w:p>
    <w:p w:rsidR="002C50A5" w:rsidRDefault="00A447DA">
      <w:pPr>
        <w:pStyle w:val="3"/>
        <w:numPr>
          <w:ilvl w:val="0"/>
          <w:numId w:val="8"/>
        </w:numPr>
        <w:tabs>
          <w:tab w:val="left" w:pos="743"/>
        </w:tabs>
        <w:spacing w:before="329"/>
        <w:ind w:left="743" w:hanging="720"/>
      </w:pPr>
      <w:proofErr w:type="spellStart"/>
      <w:r>
        <w:rPr>
          <w:color w:val="1F2937"/>
          <w:spacing w:val="-2"/>
        </w:rPr>
        <w:t>文獻選擇範圍</w:t>
      </w:r>
      <w:proofErr w:type="spellEnd"/>
    </w:p>
    <w:p w:rsidR="002C50A5" w:rsidRDefault="00A447DA">
      <w:pPr>
        <w:pStyle w:val="a3"/>
        <w:spacing w:before="96" w:line="338" w:lineRule="auto"/>
        <w:ind w:left="22" w:right="297"/>
        <w:jc w:val="left"/>
        <w:rPr>
          <w:lang w:eastAsia="zh-TW"/>
        </w:rPr>
      </w:pPr>
      <w:r>
        <w:rPr>
          <w:color w:val="1F2937"/>
          <w:spacing w:val="1"/>
          <w:lang w:eastAsia="zh-TW"/>
        </w:rPr>
        <w:t>本文</w:t>
      </w:r>
      <w:proofErr w:type="gramStart"/>
      <w:r>
        <w:rPr>
          <w:color w:val="1F2937"/>
          <w:spacing w:val="1"/>
          <w:lang w:eastAsia="zh-TW"/>
        </w:rPr>
        <w:t>採</w:t>
      </w:r>
      <w:proofErr w:type="gramEnd"/>
      <w:r>
        <w:rPr>
          <w:color w:val="1F2937"/>
          <w:spacing w:val="1"/>
          <w:lang w:eastAsia="zh-TW"/>
        </w:rPr>
        <w:t xml:space="preserve">目的性概念文獻回顧，而非系統性文獻回顧。文獻選擇集中於 </w:t>
      </w:r>
      <w:r>
        <w:rPr>
          <w:rFonts w:ascii="Times New Roman" w:eastAsia="Times New Roman"/>
          <w:color w:val="1F2937"/>
          <w:lang w:eastAsia="zh-TW"/>
        </w:rPr>
        <w:t xml:space="preserve">AI </w:t>
      </w:r>
      <w:r>
        <w:rPr>
          <w:color w:val="1F2937"/>
          <w:lang w:eastAsia="zh-TW"/>
        </w:rPr>
        <w:t>與公共行</w:t>
      </w:r>
      <w:r>
        <w:rPr>
          <w:color w:val="1F2937"/>
          <w:spacing w:val="-1"/>
          <w:lang w:eastAsia="zh-TW"/>
        </w:rPr>
        <w:t>政、</w:t>
      </w:r>
      <w:proofErr w:type="gramStart"/>
      <w:r>
        <w:rPr>
          <w:color w:val="1F2937"/>
          <w:spacing w:val="-1"/>
          <w:lang w:eastAsia="zh-TW"/>
        </w:rPr>
        <w:t>演算法問責與</w:t>
      </w:r>
      <w:proofErr w:type="gramEnd"/>
      <w:r>
        <w:rPr>
          <w:color w:val="1F2937"/>
          <w:spacing w:val="-1"/>
          <w:lang w:eastAsia="zh-TW"/>
        </w:rPr>
        <w:t>供應鏈治理，以及情境規劃與未來研究三個領域；選取標準是直接</w:t>
      </w:r>
    </w:p>
    <w:p w:rsidR="002C50A5" w:rsidRDefault="002C50A5">
      <w:pPr>
        <w:pStyle w:val="a3"/>
        <w:spacing w:line="338" w:lineRule="auto"/>
        <w:jc w:val="left"/>
        <w:rPr>
          <w:lang w:eastAsia="zh-TW"/>
        </w:rPr>
        <w:sectPr w:rsidR="002C50A5">
          <w:pgSz w:w="11906" w:h="16838"/>
          <w:pgMar w:top="1247" w:right="1417" w:bottom="1247" w:left="1417" w:header="0" w:footer="730" w:gutter="0"/>
          <w:cols w:space="720"/>
        </w:sectPr>
      </w:pPr>
    </w:p>
    <w:p w:rsidR="002C50A5" w:rsidRDefault="00A447DA">
      <w:pPr>
        <w:pStyle w:val="a3"/>
        <w:spacing w:before="9" w:line="338" w:lineRule="auto"/>
        <w:ind w:right="62" w:firstLine="0"/>
        <w:jc w:val="left"/>
        <w:rPr>
          <w:lang w:eastAsia="zh-TW"/>
        </w:rPr>
      </w:pPr>
      <w:r>
        <w:rPr>
          <w:color w:val="1F2937"/>
          <w:lang w:eastAsia="zh-TW"/>
        </w:rPr>
        <w:lastRenderedPageBreak/>
        <w:t xml:space="preserve">討論 </w:t>
      </w:r>
      <w:r>
        <w:rPr>
          <w:rFonts w:ascii="Times New Roman" w:eastAsia="Times New Roman"/>
          <w:color w:val="1F2937"/>
          <w:lang w:eastAsia="zh-TW"/>
        </w:rPr>
        <w:t xml:space="preserve">AI </w:t>
      </w:r>
      <w:r>
        <w:rPr>
          <w:color w:val="1F2937"/>
          <w:lang w:eastAsia="zh-TW"/>
        </w:rPr>
        <w:t>在公共部門的行政、政策或治理效應，且具有理論或概念貢獻。純技術性工程</w:t>
      </w:r>
      <w:r>
        <w:rPr>
          <w:color w:val="1F2937"/>
          <w:spacing w:val="40"/>
          <w:lang w:eastAsia="zh-TW"/>
        </w:rPr>
        <w:t xml:space="preserve"> </w:t>
      </w:r>
      <w:r>
        <w:rPr>
          <w:color w:val="1F2937"/>
          <w:spacing w:val="-2"/>
          <w:lang w:eastAsia="zh-TW"/>
        </w:rPr>
        <w:t>文獻與未涉及公共行政規範問題的應用報告不在主要範圍。本文不主張文獻涵蓋全面，而是以建構分析概念所需的理論來源為選擇依據。</w:t>
      </w:r>
    </w:p>
    <w:p w:rsidR="002C50A5" w:rsidRDefault="00A447DA">
      <w:pPr>
        <w:pStyle w:val="3"/>
        <w:numPr>
          <w:ilvl w:val="0"/>
          <w:numId w:val="8"/>
        </w:numPr>
        <w:tabs>
          <w:tab w:val="left" w:pos="743"/>
        </w:tabs>
        <w:ind w:left="743" w:hanging="720"/>
        <w:rPr>
          <w:lang w:eastAsia="zh-TW"/>
        </w:rPr>
      </w:pPr>
      <w:r>
        <w:rPr>
          <w:color w:val="1F2937"/>
          <w:spacing w:val="-1"/>
          <w:lang w:eastAsia="zh-TW"/>
        </w:rPr>
        <w:t>三項結構效應的形成依據</w:t>
      </w:r>
    </w:p>
    <w:p w:rsidR="002C50A5" w:rsidRDefault="00A447DA">
      <w:pPr>
        <w:pStyle w:val="a3"/>
        <w:spacing w:before="96" w:line="338" w:lineRule="auto"/>
        <w:ind w:left="22" w:right="297"/>
        <w:rPr>
          <w:lang w:eastAsia="zh-TW"/>
        </w:rPr>
      </w:pPr>
      <w:r>
        <w:rPr>
          <w:color w:val="1F2937"/>
          <w:lang w:eastAsia="zh-TW"/>
        </w:rPr>
        <w:t>三項結構效應來自對上述文獻的比較與歸納。跨座標移動回應多層次 AI 治理研究對跨層次效應的觀察</w:t>
      </w:r>
      <w:proofErr w:type="gramStart"/>
      <w:r>
        <w:rPr>
          <w:color w:val="1F2937"/>
          <w:lang w:eastAsia="zh-TW"/>
        </w:rPr>
        <w:t>（</w:t>
      </w:r>
      <w:proofErr w:type="spellStart"/>
      <w:proofErr w:type="gramEnd"/>
      <w:r>
        <w:rPr>
          <w:color w:val="1F2937"/>
          <w:lang w:eastAsia="zh-TW"/>
        </w:rPr>
        <w:t>Criado</w:t>
      </w:r>
      <w:proofErr w:type="spellEnd"/>
      <w:r>
        <w:rPr>
          <w:color w:val="1F2937"/>
          <w:lang w:eastAsia="zh-TW"/>
        </w:rPr>
        <w:t xml:space="preserve"> et al., 2025；</w:t>
      </w:r>
      <w:proofErr w:type="spellStart"/>
      <w:r>
        <w:rPr>
          <w:color w:val="1F2937"/>
          <w:lang w:eastAsia="zh-TW"/>
        </w:rPr>
        <w:t>Mökander</w:t>
      </w:r>
      <w:proofErr w:type="spellEnd"/>
      <w:r>
        <w:rPr>
          <w:color w:val="1F2937"/>
          <w:lang w:eastAsia="zh-TW"/>
        </w:rPr>
        <w:t xml:space="preserve"> et al., 2024），並將靜態層次分類轉化為動態路徑追蹤；邊界消解對應演算法供應鏈研究所揭示的公私界線與責任配置模糊化（Cobbe et al., 2021, 2023）；權威重構則回應演算法問責研究中形式決定者與實質影響者分離的問題（</w:t>
      </w:r>
      <w:proofErr w:type="spellStart"/>
      <w:r>
        <w:rPr>
          <w:color w:val="1F2937"/>
          <w:lang w:eastAsia="zh-TW"/>
        </w:rPr>
        <w:t>Busuioc</w:t>
      </w:r>
      <w:proofErr w:type="spellEnd"/>
      <w:r>
        <w:rPr>
          <w:color w:val="1F2937"/>
          <w:lang w:eastAsia="zh-TW"/>
        </w:rPr>
        <w:t>, 2021；</w:t>
      </w:r>
      <w:proofErr w:type="spellStart"/>
      <w:r>
        <w:rPr>
          <w:color w:val="1F2937"/>
          <w:lang w:eastAsia="zh-TW"/>
        </w:rPr>
        <w:t>Grimmelikhuijsen</w:t>
      </w:r>
      <w:proofErr w:type="spellEnd"/>
      <w:r>
        <w:rPr>
          <w:color w:val="1F2937"/>
          <w:lang w:eastAsia="zh-TW"/>
        </w:rPr>
        <w:t xml:space="preserve"> &amp; Meijer, 2022）。三者分別指向定位、分工與正當性的制度壓力，概念上可區辨，經驗上可能耦合。</w:t>
      </w:r>
    </w:p>
    <w:p w:rsidR="002C50A5" w:rsidRDefault="00A447DA">
      <w:pPr>
        <w:pStyle w:val="3"/>
        <w:numPr>
          <w:ilvl w:val="0"/>
          <w:numId w:val="8"/>
        </w:numPr>
        <w:tabs>
          <w:tab w:val="left" w:pos="742"/>
        </w:tabs>
        <w:spacing w:before="142"/>
        <w:ind w:left="742" w:hanging="720"/>
        <w:rPr>
          <w:lang w:eastAsia="zh-TW"/>
        </w:rPr>
      </w:pPr>
      <w:r>
        <w:rPr>
          <w:color w:val="1F2937"/>
          <w:spacing w:val="-1"/>
          <w:lang w:eastAsia="zh-TW"/>
        </w:rPr>
        <w:t>制度吸收能力四面向的推導</w:t>
      </w:r>
    </w:p>
    <w:p w:rsidR="002C50A5" w:rsidRDefault="00A447DA">
      <w:pPr>
        <w:pStyle w:val="a3"/>
        <w:spacing w:before="97" w:line="338" w:lineRule="auto"/>
        <w:ind w:left="22" w:right="293"/>
        <w:rPr>
          <w:lang w:eastAsia="zh-TW"/>
        </w:rPr>
      </w:pPr>
      <w:r>
        <w:rPr>
          <w:color w:val="1F2937"/>
          <w:spacing w:val="4"/>
          <w:lang w:eastAsia="zh-TW"/>
        </w:rPr>
        <w:t>制度吸收能力的四個面向分別對應理由鏈、責任鏈、權威鏈及實質覆核程序。選</w:t>
      </w:r>
      <w:r>
        <w:rPr>
          <w:color w:val="1F2937"/>
          <w:spacing w:val="2"/>
          <w:lang w:eastAsia="zh-TW"/>
        </w:rPr>
        <w:t>取標準在於：每一面向均具有獨立的規範功能，並能在行政法或公共行政文獻中找到</w:t>
      </w:r>
      <w:r>
        <w:rPr>
          <w:color w:val="1F2937"/>
          <w:spacing w:val="1"/>
          <w:lang w:eastAsia="zh-TW"/>
        </w:rPr>
        <w:t xml:space="preserve">相應要求；四者共同用來判斷 </w:t>
      </w:r>
      <w:r>
        <w:rPr>
          <w:rFonts w:ascii="Times New Roman" w:eastAsia="Times New Roman"/>
          <w:color w:val="1F2937"/>
          <w:spacing w:val="1"/>
          <w:lang w:eastAsia="zh-TW"/>
        </w:rPr>
        <w:t>A</w:t>
      </w:r>
      <w:r>
        <w:rPr>
          <w:rFonts w:ascii="Times New Roman" w:eastAsia="Times New Roman"/>
          <w:color w:val="1F2937"/>
          <w:lang w:eastAsia="zh-TW"/>
        </w:rPr>
        <w:t>I</w:t>
      </w:r>
      <w:r>
        <w:rPr>
          <w:rFonts w:ascii="Times New Roman" w:eastAsia="Times New Roman"/>
          <w:color w:val="1F2937"/>
          <w:spacing w:val="-11"/>
          <w:lang w:eastAsia="zh-TW"/>
        </w:rPr>
        <w:t xml:space="preserve"> </w:t>
      </w:r>
      <w:r>
        <w:rPr>
          <w:color w:val="1F2937"/>
          <w:lang w:eastAsia="zh-TW"/>
        </w:rPr>
        <w:t>介入後，既有制度是否仍能提出理由、追溯責任、維持合法授權並實質修正結果。</w:t>
      </w:r>
    </w:p>
    <w:p w:rsidR="002C50A5" w:rsidRDefault="00A447DA">
      <w:pPr>
        <w:pStyle w:val="3"/>
        <w:numPr>
          <w:ilvl w:val="0"/>
          <w:numId w:val="8"/>
        </w:numPr>
        <w:tabs>
          <w:tab w:val="left" w:pos="742"/>
        </w:tabs>
        <w:spacing w:before="141"/>
        <w:ind w:left="742" w:hanging="720"/>
      </w:pPr>
      <w:proofErr w:type="spellStart"/>
      <w:r>
        <w:rPr>
          <w:color w:val="1F2937"/>
          <w:spacing w:val="-2"/>
        </w:rPr>
        <w:t>情境分類的判斷規則</w:t>
      </w:r>
      <w:proofErr w:type="spellEnd"/>
    </w:p>
    <w:p w:rsidR="002C50A5" w:rsidRDefault="00A447DA">
      <w:pPr>
        <w:pStyle w:val="a3"/>
        <w:spacing w:before="96" w:line="338" w:lineRule="auto"/>
        <w:ind w:left="22"/>
        <w:rPr>
          <w:lang w:eastAsia="zh-TW"/>
        </w:rPr>
      </w:pPr>
      <w:r>
        <w:rPr>
          <w:color w:val="1F2937"/>
          <w:spacing w:val="4"/>
          <w:lang w:eastAsia="zh-TW"/>
        </w:rPr>
        <w:t>情境分類分為兩步：先評估三項結構效應的影響範圍及耦合程度，形成低、中、高三種方向性判斷；再評估制度能否維持四條治理鏈及實質覆核。低強度且吸收能力高、中強度且部分吸收、高強度耦合且吸收失靈，分別形成三種理想型情境。這些判</w:t>
      </w:r>
      <w:proofErr w:type="gramStart"/>
      <w:r>
        <w:rPr>
          <w:color w:val="1F2937"/>
          <w:spacing w:val="4"/>
          <w:lang w:eastAsia="zh-TW"/>
        </w:rPr>
        <w:t>準保持質性</w:t>
      </w:r>
      <w:proofErr w:type="gramEnd"/>
      <w:r>
        <w:rPr>
          <w:color w:val="1F2937"/>
          <w:spacing w:val="4"/>
          <w:lang w:eastAsia="zh-TW"/>
        </w:rPr>
        <w:t>與方向性，不設定量化門檻，也不排除偏離理想型軸線的組合。</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pStyle w:val="3"/>
        <w:numPr>
          <w:ilvl w:val="0"/>
          <w:numId w:val="8"/>
        </w:numPr>
        <w:tabs>
          <w:tab w:val="left" w:pos="743"/>
        </w:tabs>
        <w:spacing w:before="9"/>
        <w:ind w:left="743" w:hanging="720"/>
      </w:pPr>
      <w:proofErr w:type="spellStart"/>
      <w:r>
        <w:rPr>
          <w:color w:val="1F2937"/>
          <w:spacing w:val="-2"/>
        </w:rPr>
        <w:lastRenderedPageBreak/>
        <w:t>命題的可反駁條件</w:t>
      </w:r>
      <w:proofErr w:type="spellEnd"/>
    </w:p>
    <w:p w:rsidR="002C50A5" w:rsidRDefault="00A447DA">
      <w:pPr>
        <w:pStyle w:val="a3"/>
        <w:spacing w:before="97" w:line="338" w:lineRule="auto"/>
        <w:rPr>
          <w:lang w:eastAsia="zh-TW"/>
        </w:rPr>
      </w:pPr>
      <w:r>
        <w:rPr>
          <w:color w:val="1F2937"/>
          <w:spacing w:val="4"/>
          <w:lang w:eastAsia="zh-TW"/>
        </w:rPr>
        <w:t>本文命題可能在三種情況下受到反駁或需要修正：</w:t>
      </w:r>
      <w:proofErr w:type="gramStart"/>
      <w:r>
        <w:rPr>
          <w:color w:val="1F2937"/>
          <w:spacing w:val="4"/>
          <w:lang w:eastAsia="zh-TW"/>
        </w:rPr>
        <w:t>其一，</w:t>
      </w:r>
      <w:proofErr w:type="gramEnd"/>
      <w:r>
        <w:rPr>
          <w:color w:val="1F2937"/>
          <w:spacing w:val="4"/>
          <w:lang w:eastAsia="zh-TW"/>
        </w:rPr>
        <w:t>多個政策領域出現三項結構效應高強度耦合，但既有公共行政理論仍能有效定位權威、理由與責任；</w:t>
      </w:r>
      <w:proofErr w:type="gramStart"/>
      <w:r>
        <w:rPr>
          <w:color w:val="1F2937"/>
          <w:spacing w:val="4"/>
          <w:lang w:eastAsia="zh-TW"/>
        </w:rPr>
        <w:t>其二，</w:t>
      </w:r>
      <w:proofErr w:type="gramEnd"/>
      <w:r>
        <w:rPr>
          <w:color w:val="1F2937"/>
          <w:spacing w:val="4"/>
          <w:lang w:eastAsia="zh-TW"/>
        </w:rPr>
        <w:t>三項結構效應從未在同一案例中形成高強度耦合，使所謂解釋力臨界缺乏經驗意涵；其</w:t>
      </w:r>
      <w:proofErr w:type="gramStart"/>
      <w:r>
        <w:rPr>
          <w:color w:val="1F2937"/>
          <w:spacing w:val="4"/>
          <w:lang w:eastAsia="zh-TW"/>
        </w:rPr>
        <w:t>三</w:t>
      </w:r>
      <w:proofErr w:type="gramEnd"/>
      <w:r>
        <w:rPr>
          <w:color w:val="1F2937"/>
          <w:spacing w:val="4"/>
          <w:lang w:eastAsia="zh-TW"/>
        </w:rPr>
        <w:t>，制度吸收能力在低結構強度下已失靈，或在高結構強度下仍穩定運作，顯示兩組判準並不依典型</w:t>
      </w:r>
      <w:proofErr w:type="gramStart"/>
      <w:r>
        <w:rPr>
          <w:color w:val="1F2937"/>
          <w:spacing w:val="4"/>
          <w:lang w:eastAsia="zh-TW"/>
        </w:rPr>
        <w:t>方向共</w:t>
      </w:r>
      <w:proofErr w:type="gramEnd"/>
      <w:r>
        <w:rPr>
          <w:color w:val="1F2937"/>
          <w:spacing w:val="4"/>
          <w:lang w:eastAsia="zh-TW"/>
        </w:rPr>
        <w:t>變。</w:t>
      </w:r>
    </w:p>
    <w:p w:rsidR="002C50A5" w:rsidRDefault="00A447DA">
      <w:pPr>
        <w:pStyle w:val="2"/>
        <w:numPr>
          <w:ilvl w:val="1"/>
          <w:numId w:val="9"/>
        </w:numPr>
        <w:tabs>
          <w:tab w:val="left" w:pos="522"/>
        </w:tabs>
        <w:ind w:left="522" w:hanging="499"/>
      </w:pPr>
      <w:bookmarkStart w:id="8" w:name="五、本文的理論貢獻"/>
      <w:bookmarkEnd w:id="8"/>
      <w:proofErr w:type="spellStart"/>
      <w:r>
        <w:rPr>
          <w:color w:val="1F2937"/>
          <w:spacing w:val="-5"/>
        </w:rPr>
        <w:t>本文的理論貢獻</w:t>
      </w:r>
      <w:proofErr w:type="spellEnd"/>
    </w:p>
    <w:p w:rsidR="002C50A5" w:rsidRDefault="00A447DA">
      <w:pPr>
        <w:pStyle w:val="a3"/>
        <w:spacing w:before="309" w:line="338" w:lineRule="auto"/>
        <w:rPr>
          <w:lang w:eastAsia="zh-TW"/>
        </w:rPr>
      </w:pPr>
      <w:r>
        <w:rPr>
          <w:color w:val="1F2937"/>
          <w:spacing w:val="4"/>
          <w:lang w:eastAsia="zh-TW"/>
        </w:rPr>
        <w:t>本文的原創性質是整合性概念貢獻，而非宣稱建立全新理論。二十五治理座標源自既有分析架構；本文的增量在於將座標定位、三項結構效應與制度吸收能力連結成一套可操作的情境比較程序，使「AI  介入後政府可能呈現何種制度狀態」與「既有理論在哪些條件下受到解釋壓力」得以在同一分析過程中檢視。三項結構效應須依影響範圍與耦合程度整體判讀，三種理想型情境須具有可觀察的制度條件，而理論調適或</w:t>
      </w:r>
      <w:proofErr w:type="gramStart"/>
      <w:r>
        <w:rPr>
          <w:color w:val="1F2937"/>
          <w:spacing w:val="4"/>
          <w:lang w:eastAsia="zh-TW"/>
        </w:rPr>
        <w:t>重構只能</w:t>
      </w:r>
      <w:proofErr w:type="gramEnd"/>
      <w:r>
        <w:rPr>
          <w:color w:val="1F2937"/>
          <w:spacing w:val="4"/>
          <w:lang w:eastAsia="zh-TW"/>
        </w:rPr>
        <w:t>是案例壓力測試後的可能結論。</w:t>
      </w:r>
    </w:p>
    <w:p w:rsidR="002C50A5" w:rsidRDefault="00A447DA">
      <w:pPr>
        <w:pStyle w:val="1"/>
        <w:numPr>
          <w:ilvl w:val="0"/>
          <w:numId w:val="9"/>
        </w:numPr>
        <w:tabs>
          <w:tab w:val="left" w:pos="584"/>
        </w:tabs>
        <w:spacing w:before="241"/>
        <w:ind w:left="584" w:hanging="561"/>
        <w:rPr>
          <w:lang w:eastAsia="zh-TW"/>
        </w:rPr>
      </w:pPr>
      <w:bookmarkStart w:id="9" w:name="貳、分析架構：治理座標、結構現象與情境判準"/>
      <w:bookmarkEnd w:id="9"/>
      <w:r>
        <w:rPr>
          <w:color w:val="1F4E78"/>
          <w:spacing w:val="-3"/>
          <w:lang w:eastAsia="zh-TW"/>
        </w:rPr>
        <w:t>分析架構：治理座標、結構效應與情境判</w:t>
      </w:r>
      <w:proofErr w:type="gramStart"/>
      <w:r>
        <w:rPr>
          <w:color w:val="1F4E78"/>
          <w:spacing w:val="-3"/>
          <w:lang w:eastAsia="zh-TW"/>
        </w:rPr>
        <w:t>準</w:t>
      </w:r>
      <w:proofErr w:type="gramEnd"/>
    </w:p>
    <w:p w:rsidR="002C50A5" w:rsidRDefault="00A447DA">
      <w:pPr>
        <w:pStyle w:val="2"/>
        <w:numPr>
          <w:ilvl w:val="1"/>
          <w:numId w:val="9"/>
        </w:numPr>
        <w:tabs>
          <w:tab w:val="left" w:pos="522"/>
        </w:tabs>
        <w:spacing w:before="391"/>
        <w:ind w:left="522" w:hanging="499"/>
        <w:rPr>
          <w:lang w:eastAsia="zh-TW"/>
        </w:rPr>
      </w:pPr>
      <w:bookmarkStart w:id="10" w:name="一、二十五治理座標作為定位工具"/>
      <w:bookmarkEnd w:id="10"/>
      <w:r>
        <w:rPr>
          <w:color w:val="1F2937"/>
          <w:spacing w:val="-5"/>
          <w:lang w:eastAsia="zh-TW"/>
        </w:rPr>
        <w:t>二十五治理座標作為定位工具</w:t>
      </w:r>
    </w:p>
    <w:p w:rsidR="002C50A5" w:rsidRDefault="00A447DA">
      <w:pPr>
        <w:pStyle w:val="a3"/>
        <w:spacing w:before="312" w:line="338" w:lineRule="auto"/>
        <w:rPr>
          <w:lang w:eastAsia="zh-TW"/>
        </w:rPr>
      </w:pPr>
      <w:r>
        <w:rPr>
          <w:color w:val="1F2937"/>
          <w:spacing w:val="4"/>
          <w:lang w:eastAsia="zh-TW"/>
        </w:rPr>
        <w:t>公共行政可由抽象至具體區分為哲學與價值、制度分工、政策體系、組織設計及</w:t>
      </w:r>
      <w:r>
        <w:rPr>
          <w:color w:val="1F2937"/>
          <w:spacing w:val="2"/>
          <w:lang w:eastAsia="zh-TW"/>
        </w:rPr>
        <w:t>管理運作五個分析層次；分析單位則為個人、團體、組織、社會與國際。兩軸交叉形</w:t>
      </w:r>
      <w:r>
        <w:rPr>
          <w:color w:val="1F2937"/>
          <w:position w:val="1"/>
          <w:lang w:eastAsia="zh-TW"/>
        </w:rPr>
        <w:t>成二十五治理座標</w:t>
      </w:r>
      <w:proofErr w:type="gramStart"/>
      <w:r>
        <w:rPr>
          <w:color w:val="1F2937"/>
          <w:spacing w:val="2"/>
          <w:position w:val="1"/>
          <w:lang w:eastAsia="zh-TW"/>
        </w:rPr>
        <w:t>（</w:t>
      </w:r>
      <w:proofErr w:type="gramEnd"/>
      <w:r>
        <w:rPr>
          <w:rFonts w:ascii="Times New Roman" w:eastAsia="Times New Roman"/>
          <w:color w:val="1F2937"/>
          <w:spacing w:val="-3"/>
          <w:position w:val="1"/>
          <w:lang w:eastAsia="zh-TW"/>
        </w:rPr>
        <w:t>L</w:t>
      </w:r>
      <w:r>
        <w:rPr>
          <w:rFonts w:ascii="Times New Roman" w:eastAsia="Times New Roman"/>
          <w:color w:val="1F2937"/>
          <w:spacing w:val="1"/>
          <w:position w:val="1"/>
          <w:lang w:eastAsia="zh-TW"/>
        </w:rPr>
        <w:t>e</w:t>
      </w:r>
      <w:r>
        <w:rPr>
          <w:rFonts w:ascii="Times New Roman" w:eastAsia="Times New Roman"/>
          <w:color w:val="1F2937"/>
          <w:position w:val="1"/>
          <w:lang w:eastAsia="zh-TW"/>
        </w:rPr>
        <w:t xml:space="preserve">vine </w:t>
      </w:r>
      <w:r>
        <w:rPr>
          <w:rFonts w:ascii="Times New Roman" w:eastAsia="Times New Roman"/>
          <w:color w:val="1F2937"/>
          <w:spacing w:val="-25"/>
          <w:position w:val="1"/>
          <w:lang w:eastAsia="zh-TW"/>
        </w:rPr>
        <w:t xml:space="preserve"> </w:t>
      </w:r>
      <w:r>
        <w:rPr>
          <w:rFonts w:ascii="Times New Roman" w:eastAsia="Times New Roman"/>
          <w:color w:val="1F2937"/>
          <w:spacing w:val="-1"/>
          <w:position w:val="1"/>
          <w:lang w:eastAsia="zh-TW"/>
        </w:rPr>
        <w:t>e</w:t>
      </w:r>
      <w:r>
        <w:rPr>
          <w:rFonts w:ascii="Times New Roman" w:eastAsia="Times New Roman"/>
          <w:color w:val="1F2937"/>
          <w:position w:val="1"/>
          <w:lang w:eastAsia="zh-TW"/>
        </w:rPr>
        <w:t xml:space="preserve">t </w:t>
      </w:r>
      <w:r>
        <w:rPr>
          <w:rFonts w:ascii="Times New Roman" w:eastAsia="Times New Roman"/>
          <w:color w:val="1F2937"/>
          <w:spacing w:val="-24"/>
          <w:position w:val="1"/>
          <w:lang w:eastAsia="zh-TW"/>
        </w:rPr>
        <w:t xml:space="preserve"> </w:t>
      </w:r>
      <w:r>
        <w:rPr>
          <w:rFonts w:ascii="Times New Roman" w:eastAsia="Times New Roman"/>
          <w:color w:val="1F2937"/>
          <w:spacing w:val="-1"/>
          <w:position w:val="1"/>
          <w:lang w:eastAsia="zh-TW"/>
        </w:rPr>
        <w:t>a</w:t>
      </w:r>
      <w:r>
        <w:rPr>
          <w:rFonts w:ascii="Times New Roman" w:eastAsia="Times New Roman"/>
          <w:color w:val="1F2937"/>
          <w:position w:val="1"/>
          <w:lang w:eastAsia="zh-TW"/>
        </w:rPr>
        <w:t xml:space="preserve">l., </w:t>
      </w:r>
      <w:r>
        <w:rPr>
          <w:rFonts w:ascii="Times New Roman" w:eastAsia="Times New Roman"/>
          <w:color w:val="1F2937"/>
          <w:spacing w:val="-24"/>
          <w:position w:val="1"/>
          <w:lang w:eastAsia="zh-TW"/>
        </w:rPr>
        <w:t xml:space="preserve"> </w:t>
      </w:r>
      <w:r>
        <w:rPr>
          <w:rFonts w:ascii="Times New Roman" w:eastAsia="Times New Roman"/>
          <w:color w:val="1F2937"/>
          <w:position w:val="1"/>
          <w:lang w:eastAsia="zh-TW"/>
        </w:rPr>
        <w:t>1990</w:t>
      </w:r>
      <w:r>
        <w:rPr>
          <w:color w:val="1F2937"/>
          <w:position w:val="1"/>
          <w:lang w:eastAsia="zh-TW"/>
        </w:rPr>
        <w:t>；盧</w:t>
      </w:r>
      <w:r>
        <w:rPr>
          <w:color w:val="1F2937"/>
          <w:spacing w:val="17"/>
          <w:position w:val="1"/>
          <w:lang w:eastAsia="zh-TW"/>
        </w:rPr>
        <w:t>建</w:t>
      </w:r>
      <w:r>
        <w:rPr>
          <w:noProof/>
          <w:color w:val="1F2937"/>
          <w:spacing w:val="17"/>
        </w:rPr>
        <w:drawing>
          <wp:inline distT="0" distB="0" distL="0" distR="0">
            <wp:extent cx="136525" cy="13652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36525" cy="136525"/>
                    </a:xfrm>
                    <a:prstGeom prst="rect">
                      <a:avLst/>
                    </a:prstGeom>
                  </pic:spPr>
                </pic:pic>
              </a:graphicData>
            </a:graphic>
          </wp:inline>
        </w:drawing>
      </w:r>
      <w:r>
        <w:rPr>
          <w:color w:val="1F2937"/>
          <w:position w:val="1"/>
          <w:lang w:eastAsia="zh-TW"/>
        </w:rPr>
        <w:t>，</w:t>
      </w:r>
      <w:r>
        <w:rPr>
          <w:rFonts w:ascii="Times New Roman" w:eastAsia="Times New Roman"/>
          <w:color w:val="1F2937"/>
          <w:position w:val="1"/>
          <w:lang w:eastAsia="zh-TW"/>
        </w:rPr>
        <w:t>1996</w:t>
      </w:r>
      <w:proofErr w:type="gramStart"/>
      <w:r>
        <w:rPr>
          <w:color w:val="1F2937"/>
          <w:position w:val="1"/>
          <w:lang w:eastAsia="zh-TW"/>
        </w:rPr>
        <w:t>）</w:t>
      </w:r>
      <w:proofErr w:type="gramEnd"/>
      <w:r>
        <w:rPr>
          <w:color w:val="1F2937"/>
          <w:position w:val="1"/>
          <w:lang w:eastAsia="zh-TW"/>
        </w:rPr>
        <w:t>。座標的作用是先確認</w:t>
      </w:r>
      <w:r>
        <w:rPr>
          <w:color w:val="1F2937"/>
          <w:spacing w:val="26"/>
          <w:position w:val="1"/>
          <w:lang w:eastAsia="zh-TW"/>
        </w:rPr>
        <w:t xml:space="preserve"> </w:t>
      </w:r>
      <w:r>
        <w:rPr>
          <w:rFonts w:ascii="Times New Roman" w:eastAsia="Times New Roman"/>
          <w:color w:val="1F2937"/>
          <w:spacing w:val="1"/>
          <w:position w:val="1"/>
          <w:lang w:eastAsia="zh-TW"/>
        </w:rPr>
        <w:t>A</w:t>
      </w:r>
      <w:r>
        <w:rPr>
          <w:rFonts w:ascii="Times New Roman" w:eastAsia="Times New Roman"/>
          <w:color w:val="1F2937"/>
          <w:position w:val="1"/>
          <w:lang w:eastAsia="zh-TW"/>
        </w:rPr>
        <w:t>I</w:t>
      </w:r>
      <w:r>
        <w:rPr>
          <w:rFonts w:ascii="Times New Roman" w:eastAsia="Times New Roman"/>
          <w:color w:val="1F2937"/>
          <w:spacing w:val="1"/>
          <w:position w:val="1"/>
          <w:lang w:eastAsia="zh-TW"/>
        </w:rPr>
        <w:t xml:space="preserve"> </w:t>
      </w:r>
      <w:r>
        <w:rPr>
          <w:color w:val="1F2937"/>
          <w:position w:val="1"/>
          <w:lang w:eastAsia="zh-TW"/>
        </w:rPr>
        <w:t>主</w:t>
      </w:r>
      <w:r>
        <w:rPr>
          <w:color w:val="1F2937"/>
          <w:spacing w:val="2"/>
          <w:lang w:eastAsia="zh-TW"/>
        </w:rPr>
        <w:t>要介入哪一層次、影響哪些分析單位，再追蹤</w:t>
      </w:r>
      <w:proofErr w:type="gramStart"/>
      <w:r>
        <w:rPr>
          <w:color w:val="1F2937"/>
          <w:spacing w:val="2"/>
          <w:lang w:eastAsia="zh-TW"/>
        </w:rPr>
        <w:t>其跨格影響</w:t>
      </w:r>
      <w:proofErr w:type="gramEnd"/>
      <w:r>
        <w:rPr>
          <w:color w:val="1F2937"/>
          <w:spacing w:val="2"/>
          <w:lang w:eastAsia="zh-TW"/>
        </w:rPr>
        <w:t>；它不是將個案機械填入單</w:t>
      </w:r>
      <w:r>
        <w:rPr>
          <w:color w:val="1F2937"/>
          <w:lang w:eastAsia="zh-TW"/>
        </w:rPr>
        <w:t>一格位。</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pStyle w:val="a3"/>
        <w:spacing w:before="9" w:line="338" w:lineRule="auto"/>
        <w:rPr>
          <w:lang w:eastAsia="zh-TW"/>
        </w:rPr>
      </w:pPr>
      <w:r>
        <w:rPr>
          <w:color w:val="1F2937"/>
          <w:spacing w:val="4"/>
          <w:lang w:eastAsia="zh-TW"/>
        </w:rPr>
        <w:lastRenderedPageBreak/>
        <w:t>五個分析層次呈現公共行政由規範基礎、制度配置、政策形成、組織安排到具體</w:t>
      </w:r>
      <w:r>
        <w:rPr>
          <w:color w:val="1F2937"/>
          <w:lang w:eastAsia="zh-TW"/>
        </w:rPr>
        <w:t xml:space="preserve">管理運作的分析次序；五個分析單位則標示影響承受者與行動者的尺度。現實中的  </w:t>
      </w:r>
      <w:r>
        <w:rPr>
          <w:rFonts w:ascii="Times New Roman" w:eastAsia="Times New Roman"/>
          <w:color w:val="1F2937"/>
          <w:spacing w:val="1"/>
          <w:lang w:eastAsia="zh-TW"/>
        </w:rPr>
        <w:t>AI</w:t>
      </w:r>
      <w:r>
        <w:rPr>
          <w:color w:val="1F2937"/>
          <w:lang w:eastAsia="zh-TW"/>
        </w:rPr>
        <w:t>應用可能同時涉及多個格位，這正是後續分析跨座標移動的起點。</w:t>
      </w:r>
    </w:p>
    <w:p w:rsidR="002C50A5" w:rsidRDefault="00A447DA">
      <w:pPr>
        <w:pStyle w:val="a3"/>
        <w:spacing w:before="121" w:line="338" w:lineRule="auto"/>
        <w:ind w:left="22"/>
        <w:rPr>
          <w:lang w:eastAsia="zh-TW"/>
        </w:rPr>
      </w:pPr>
      <w:r>
        <w:rPr>
          <w:color w:val="1F2937"/>
          <w:spacing w:val="4"/>
          <w:lang w:eastAsia="zh-TW"/>
        </w:rPr>
        <w:t>本文的「分析單位」同時指涉行動者與治理影響承受尺度。個人、團體與組織是</w:t>
      </w:r>
      <w:r>
        <w:rPr>
          <w:color w:val="1F2937"/>
          <w:lang w:eastAsia="zh-TW"/>
        </w:rPr>
        <w:t xml:space="preserve">具有決策與行為能力的行動者；社會與國際則標示 </w:t>
      </w:r>
      <w:r>
        <w:rPr>
          <w:rFonts w:ascii="Times New Roman" w:eastAsia="Times New Roman"/>
          <w:color w:val="1F2937"/>
          <w:spacing w:val="1"/>
          <w:lang w:eastAsia="zh-TW"/>
        </w:rPr>
        <w:t>A</w:t>
      </w:r>
      <w:r>
        <w:rPr>
          <w:rFonts w:ascii="Times New Roman" w:eastAsia="Times New Roman"/>
          <w:color w:val="1F2937"/>
          <w:lang w:eastAsia="zh-TW"/>
        </w:rPr>
        <w:t>I</w:t>
      </w:r>
      <w:r>
        <w:rPr>
          <w:rFonts w:ascii="Times New Roman" w:eastAsia="Times New Roman"/>
          <w:color w:val="1F2937"/>
          <w:spacing w:val="-11"/>
          <w:lang w:eastAsia="zh-TW"/>
        </w:rPr>
        <w:t xml:space="preserve"> </w:t>
      </w:r>
      <w:r>
        <w:rPr>
          <w:color w:val="1F2937"/>
          <w:lang w:eastAsia="zh-TW"/>
        </w:rPr>
        <w:t>效果擴散的治理尺度。此種異質</w:t>
      </w:r>
      <w:r>
        <w:rPr>
          <w:color w:val="1F2937"/>
          <w:spacing w:val="1"/>
          <w:lang w:eastAsia="zh-TW"/>
        </w:rPr>
        <w:t xml:space="preserve">性服務於本文的核心問題：追蹤 </w:t>
      </w:r>
      <w:r>
        <w:rPr>
          <w:rFonts w:ascii="Times New Roman" w:eastAsia="Times New Roman"/>
          <w:color w:val="1F2937"/>
          <w:spacing w:val="1"/>
          <w:lang w:eastAsia="zh-TW"/>
        </w:rPr>
        <w:t>A</w:t>
      </w:r>
      <w:r>
        <w:rPr>
          <w:rFonts w:ascii="Times New Roman" w:eastAsia="Times New Roman"/>
          <w:color w:val="1F2937"/>
          <w:lang w:eastAsia="zh-TW"/>
        </w:rPr>
        <w:t>I</w:t>
      </w:r>
      <w:r>
        <w:rPr>
          <w:rFonts w:ascii="Times New Roman" w:eastAsia="Times New Roman"/>
          <w:color w:val="1F2937"/>
          <w:spacing w:val="-11"/>
          <w:lang w:eastAsia="zh-TW"/>
        </w:rPr>
        <w:t xml:space="preserve"> </w:t>
      </w:r>
      <w:r>
        <w:rPr>
          <w:color w:val="1F2937"/>
          <w:lang w:eastAsia="zh-TW"/>
        </w:rPr>
        <w:t>影響如何由</w:t>
      </w:r>
      <w:proofErr w:type="gramStart"/>
      <w:r>
        <w:rPr>
          <w:color w:val="1F2937"/>
          <w:lang w:eastAsia="zh-TW"/>
        </w:rPr>
        <w:t>行動者格位</w:t>
      </w:r>
      <w:proofErr w:type="gramEnd"/>
      <w:r>
        <w:rPr>
          <w:color w:val="1F2937"/>
          <w:lang w:eastAsia="zh-TW"/>
        </w:rPr>
        <w:t>向更廣的尺度擴散。若橫軸</w:t>
      </w:r>
      <w:r>
        <w:rPr>
          <w:color w:val="1F2937"/>
          <w:spacing w:val="2"/>
          <w:lang w:eastAsia="zh-TW"/>
        </w:rPr>
        <w:t>僅限於同質行動者，反而難以描述個人案件如何上升為社會分配爭議，或國內行政如</w:t>
      </w:r>
      <w:r>
        <w:rPr>
          <w:color w:val="1F2937"/>
          <w:lang w:eastAsia="zh-TW"/>
        </w:rPr>
        <w:t>何連結跨境平台與技術標準。</w:t>
      </w:r>
    </w:p>
    <w:p w:rsidR="002C50A5" w:rsidRDefault="00A447DA">
      <w:pPr>
        <w:pStyle w:val="a3"/>
        <w:spacing w:before="121" w:line="338" w:lineRule="auto"/>
        <w:ind w:left="22" w:right="306"/>
        <w:rPr>
          <w:lang w:eastAsia="zh-TW"/>
        </w:rPr>
      </w:pPr>
      <w:r>
        <w:rPr>
          <w:color w:val="1F2937"/>
          <w:spacing w:val="-2"/>
          <w:lang w:eastAsia="zh-TW"/>
        </w:rPr>
        <w:t xml:space="preserve">同一 </w:t>
      </w:r>
      <w:r>
        <w:rPr>
          <w:rFonts w:ascii="Times New Roman" w:eastAsia="Times New Roman" w:hAnsi="Times New Roman"/>
          <w:color w:val="1F2937"/>
          <w:lang w:eastAsia="zh-TW"/>
        </w:rPr>
        <w:t>AI</w:t>
      </w:r>
      <w:r>
        <w:rPr>
          <w:rFonts w:ascii="Times New Roman" w:eastAsia="Times New Roman" w:hAnsi="Times New Roman"/>
          <w:color w:val="1F2937"/>
          <w:spacing w:val="-15"/>
          <w:lang w:eastAsia="zh-TW"/>
        </w:rPr>
        <w:t xml:space="preserve"> </w:t>
      </w:r>
      <w:r>
        <w:rPr>
          <w:color w:val="1F2937"/>
          <w:lang w:eastAsia="zh-TW"/>
        </w:rPr>
        <w:t>應用可以涉及多個格位。主要</w:t>
      </w:r>
      <w:proofErr w:type="gramStart"/>
      <w:r>
        <w:rPr>
          <w:color w:val="1F2937"/>
          <w:lang w:eastAsia="zh-TW"/>
        </w:rPr>
        <w:t>格位須同時</w:t>
      </w:r>
      <w:proofErr w:type="gramEnd"/>
      <w:r>
        <w:rPr>
          <w:color w:val="1F2937"/>
          <w:lang w:eastAsia="zh-TW"/>
        </w:rPr>
        <w:t>符合兩項條件：</w:t>
      </w:r>
      <w:r>
        <w:rPr>
          <w:rFonts w:ascii="Times New Roman" w:eastAsia="Times New Roman" w:hAnsi="Times New Roman"/>
          <w:color w:val="1F2937"/>
          <w:lang w:eastAsia="zh-TW"/>
        </w:rPr>
        <w:t>AI</w:t>
      </w:r>
      <w:r>
        <w:rPr>
          <w:rFonts w:ascii="Times New Roman" w:eastAsia="Times New Roman" w:hAnsi="Times New Roman"/>
          <w:color w:val="1F2937"/>
          <w:spacing w:val="-15"/>
          <w:lang w:eastAsia="zh-TW"/>
        </w:rPr>
        <w:t xml:space="preserve"> </w:t>
      </w:r>
      <w:r>
        <w:rPr>
          <w:color w:val="1F2937"/>
          <w:lang w:eastAsia="zh-TW"/>
        </w:rPr>
        <w:t>輸出直接作用</w:t>
      </w:r>
      <w:r>
        <w:rPr>
          <w:color w:val="1F2937"/>
          <w:spacing w:val="-1"/>
          <w:lang w:eastAsia="zh-TW"/>
        </w:rPr>
        <w:t>於該層次與單位，</w:t>
      </w:r>
      <w:proofErr w:type="gramStart"/>
      <w:r>
        <w:rPr>
          <w:color w:val="1F2937"/>
          <w:spacing w:val="-1"/>
          <w:lang w:eastAsia="zh-TW"/>
        </w:rPr>
        <w:t>且該格位</w:t>
      </w:r>
      <w:proofErr w:type="gramEnd"/>
      <w:r>
        <w:rPr>
          <w:color w:val="1F2937"/>
          <w:spacing w:val="-1"/>
          <w:lang w:eastAsia="zh-TW"/>
        </w:rPr>
        <w:t xml:space="preserve">的制度功能因 </w:t>
      </w:r>
      <w:r>
        <w:rPr>
          <w:rFonts w:ascii="Times New Roman" w:eastAsia="Times New Roman" w:hAnsi="Times New Roman"/>
          <w:color w:val="1F2937"/>
          <w:lang w:eastAsia="zh-TW"/>
        </w:rPr>
        <w:t>AI</w:t>
      </w:r>
      <w:r>
        <w:rPr>
          <w:rFonts w:ascii="Times New Roman" w:eastAsia="Times New Roman" w:hAnsi="Times New Roman"/>
          <w:color w:val="1F2937"/>
          <w:spacing w:val="-15"/>
          <w:lang w:eastAsia="zh-TW"/>
        </w:rPr>
        <w:t xml:space="preserve"> </w:t>
      </w:r>
      <w:r>
        <w:rPr>
          <w:color w:val="1F2937"/>
          <w:lang w:eastAsia="zh-TW"/>
        </w:rPr>
        <w:t>介入而發生實質變化。次要格位則指由主要格位外溢而來、</w:t>
      </w:r>
      <w:r>
        <w:rPr>
          <w:rFonts w:ascii="Times New Roman" w:eastAsia="Times New Roman" w:hAnsi="Times New Roman"/>
          <w:color w:val="1F2937"/>
          <w:lang w:eastAsia="zh-TW"/>
        </w:rPr>
        <w:t>AI</w:t>
      </w:r>
      <w:r>
        <w:rPr>
          <w:rFonts w:ascii="Times New Roman" w:eastAsia="Times New Roman" w:hAnsi="Times New Roman"/>
          <w:color w:val="1F2937"/>
          <w:spacing w:val="-15"/>
          <w:lang w:eastAsia="zh-TW"/>
        </w:rPr>
        <w:t xml:space="preserve"> </w:t>
      </w:r>
      <w:r>
        <w:rPr>
          <w:color w:val="1F2937"/>
          <w:lang w:eastAsia="zh-TW"/>
        </w:rPr>
        <w:t>未直接作用或</w:t>
      </w:r>
      <w:proofErr w:type="gramStart"/>
      <w:r>
        <w:rPr>
          <w:color w:val="1F2937"/>
          <w:lang w:eastAsia="zh-TW"/>
        </w:rPr>
        <w:t>變化屬繼發</w:t>
      </w:r>
      <w:proofErr w:type="gramEnd"/>
      <w:r>
        <w:rPr>
          <w:color w:val="1F2937"/>
          <w:lang w:eastAsia="zh-TW"/>
        </w:rPr>
        <w:t>性的位置。例如，</w:t>
      </w:r>
      <w:r>
        <w:rPr>
          <w:rFonts w:ascii="Times New Roman" w:eastAsia="Times New Roman" w:hAnsi="Times New Roman"/>
          <w:color w:val="1F2937"/>
          <w:lang w:eastAsia="zh-TW"/>
        </w:rPr>
        <w:t>AI</w:t>
      </w:r>
      <w:r>
        <w:rPr>
          <w:rFonts w:ascii="Times New Roman" w:eastAsia="Times New Roman" w:hAnsi="Times New Roman"/>
          <w:color w:val="1F2937"/>
          <w:spacing w:val="-15"/>
          <w:lang w:eastAsia="zh-TW"/>
        </w:rPr>
        <w:t xml:space="preserve"> </w:t>
      </w:r>
      <w:r>
        <w:rPr>
          <w:color w:val="1F2937"/>
          <w:lang w:eastAsia="zh-TW"/>
        </w:rPr>
        <w:t>輔助社會福利資格</w:t>
      </w:r>
      <w:r>
        <w:rPr>
          <w:color w:val="1F2937"/>
          <w:spacing w:val="-2"/>
          <w:lang w:eastAsia="zh-TW"/>
        </w:rPr>
        <w:t>審查的主要格位是「政策體系</w:t>
      </w:r>
      <w:r>
        <w:rPr>
          <w:rFonts w:ascii="Times New Roman" w:eastAsia="Times New Roman" w:hAnsi="Times New Roman"/>
          <w:color w:val="1F2937"/>
          <w:spacing w:val="-2"/>
          <w:lang w:eastAsia="zh-TW"/>
        </w:rPr>
        <w:t>×</w:t>
      </w:r>
      <w:r>
        <w:rPr>
          <w:color w:val="1F2937"/>
          <w:spacing w:val="-2"/>
          <w:lang w:eastAsia="zh-TW"/>
        </w:rPr>
        <w:t>個人」，次要格位可能包括「政策體系</w:t>
      </w:r>
      <w:r>
        <w:rPr>
          <w:rFonts w:ascii="Times New Roman" w:eastAsia="Times New Roman" w:hAnsi="Times New Roman"/>
          <w:color w:val="1F2937"/>
          <w:spacing w:val="-2"/>
          <w:lang w:eastAsia="zh-TW"/>
        </w:rPr>
        <w:t>×</w:t>
      </w:r>
      <w:r>
        <w:rPr>
          <w:color w:val="1F2937"/>
          <w:spacing w:val="-2"/>
          <w:lang w:eastAsia="zh-TW"/>
        </w:rPr>
        <w:t>社會」及「組織設計</w:t>
      </w:r>
      <w:r>
        <w:rPr>
          <w:rFonts w:ascii="Times New Roman" w:eastAsia="Times New Roman" w:hAnsi="Times New Roman"/>
          <w:color w:val="1F2937"/>
          <w:spacing w:val="-2"/>
          <w:lang w:eastAsia="zh-TW"/>
        </w:rPr>
        <w:t>×</w:t>
      </w:r>
      <w:r>
        <w:rPr>
          <w:color w:val="1F2937"/>
          <w:spacing w:val="-2"/>
          <w:lang w:eastAsia="zh-TW"/>
        </w:rPr>
        <w:t>組織」。主要與次要格位的區分用來確立追蹤起點，不表示影響只停留在單一</w:t>
      </w:r>
      <w:r>
        <w:rPr>
          <w:color w:val="1F2937"/>
          <w:spacing w:val="-4"/>
          <w:lang w:eastAsia="zh-TW"/>
        </w:rPr>
        <w:t>格位。</w:t>
      </w:r>
    </w:p>
    <w:p w:rsidR="002C50A5" w:rsidRDefault="00A447DA">
      <w:pPr>
        <w:pStyle w:val="a3"/>
        <w:spacing w:before="123" w:line="338" w:lineRule="auto"/>
        <w:ind w:left="22" w:right="306"/>
      </w:pPr>
      <w:r>
        <w:rPr>
          <w:color w:val="1F2937"/>
          <w:lang w:eastAsia="zh-TW"/>
        </w:rPr>
        <w:t xml:space="preserve">圖 </w:t>
      </w:r>
      <w:r>
        <w:rPr>
          <w:rFonts w:ascii="Times New Roman" w:eastAsia="Times New Roman" w:hAnsi="Times New Roman"/>
          <w:color w:val="1F2937"/>
          <w:lang w:eastAsia="zh-TW"/>
        </w:rPr>
        <w:t xml:space="preserve">2 </w:t>
      </w:r>
      <w:r>
        <w:rPr>
          <w:color w:val="1F2937"/>
          <w:lang w:eastAsia="zh-TW"/>
        </w:rPr>
        <w:t>以正確的五個分析單位</w:t>
      </w:r>
      <w:proofErr w:type="gramStart"/>
      <w:r>
        <w:rPr>
          <w:rFonts w:ascii="Times New Roman" w:eastAsia="Times New Roman" w:hAnsi="Times New Roman"/>
          <w:color w:val="1F2937"/>
          <w:lang w:eastAsia="zh-TW"/>
        </w:rPr>
        <w:t>—</w:t>
      </w:r>
      <w:proofErr w:type="gramEnd"/>
      <w:r>
        <w:rPr>
          <w:rFonts w:ascii="Times New Roman" w:eastAsia="Times New Roman" w:hAnsi="Times New Roman"/>
          <w:color w:val="1F2937"/>
          <w:lang w:eastAsia="zh-TW"/>
        </w:rPr>
        <w:t>—</w:t>
      </w:r>
      <w:r>
        <w:rPr>
          <w:color w:val="1F2937"/>
          <w:lang w:eastAsia="zh-TW"/>
        </w:rPr>
        <w:t>個人、團體、組織、社會、國際</w:t>
      </w:r>
      <w:r>
        <w:rPr>
          <w:rFonts w:ascii="Times New Roman" w:eastAsia="Times New Roman" w:hAnsi="Times New Roman"/>
          <w:color w:val="1F2937"/>
          <w:lang w:eastAsia="zh-TW"/>
        </w:rPr>
        <w:t>——</w:t>
      </w:r>
      <w:r>
        <w:rPr>
          <w:color w:val="1F2937"/>
          <w:lang w:eastAsia="zh-TW"/>
        </w:rPr>
        <w:t>呈現二十五</w:t>
      </w:r>
      <w:r>
        <w:rPr>
          <w:color w:val="1F2937"/>
          <w:spacing w:val="-2"/>
          <w:lang w:eastAsia="zh-TW"/>
        </w:rPr>
        <w:t>治理座標。以「政策體系</w:t>
      </w:r>
      <w:r>
        <w:rPr>
          <w:rFonts w:ascii="Times New Roman" w:eastAsia="Times New Roman" w:hAnsi="Times New Roman"/>
          <w:color w:val="1F2937"/>
          <w:spacing w:val="-2"/>
          <w:lang w:eastAsia="zh-TW"/>
        </w:rPr>
        <w:t>×</w:t>
      </w:r>
      <w:r>
        <w:rPr>
          <w:color w:val="1F2937"/>
          <w:spacing w:val="-2"/>
          <w:lang w:eastAsia="zh-TW"/>
        </w:rPr>
        <w:t>社會」為例，分析焦點可包括資源配置、政策回饋與程式化給付；「管理運作</w:t>
      </w:r>
      <w:r>
        <w:rPr>
          <w:rFonts w:ascii="Times New Roman" w:eastAsia="Times New Roman" w:hAnsi="Times New Roman"/>
          <w:color w:val="1F2937"/>
          <w:spacing w:val="-2"/>
          <w:lang w:eastAsia="zh-TW"/>
        </w:rPr>
        <w:t>×</w:t>
      </w:r>
      <w:r>
        <w:rPr>
          <w:color w:val="1F2937"/>
          <w:spacing w:val="-2"/>
          <w:lang w:eastAsia="zh-TW"/>
        </w:rPr>
        <w:t>個人」則包括數位服務、個案處理與人機互動。</w:t>
      </w:r>
      <w:proofErr w:type="spellStart"/>
      <w:r>
        <w:rPr>
          <w:color w:val="1F2937"/>
          <w:spacing w:val="-2"/>
        </w:rPr>
        <w:t>格內文字是定位提示，不是封閉的分類清單</w:t>
      </w:r>
      <w:proofErr w:type="spellEnd"/>
      <w:r>
        <w:rPr>
          <w:color w:val="1F2937"/>
          <w:spacing w:val="-2"/>
        </w:rPr>
        <w:t>。</w:t>
      </w:r>
    </w:p>
    <w:p w:rsidR="002C50A5" w:rsidRDefault="002C50A5">
      <w:pPr>
        <w:pStyle w:val="a3"/>
        <w:spacing w:before="5" w:after="1"/>
        <w:ind w:left="0" w:right="0" w:firstLine="0"/>
        <w:jc w:val="left"/>
        <w:rPr>
          <w:sz w:val="7"/>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95"/>
        <w:gridCol w:w="1497"/>
        <w:gridCol w:w="1497"/>
        <w:gridCol w:w="1497"/>
        <w:gridCol w:w="1495"/>
      </w:tblGrid>
      <w:tr w:rsidR="002C50A5">
        <w:trPr>
          <w:trHeight w:val="1009"/>
        </w:trPr>
        <w:tc>
          <w:tcPr>
            <w:tcW w:w="1277" w:type="dxa"/>
            <w:shd w:val="clear" w:color="auto" w:fill="1F4E78"/>
          </w:tcPr>
          <w:p w:rsidR="002C50A5" w:rsidRDefault="00A447DA">
            <w:pPr>
              <w:pStyle w:val="TableParagraph"/>
              <w:spacing w:before="60" w:line="292" w:lineRule="exact"/>
              <w:ind w:left="527"/>
              <w:rPr>
                <w:b/>
                <w:sz w:val="16"/>
              </w:rPr>
            </w:pPr>
            <w:proofErr w:type="spellStart"/>
            <w:r>
              <w:rPr>
                <w:b/>
                <w:color w:val="FFFFFF"/>
                <w:spacing w:val="-3"/>
                <w:sz w:val="16"/>
              </w:rPr>
              <w:t>分析層次</w:t>
            </w:r>
            <w:proofErr w:type="spellEnd"/>
          </w:p>
          <w:p w:rsidR="002C50A5" w:rsidRDefault="00A447DA">
            <w:pPr>
              <w:pStyle w:val="TableParagraph"/>
              <w:spacing w:line="290" w:lineRule="exact"/>
              <w:ind w:left="559"/>
              <w:rPr>
                <w:b/>
                <w:sz w:val="16"/>
              </w:rPr>
            </w:pPr>
            <w:r>
              <w:rPr>
                <w:b/>
                <w:color w:val="FFFFFF"/>
                <w:spacing w:val="-10"/>
                <w:sz w:val="16"/>
              </w:rPr>
              <w:t>＼</w:t>
            </w:r>
          </w:p>
          <w:p w:rsidR="002C50A5" w:rsidRDefault="00A447DA">
            <w:pPr>
              <w:pStyle w:val="TableParagraph"/>
              <w:spacing w:line="292" w:lineRule="exact"/>
              <w:ind w:left="319"/>
              <w:rPr>
                <w:b/>
                <w:sz w:val="16"/>
              </w:rPr>
            </w:pPr>
            <w:proofErr w:type="spellStart"/>
            <w:r>
              <w:rPr>
                <w:b/>
                <w:color w:val="FFFFFF"/>
                <w:spacing w:val="-3"/>
                <w:sz w:val="16"/>
              </w:rPr>
              <w:t>分析單位</w:t>
            </w:r>
            <w:proofErr w:type="spellEnd"/>
          </w:p>
        </w:tc>
        <w:tc>
          <w:tcPr>
            <w:tcW w:w="1495" w:type="dxa"/>
            <w:shd w:val="clear" w:color="auto" w:fill="1F4E78"/>
          </w:tcPr>
          <w:p w:rsidR="002C50A5" w:rsidRDefault="002C50A5">
            <w:pPr>
              <w:pStyle w:val="TableParagraph"/>
              <w:rPr>
                <w:sz w:val="18"/>
              </w:rPr>
            </w:pPr>
          </w:p>
          <w:p w:rsidR="002C50A5" w:rsidRDefault="00A447DA">
            <w:pPr>
              <w:pStyle w:val="TableParagraph"/>
              <w:ind w:left="777"/>
              <w:rPr>
                <w:b/>
                <w:sz w:val="18"/>
              </w:rPr>
            </w:pPr>
            <w:proofErr w:type="spellStart"/>
            <w:r>
              <w:rPr>
                <w:b/>
                <w:color w:val="FFFFFF"/>
                <w:spacing w:val="-5"/>
                <w:sz w:val="18"/>
              </w:rPr>
              <w:t>個人</w:t>
            </w:r>
            <w:proofErr w:type="spellEnd"/>
          </w:p>
        </w:tc>
        <w:tc>
          <w:tcPr>
            <w:tcW w:w="1497" w:type="dxa"/>
            <w:shd w:val="clear" w:color="auto" w:fill="1F4E78"/>
          </w:tcPr>
          <w:p w:rsidR="002C50A5" w:rsidRDefault="002C50A5">
            <w:pPr>
              <w:pStyle w:val="TableParagraph"/>
              <w:rPr>
                <w:sz w:val="18"/>
              </w:rPr>
            </w:pPr>
          </w:p>
          <w:p w:rsidR="002C50A5" w:rsidRDefault="00A447DA">
            <w:pPr>
              <w:pStyle w:val="TableParagraph"/>
              <w:ind w:left="779"/>
              <w:rPr>
                <w:b/>
                <w:sz w:val="18"/>
              </w:rPr>
            </w:pPr>
            <w:proofErr w:type="spellStart"/>
            <w:r>
              <w:rPr>
                <w:b/>
                <w:color w:val="FFFFFF"/>
                <w:spacing w:val="-5"/>
                <w:sz w:val="18"/>
              </w:rPr>
              <w:t>團體</w:t>
            </w:r>
            <w:proofErr w:type="spellEnd"/>
          </w:p>
        </w:tc>
        <w:tc>
          <w:tcPr>
            <w:tcW w:w="1497" w:type="dxa"/>
            <w:shd w:val="clear" w:color="auto" w:fill="1F4E78"/>
          </w:tcPr>
          <w:p w:rsidR="002C50A5" w:rsidRDefault="002C50A5">
            <w:pPr>
              <w:pStyle w:val="TableParagraph"/>
              <w:rPr>
                <w:sz w:val="18"/>
              </w:rPr>
            </w:pPr>
          </w:p>
          <w:p w:rsidR="002C50A5" w:rsidRDefault="00A447DA">
            <w:pPr>
              <w:pStyle w:val="TableParagraph"/>
              <w:ind w:left="780"/>
              <w:rPr>
                <w:b/>
                <w:sz w:val="18"/>
              </w:rPr>
            </w:pPr>
            <w:proofErr w:type="spellStart"/>
            <w:r>
              <w:rPr>
                <w:b/>
                <w:color w:val="FFFFFF"/>
                <w:spacing w:val="-5"/>
                <w:sz w:val="18"/>
              </w:rPr>
              <w:t>組織</w:t>
            </w:r>
            <w:proofErr w:type="spellEnd"/>
          </w:p>
        </w:tc>
        <w:tc>
          <w:tcPr>
            <w:tcW w:w="1497" w:type="dxa"/>
            <w:shd w:val="clear" w:color="auto" w:fill="1F4E78"/>
          </w:tcPr>
          <w:p w:rsidR="002C50A5" w:rsidRDefault="002C50A5">
            <w:pPr>
              <w:pStyle w:val="TableParagraph"/>
              <w:rPr>
                <w:sz w:val="18"/>
              </w:rPr>
            </w:pPr>
          </w:p>
          <w:p w:rsidR="002C50A5" w:rsidRDefault="00A447DA">
            <w:pPr>
              <w:pStyle w:val="TableParagraph"/>
              <w:ind w:left="778"/>
              <w:rPr>
                <w:b/>
                <w:sz w:val="18"/>
              </w:rPr>
            </w:pPr>
            <w:proofErr w:type="spellStart"/>
            <w:r>
              <w:rPr>
                <w:b/>
                <w:color w:val="FFFFFF"/>
                <w:spacing w:val="-5"/>
                <w:sz w:val="18"/>
              </w:rPr>
              <w:t>社會</w:t>
            </w:r>
            <w:proofErr w:type="spellEnd"/>
          </w:p>
        </w:tc>
        <w:tc>
          <w:tcPr>
            <w:tcW w:w="1495" w:type="dxa"/>
            <w:shd w:val="clear" w:color="auto" w:fill="1F4E78"/>
          </w:tcPr>
          <w:p w:rsidR="002C50A5" w:rsidRDefault="002C50A5">
            <w:pPr>
              <w:pStyle w:val="TableParagraph"/>
              <w:rPr>
                <w:sz w:val="18"/>
              </w:rPr>
            </w:pPr>
          </w:p>
          <w:p w:rsidR="002C50A5" w:rsidRDefault="00A447DA">
            <w:pPr>
              <w:pStyle w:val="TableParagraph"/>
              <w:ind w:left="779"/>
              <w:rPr>
                <w:b/>
                <w:sz w:val="18"/>
              </w:rPr>
            </w:pPr>
            <w:proofErr w:type="spellStart"/>
            <w:r>
              <w:rPr>
                <w:b/>
                <w:color w:val="FFFFFF"/>
                <w:spacing w:val="-5"/>
                <w:sz w:val="18"/>
              </w:rPr>
              <w:t>國際</w:t>
            </w:r>
            <w:proofErr w:type="spellEnd"/>
          </w:p>
        </w:tc>
      </w:tr>
      <w:tr w:rsidR="002C50A5">
        <w:trPr>
          <w:trHeight w:val="758"/>
        </w:trPr>
        <w:tc>
          <w:tcPr>
            <w:tcW w:w="1277" w:type="dxa"/>
            <w:shd w:val="clear" w:color="auto" w:fill="DDEBF7"/>
          </w:tcPr>
          <w:p w:rsidR="002C50A5" w:rsidRDefault="00A447DA">
            <w:pPr>
              <w:pStyle w:val="TableParagraph"/>
              <w:spacing w:before="68" w:line="235" w:lineRule="auto"/>
              <w:ind w:left="467" w:right="161" w:firstLine="124"/>
              <w:rPr>
                <w:b/>
                <w:sz w:val="17"/>
              </w:rPr>
            </w:pPr>
            <w:proofErr w:type="spellStart"/>
            <w:r>
              <w:rPr>
                <w:b/>
                <w:color w:val="1F2937"/>
                <w:spacing w:val="-4"/>
                <w:sz w:val="17"/>
              </w:rPr>
              <w:t>哲學與</w:t>
            </w:r>
            <w:r>
              <w:rPr>
                <w:b/>
                <w:color w:val="1F2937"/>
                <w:spacing w:val="-6"/>
                <w:sz w:val="17"/>
              </w:rPr>
              <w:t>價值</w:t>
            </w:r>
            <w:proofErr w:type="spellEnd"/>
          </w:p>
        </w:tc>
        <w:tc>
          <w:tcPr>
            <w:tcW w:w="1495" w:type="dxa"/>
            <w:shd w:val="clear" w:color="auto" w:fill="DDEBF7"/>
          </w:tcPr>
          <w:p w:rsidR="002C50A5" w:rsidRDefault="00A447DA">
            <w:pPr>
              <w:pStyle w:val="TableParagraph"/>
              <w:spacing w:before="104" w:line="235" w:lineRule="auto"/>
              <w:ind w:left="371" w:right="297" w:firstLine="360"/>
              <w:rPr>
                <w:sz w:val="15"/>
              </w:rPr>
            </w:pPr>
            <w:proofErr w:type="spellStart"/>
            <w:r>
              <w:rPr>
                <w:color w:val="1F2937"/>
                <w:spacing w:val="-4"/>
                <w:sz w:val="15"/>
              </w:rPr>
              <w:t>尊嚴、</w:t>
            </w:r>
            <w:r>
              <w:rPr>
                <w:color w:val="1F2937"/>
                <w:spacing w:val="-2"/>
                <w:sz w:val="15"/>
              </w:rPr>
              <w:t>自主、知情</w:t>
            </w:r>
            <w:proofErr w:type="spellEnd"/>
          </w:p>
        </w:tc>
        <w:tc>
          <w:tcPr>
            <w:tcW w:w="1497" w:type="dxa"/>
            <w:shd w:val="clear" w:color="auto" w:fill="DDEBF7"/>
          </w:tcPr>
          <w:p w:rsidR="002C50A5" w:rsidRDefault="00A447DA">
            <w:pPr>
              <w:pStyle w:val="TableParagraph"/>
              <w:spacing w:before="104" w:line="235" w:lineRule="auto"/>
              <w:ind w:left="448" w:right="148" w:firstLine="134"/>
              <w:rPr>
                <w:sz w:val="15"/>
              </w:rPr>
            </w:pPr>
            <w:proofErr w:type="spellStart"/>
            <w:r>
              <w:rPr>
                <w:color w:val="1F2937"/>
                <w:spacing w:val="-2"/>
                <w:sz w:val="15"/>
              </w:rPr>
              <w:t>群體公平、</w:t>
            </w:r>
            <w:r>
              <w:rPr>
                <w:color w:val="1F2937"/>
                <w:spacing w:val="-4"/>
                <w:sz w:val="15"/>
              </w:rPr>
              <w:t>差異承認</w:t>
            </w:r>
            <w:proofErr w:type="spellEnd"/>
          </w:p>
        </w:tc>
        <w:tc>
          <w:tcPr>
            <w:tcW w:w="1497" w:type="dxa"/>
            <w:shd w:val="clear" w:color="auto" w:fill="DDEBF7"/>
          </w:tcPr>
          <w:p w:rsidR="002C50A5" w:rsidRDefault="00A447DA">
            <w:pPr>
              <w:pStyle w:val="TableParagraph"/>
              <w:spacing w:before="104" w:line="235" w:lineRule="auto"/>
              <w:ind w:left="449" w:right="222" w:firstLine="211"/>
              <w:rPr>
                <w:sz w:val="15"/>
              </w:rPr>
            </w:pPr>
            <w:proofErr w:type="spellStart"/>
            <w:r>
              <w:rPr>
                <w:color w:val="1F2937"/>
                <w:spacing w:val="-4"/>
                <w:sz w:val="15"/>
              </w:rPr>
              <w:t>公共性、行政倫理</w:t>
            </w:r>
            <w:proofErr w:type="spellEnd"/>
          </w:p>
        </w:tc>
        <w:tc>
          <w:tcPr>
            <w:tcW w:w="1497" w:type="dxa"/>
            <w:shd w:val="clear" w:color="auto" w:fill="DDEBF7"/>
          </w:tcPr>
          <w:p w:rsidR="002C50A5" w:rsidRDefault="00A447DA">
            <w:pPr>
              <w:pStyle w:val="TableParagraph"/>
              <w:spacing w:before="104" w:line="235" w:lineRule="auto"/>
              <w:ind w:left="373" w:right="149" w:firstLine="208"/>
              <w:rPr>
                <w:sz w:val="15"/>
                <w:lang w:eastAsia="zh-TW"/>
              </w:rPr>
            </w:pPr>
            <w:r>
              <w:rPr>
                <w:color w:val="1F2937"/>
                <w:spacing w:val="-2"/>
                <w:sz w:val="15"/>
                <w:lang w:eastAsia="zh-TW"/>
              </w:rPr>
              <w:t>公共利益、民主正當性</w:t>
            </w:r>
          </w:p>
        </w:tc>
        <w:tc>
          <w:tcPr>
            <w:tcW w:w="1495" w:type="dxa"/>
            <w:shd w:val="clear" w:color="auto" w:fill="DDEBF7"/>
          </w:tcPr>
          <w:p w:rsidR="002C50A5" w:rsidRDefault="00A447DA">
            <w:pPr>
              <w:pStyle w:val="TableParagraph"/>
              <w:spacing w:before="104" w:line="235" w:lineRule="auto"/>
              <w:ind w:left="335" w:right="148" w:firstLine="247"/>
              <w:rPr>
                <w:sz w:val="15"/>
                <w:lang w:eastAsia="zh-TW"/>
              </w:rPr>
            </w:pPr>
            <w:r>
              <w:rPr>
                <w:color w:val="1F2937"/>
                <w:spacing w:val="-2"/>
                <w:sz w:val="15"/>
                <w:lang w:eastAsia="zh-TW"/>
              </w:rPr>
              <w:t>普遍人權、</w:t>
            </w:r>
            <w:r>
              <w:rPr>
                <w:color w:val="1F2937"/>
                <w:sz w:val="15"/>
                <w:lang w:eastAsia="zh-TW"/>
              </w:rPr>
              <w:t xml:space="preserve">全球 </w:t>
            </w:r>
            <w:r>
              <w:rPr>
                <w:rFonts w:ascii="Times New Roman" w:eastAsia="Times New Roman"/>
                <w:color w:val="1F2937"/>
                <w:sz w:val="15"/>
                <w:lang w:eastAsia="zh-TW"/>
              </w:rPr>
              <w:t xml:space="preserve">AI </w:t>
            </w:r>
            <w:r>
              <w:rPr>
                <w:color w:val="1F2937"/>
                <w:sz w:val="15"/>
                <w:lang w:eastAsia="zh-TW"/>
              </w:rPr>
              <w:t>倫理</w:t>
            </w:r>
          </w:p>
        </w:tc>
      </w:tr>
    </w:tbl>
    <w:p w:rsidR="002C50A5" w:rsidRDefault="002C50A5">
      <w:pPr>
        <w:pStyle w:val="TableParagraph"/>
        <w:spacing w:line="235" w:lineRule="auto"/>
        <w:rPr>
          <w:sz w:val="15"/>
          <w:lang w:eastAsia="zh-TW"/>
        </w:rPr>
        <w:sectPr w:rsidR="002C50A5">
          <w:pgSz w:w="11906" w:h="16838"/>
          <w:pgMar w:top="1247" w:right="1417" w:bottom="1247" w:left="1417" w:header="0" w:footer="730" w:gutter="0"/>
          <w:cols w:space="720"/>
        </w:sect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95"/>
        <w:gridCol w:w="1497"/>
        <w:gridCol w:w="1497"/>
        <w:gridCol w:w="1497"/>
        <w:gridCol w:w="1495"/>
      </w:tblGrid>
      <w:tr w:rsidR="002C50A5">
        <w:trPr>
          <w:trHeight w:val="1012"/>
        </w:trPr>
        <w:tc>
          <w:tcPr>
            <w:tcW w:w="1277" w:type="dxa"/>
            <w:shd w:val="clear" w:color="auto" w:fill="1F4E78"/>
          </w:tcPr>
          <w:p w:rsidR="002C50A5" w:rsidRDefault="00A447DA">
            <w:pPr>
              <w:pStyle w:val="TableParagraph"/>
              <w:spacing w:before="60" w:line="292" w:lineRule="exact"/>
              <w:ind w:left="527"/>
              <w:rPr>
                <w:b/>
                <w:sz w:val="16"/>
              </w:rPr>
            </w:pPr>
            <w:proofErr w:type="spellStart"/>
            <w:r>
              <w:rPr>
                <w:b/>
                <w:color w:val="FFFFFF"/>
                <w:spacing w:val="-3"/>
                <w:sz w:val="16"/>
              </w:rPr>
              <w:t>分析層次</w:t>
            </w:r>
            <w:proofErr w:type="spellEnd"/>
          </w:p>
          <w:p w:rsidR="002C50A5" w:rsidRDefault="00A447DA">
            <w:pPr>
              <w:pStyle w:val="TableParagraph"/>
              <w:spacing w:line="290" w:lineRule="exact"/>
              <w:ind w:left="559"/>
              <w:rPr>
                <w:b/>
                <w:sz w:val="16"/>
              </w:rPr>
            </w:pPr>
            <w:r>
              <w:rPr>
                <w:b/>
                <w:color w:val="FFFFFF"/>
                <w:spacing w:val="-10"/>
                <w:sz w:val="16"/>
              </w:rPr>
              <w:t>＼</w:t>
            </w:r>
          </w:p>
          <w:p w:rsidR="002C50A5" w:rsidRDefault="00A447DA">
            <w:pPr>
              <w:pStyle w:val="TableParagraph"/>
              <w:spacing w:line="292" w:lineRule="exact"/>
              <w:ind w:left="319"/>
              <w:rPr>
                <w:b/>
                <w:sz w:val="16"/>
              </w:rPr>
            </w:pPr>
            <w:proofErr w:type="spellStart"/>
            <w:r>
              <w:rPr>
                <w:b/>
                <w:color w:val="FFFFFF"/>
                <w:spacing w:val="-3"/>
                <w:sz w:val="16"/>
              </w:rPr>
              <w:t>分析單位</w:t>
            </w:r>
            <w:proofErr w:type="spellEnd"/>
          </w:p>
        </w:tc>
        <w:tc>
          <w:tcPr>
            <w:tcW w:w="1495" w:type="dxa"/>
            <w:shd w:val="clear" w:color="auto" w:fill="1F4E78"/>
          </w:tcPr>
          <w:p w:rsidR="002C50A5" w:rsidRDefault="002C50A5">
            <w:pPr>
              <w:pStyle w:val="TableParagraph"/>
              <w:spacing w:before="3"/>
              <w:rPr>
                <w:sz w:val="18"/>
              </w:rPr>
            </w:pPr>
          </w:p>
          <w:p w:rsidR="002C50A5" w:rsidRDefault="00A447DA">
            <w:pPr>
              <w:pStyle w:val="TableParagraph"/>
              <w:ind w:left="777"/>
              <w:rPr>
                <w:b/>
                <w:sz w:val="18"/>
              </w:rPr>
            </w:pPr>
            <w:proofErr w:type="spellStart"/>
            <w:r>
              <w:rPr>
                <w:b/>
                <w:color w:val="FFFFFF"/>
                <w:spacing w:val="-5"/>
                <w:sz w:val="18"/>
              </w:rPr>
              <w:t>個人</w:t>
            </w:r>
            <w:proofErr w:type="spellEnd"/>
          </w:p>
        </w:tc>
        <w:tc>
          <w:tcPr>
            <w:tcW w:w="1497" w:type="dxa"/>
            <w:shd w:val="clear" w:color="auto" w:fill="1F4E78"/>
          </w:tcPr>
          <w:p w:rsidR="002C50A5" w:rsidRDefault="002C50A5">
            <w:pPr>
              <w:pStyle w:val="TableParagraph"/>
              <w:spacing w:before="3"/>
              <w:rPr>
                <w:sz w:val="18"/>
              </w:rPr>
            </w:pPr>
          </w:p>
          <w:p w:rsidR="002C50A5" w:rsidRDefault="00A447DA">
            <w:pPr>
              <w:pStyle w:val="TableParagraph"/>
              <w:ind w:left="779"/>
              <w:rPr>
                <w:b/>
                <w:sz w:val="18"/>
              </w:rPr>
            </w:pPr>
            <w:proofErr w:type="spellStart"/>
            <w:r>
              <w:rPr>
                <w:b/>
                <w:color w:val="FFFFFF"/>
                <w:spacing w:val="-5"/>
                <w:sz w:val="18"/>
              </w:rPr>
              <w:t>團體</w:t>
            </w:r>
            <w:proofErr w:type="spellEnd"/>
          </w:p>
        </w:tc>
        <w:tc>
          <w:tcPr>
            <w:tcW w:w="1497" w:type="dxa"/>
            <w:shd w:val="clear" w:color="auto" w:fill="1F4E78"/>
          </w:tcPr>
          <w:p w:rsidR="002C50A5" w:rsidRDefault="002C50A5">
            <w:pPr>
              <w:pStyle w:val="TableParagraph"/>
              <w:spacing w:before="3"/>
              <w:rPr>
                <w:sz w:val="18"/>
              </w:rPr>
            </w:pPr>
          </w:p>
          <w:p w:rsidR="002C50A5" w:rsidRDefault="00A447DA">
            <w:pPr>
              <w:pStyle w:val="TableParagraph"/>
              <w:ind w:left="780"/>
              <w:rPr>
                <w:b/>
                <w:sz w:val="18"/>
              </w:rPr>
            </w:pPr>
            <w:proofErr w:type="spellStart"/>
            <w:r>
              <w:rPr>
                <w:b/>
                <w:color w:val="FFFFFF"/>
                <w:spacing w:val="-5"/>
                <w:sz w:val="18"/>
              </w:rPr>
              <w:t>組織</w:t>
            </w:r>
            <w:proofErr w:type="spellEnd"/>
          </w:p>
        </w:tc>
        <w:tc>
          <w:tcPr>
            <w:tcW w:w="1497" w:type="dxa"/>
            <w:shd w:val="clear" w:color="auto" w:fill="1F4E78"/>
          </w:tcPr>
          <w:p w:rsidR="002C50A5" w:rsidRDefault="002C50A5">
            <w:pPr>
              <w:pStyle w:val="TableParagraph"/>
              <w:spacing w:before="3"/>
              <w:rPr>
                <w:sz w:val="18"/>
              </w:rPr>
            </w:pPr>
          </w:p>
          <w:p w:rsidR="002C50A5" w:rsidRDefault="00A447DA">
            <w:pPr>
              <w:pStyle w:val="TableParagraph"/>
              <w:ind w:left="778"/>
              <w:rPr>
                <w:b/>
                <w:sz w:val="18"/>
              </w:rPr>
            </w:pPr>
            <w:proofErr w:type="spellStart"/>
            <w:r>
              <w:rPr>
                <w:b/>
                <w:color w:val="FFFFFF"/>
                <w:spacing w:val="-5"/>
                <w:sz w:val="18"/>
              </w:rPr>
              <w:t>社會</w:t>
            </w:r>
            <w:proofErr w:type="spellEnd"/>
          </w:p>
        </w:tc>
        <w:tc>
          <w:tcPr>
            <w:tcW w:w="1495" w:type="dxa"/>
            <w:shd w:val="clear" w:color="auto" w:fill="1F4E78"/>
          </w:tcPr>
          <w:p w:rsidR="002C50A5" w:rsidRDefault="002C50A5">
            <w:pPr>
              <w:pStyle w:val="TableParagraph"/>
              <w:spacing w:before="3"/>
              <w:rPr>
                <w:sz w:val="18"/>
              </w:rPr>
            </w:pPr>
          </w:p>
          <w:p w:rsidR="002C50A5" w:rsidRDefault="00A447DA">
            <w:pPr>
              <w:pStyle w:val="TableParagraph"/>
              <w:ind w:left="779"/>
              <w:rPr>
                <w:b/>
                <w:sz w:val="18"/>
              </w:rPr>
            </w:pPr>
            <w:proofErr w:type="spellStart"/>
            <w:r>
              <w:rPr>
                <w:b/>
                <w:color w:val="FFFFFF"/>
                <w:spacing w:val="-5"/>
                <w:sz w:val="18"/>
              </w:rPr>
              <w:t>國際</w:t>
            </w:r>
            <w:proofErr w:type="spellEnd"/>
          </w:p>
        </w:tc>
      </w:tr>
      <w:tr w:rsidR="002C50A5">
        <w:trPr>
          <w:trHeight w:val="957"/>
        </w:trPr>
        <w:tc>
          <w:tcPr>
            <w:tcW w:w="1277" w:type="dxa"/>
            <w:shd w:val="clear" w:color="auto" w:fill="E1EFD9"/>
          </w:tcPr>
          <w:p w:rsidR="002C50A5" w:rsidRDefault="00A447DA">
            <w:pPr>
              <w:pStyle w:val="TableParagraph"/>
              <w:spacing w:before="167" w:line="235" w:lineRule="auto"/>
              <w:ind w:left="554" w:right="161" w:firstLine="38"/>
              <w:rPr>
                <w:b/>
                <w:sz w:val="17"/>
              </w:rPr>
            </w:pPr>
            <w:proofErr w:type="spellStart"/>
            <w:r>
              <w:rPr>
                <w:b/>
                <w:color w:val="1F2937"/>
                <w:spacing w:val="-4"/>
                <w:sz w:val="17"/>
              </w:rPr>
              <w:lastRenderedPageBreak/>
              <w:t>制度分</w:t>
            </w:r>
            <w:r>
              <w:rPr>
                <w:b/>
                <w:color w:val="1F2937"/>
                <w:spacing w:val="-10"/>
                <w:sz w:val="17"/>
              </w:rPr>
              <w:t>工</w:t>
            </w:r>
            <w:proofErr w:type="spellEnd"/>
          </w:p>
        </w:tc>
        <w:tc>
          <w:tcPr>
            <w:tcW w:w="1495" w:type="dxa"/>
            <w:shd w:val="clear" w:color="auto" w:fill="E1EFD9"/>
          </w:tcPr>
          <w:p w:rsidR="002C50A5" w:rsidRDefault="00A447DA">
            <w:pPr>
              <w:pStyle w:val="TableParagraph"/>
              <w:spacing w:before="64" w:line="237" w:lineRule="auto"/>
              <w:ind w:left="146" w:right="134" w:firstLine="434"/>
              <w:rPr>
                <w:sz w:val="15"/>
                <w:lang w:eastAsia="zh-TW"/>
              </w:rPr>
            </w:pPr>
            <w:r>
              <w:rPr>
                <w:color w:val="1F2937"/>
                <w:spacing w:val="-2"/>
                <w:sz w:val="15"/>
                <w:lang w:eastAsia="zh-TW"/>
              </w:rPr>
              <w:t>權利保障、</w:t>
            </w:r>
            <w:r>
              <w:rPr>
                <w:color w:val="1F2937"/>
                <w:spacing w:val="-4"/>
                <w:sz w:val="15"/>
                <w:lang w:eastAsia="zh-TW"/>
              </w:rPr>
              <w:t>申訴救濟、資料自</w:t>
            </w:r>
          </w:p>
          <w:p w:rsidR="002C50A5" w:rsidRDefault="00A447DA">
            <w:pPr>
              <w:pStyle w:val="TableParagraph"/>
              <w:spacing w:line="272" w:lineRule="exact"/>
              <w:ind w:left="671"/>
              <w:rPr>
                <w:sz w:val="15"/>
              </w:rPr>
            </w:pPr>
            <w:r>
              <w:rPr>
                <w:color w:val="1F2937"/>
                <w:spacing w:val="-10"/>
                <w:sz w:val="15"/>
              </w:rPr>
              <w:t>主</w:t>
            </w:r>
          </w:p>
        </w:tc>
        <w:tc>
          <w:tcPr>
            <w:tcW w:w="1497" w:type="dxa"/>
            <w:shd w:val="clear" w:color="auto" w:fill="E1EFD9"/>
          </w:tcPr>
          <w:p w:rsidR="002C50A5" w:rsidRDefault="00A447DA">
            <w:pPr>
              <w:pStyle w:val="TableParagraph"/>
              <w:spacing w:before="64" w:line="237" w:lineRule="auto"/>
              <w:ind w:left="523" w:right="148" w:firstLine="60"/>
              <w:rPr>
                <w:sz w:val="15"/>
                <w:lang w:eastAsia="zh-TW"/>
              </w:rPr>
            </w:pPr>
            <w:r>
              <w:rPr>
                <w:color w:val="1F2937"/>
                <w:spacing w:val="-2"/>
                <w:sz w:val="15"/>
                <w:lang w:eastAsia="zh-TW"/>
              </w:rPr>
              <w:t>利害關係人</w:t>
            </w:r>
            <w:r>
              <w:rPr>
                <w:color w:val="1F2937"/>
                <w:spacing w:val="-4"/>
                <w:sz w:val="15"/>
                <w:lang w:eastAsia="zh-TW"/>
              </w:rPr>
              <w:t>參與、</w:t>
            </w:r>
          </w:p>
          <w:p w:rsidR="002C50A5" w:rsidRDefault="00A447DA">
            <w:pPr>
              <w:pStyle w:val="TableParagraph"/>
              <w:spacing w:line="272" w:lineRule="exact"/>
              <w:ind w:left="448"/>
              <w:rPr>
                <w:sz w:val="15"/>
                <w:lang w:eastAsia="zh-TW"/>
              </w:rPr>
            </w:pPr>
            <w:r>
              <w:rPr>
                <w:color w:val="1F2937"/>
                <w:spacing w:val="-4"/>
                <w:sz w:val="15"/>
                <w:lang w:eastAsia="zh-TW"/>
              </w:rPr>
              <w:t>集體協商</w:t>
            </w:r>
          </w:p>
        </w:tc>
        <w:tc>
          <w:tcPr>
            <w:tcW w:w="1497" w:type="dxa"/>
            <w:shd w:val="clear" w:color="auto" w:fill="E1EFD9"/>
          </w:tcPr>
          <w:p w:rsidR="002C50A5" w:rsidRDefault="00A447DA">
            <w:pPr>
              <w:pStyle w:val="TableParagraph"/>
              <w:spacing w:before="64" w:line="237" w:lineRule="auto"/>
              <w:ind w:left="223" w:right="207" w:firstLine="436"/>
              <w:rPr>
                <w:sz w:val="15"/>
                <w:lang w:eastAsia="zh-TW"/>
              </w:rPr>
            </w:pPr>
            <w:r>
              <w:rPr>
                <w:color w:val="1F2937"/>
                <w:spacing w:val="-4"/>
                <w:sz w:val="15"/>
                <w:lang w:eastAsia="zh-TW"/>
              </w:rPr>
              <w:t>政府</w:t>
            </w:r>
            <w:proofErr w:type="gramStart"/>
            <w:r>
              <w:rPr>
                <w:rFonts w:ascii="Times New Roman" w:eastAsia="Times New Roman" w:hAnsi="Times New Roman"/>
                <w:color w:val="1F2937"/>
                <w:spacing w:val="-4"/>
                <w:sz w:val="15"/>
                <w:lang w:eastAsia="zh-TW"/>
              </w:rPr>
              <w:t>—</w:t>
            </w:r>
            <w:proofErr w:type="gramEnd"/>
            <w:r>
              <w:rPr>
                <w:color w:val="1F2937"/>
                <w:spacing w:val="-4"/>
                <w:sz w:val="15"/>
                <w:lang w:eastAsia="zh-TW"/>
              </w:rPr>
              <w:t>市</w:t>
            </w:r>
            <w:r>
              <w:rPr>
                <w:color w:val="1F2937"/>
                <w:spacing w:val="-2"/>
                <w:sz w:val="15"/>
                <w:lang w:eastAsia="zh-TW"/>
              </w:rPr>
              <w:t>場</w:t>
            </w:r>
            <w:r>
              <w:rPr>
                <w:rFonts w:ascii="Times New Roman" w:eastAsia="Times New Roman" w:hAnsi="Times New Roman"/>
                <w:color w:val="1F2937"/>
                <w:spacing w:val="-2"/>
                <w:sz w:val="15"/>
                <w:lang w:eastAsia="zh-TW"/>
              </w:rPr>
              <w:t>—</w:t>
            </w:r>
            <w:r>
              <w:rPr>
                <w:color w:val="1F2937"/>
                <w:spacing w:val="-4"/>
                <w:sz w:val="15"/>
                <w:lang w:eastAsia="zh-TW"/>
              </w:rPr>
              <w:t>平台分工、</w:t>
            </w:r>
          </w:p>
          <w:p w:rsidR="002C50A5" w:rsidRDefault="00A447DA">
            <w:pPr>
              <w:pStyle w:val="TableParagraph"/>
              <w:spacing w:line="272" w:lineRule="exact"/>
              <w:ind w:left="449"/>
              <w:rPr>
                <w:sz w:val="15"/>
              </w:rPr>
            </w:pPr>
            <w:proofErr w:type="spellStart"/>
            <w:r>
              <w:rPr>
                <w:color w:val="1F2937"/>
                <w:spacing w:val="-4"/>
                <w:sz w:val="15"/>
              </w:rPr>
              <w:t>委外課責</w:t>
            </w:r>
            <w:proofErr w:type="spellEnd"/>
          </w:p>
        </w:tc>
        <w:tc>
          <w:tcPr>
            <w:tcW w:w="1497" w:type="dxa"/>
            <w:shd w:val="clear" w:color="auto" w:fill="E1EFD9"/>
          </w:tcPr>
          <w:p w:rsidR="002C50A5" w:rsidRDefault="00A447DA">
            <w:pPr>
              <w:pStyle w:val="TableParagraph"/>
              <w:spacing w:before="202" w:line="235" w:lineRule="auto"/>
              <w:ind w:left="447" w:right="149" w:firstLine="134"/>
              <w:rPr>
                <w:sz w:val="15"/>
              </w:rPr>
            </w:pPr>
            <w:proofErr w:type="spellStart"/>
            <w:r>
              <w:rPr>
                <w:color w:val="1F2937"/>
                <w:spacing w:val="-2"/>
                <w:sz w:val="15"/>
              </w:rPr>
              <w:t>數位主權、</w:t>
            </w:r>
            <w:r>
              <w:rPr>
                <w:color w:val="1F2937"/>
                <w:spacing w:val="-4"/>
                <w:sz w:val="15"/>
              </w:rPr>
              <w:t>制度選擇</w:t>
            </w:r>
            <w:proofErr w:type="spellEnd"/>
          </w:p>
        </w:tc>
        <w:tc>
          <w:tcPr>
            <w:tcW w:w="1495" w:type="dxa"/>
            <w:shd w:val="clear" w:color="auto" w:fill="E1EFD9"/>
          </w:tcPr>
          <w:p w:rsidR="002C50A5" w:rsidRDefault="00A447DA">
            <w:pPr>
              <w:pStyle w:val="TableParagraph"/>
              <w:spacing w:before="64" w:line="237" w:lineRule="auto"/>
              <w:ind w:left="148" w:right="132" w:firstLine="434"/>
              <w:rPr>
                <w:sz w:val="15"/>
                <w:lang w:eastAsia="zh-TW"/>
              </w:rPr>
            </w:pPr>
            <w:r>
              <w:rPr>
                <w:color w:val="1F2937"/>
                <w:spacing w:val="-2"/>
                <w:sz w:val="15"/>
                <w:lang w:eastAsia="zh-TW"/>
              </w:rPr>
              <w:t>跨境平台、</w:t>
            </w:r>
            <w:r>
              <w:rPr>
                <w:color w:val="1F2937"/>
                <w:spacing w:val="-4"/>
                <w:sz w:val="15"/>
                <w:lang w:eastAsia="zh-TW"/>
              </w:rPr>
              <w:t>國際標準、規範協</w:t>
            </w:r>
          </w:p>
          <w:p w:rsidR="002C50A5" w:rsidRDefault="00A447DA">
            <w:pPr>
              <w:pStyle w:val="TableParagraph"/>
              <w:spacing w:line="272" w:lineRule="exact"/>
              <w:ind w:left="673"/>
              <w:rPr>
                <w:sz w:val="15"/>
              </w:rPr>
            </w:pPr>
            <w:r>
              <w:rPr>
                <w:color w:val="1F2937"/>
                <w:spacing w:val="-10"/>
                <w:sz w:val="15"/>
              </w:rPr>
              <w:t>調</w:t>
            </w:r>
          </w:p>
        </w:tc>
      </w:tr>
      <w:tr w:rsidR="002C50A5">
        <w:trPr>
          <w:trHeight w:val="1228"/>
        </w:trPr>
        <w:tc>
          <w:tcPr>
            <w:tcW w:w="1277" w:type="dxa"/>
            <w:shd w:val="clear" w:color="auto" w:fill="FFF1CC"/>
          </w:tcPr>
          <w:p w:rsidR="002C50A5" w:rsidRDefault="00A447DA">
            <w:pPr>
              <w:pStyle w:val="TableParagraph"/>
              <w:spacing w:before="299" w:line="237" w:lineRule="auto"/>
              <w:ind w:left="554" w:right="161" w:firstLine="38"/>
              <w:rPr>
                <w:b/>
                <w:sz w:val="17"/>
              </w:rPr>
            </w:pPr>
            <w:proofErr w:type="spellStart"/>
            <w:r>
              <w:rPr>
                <w:b/>
                <w:color w:val="1F2937"/>
                <w:spacing w:val="-4"/>
                <w:sz w:val="17"/>
              </w:rPr>
              <w:t>政策體</w:t>
            </w:r>
            <w:r>
              <w:rPr>
                <w:b/>
                <w:color w:val="1F2937"/>
                <w:spacing w:val="-10"/>
                <w:sz w:val="17"/>
              </w:rPr>
              <w:t>系</w:t>
            </w:r>
            <w:proofErr w:type="spellEnd"/>
          </w:p>
        </w:tc>
        <w:tc>
          <w:tcPr>
            <w:tcW w:w="1495" w:type="dxa"/>
            <w:shd w:val="clear" w:color="auto" w:fill="FFF1CC"/>
          </w:tcPr>
          <w:p w:rsidR="002C50A5" w:rsidRDefault="00A447DA">
            <w:pPr>
              <w:pStyle w:val="TableParagraph"/>
              <w:spacing w:before="64" w:line="237" w:lineRule="auto"/>
              <w:ind w:left="597" w:right="223" w:firstLine="60"/>
              <w:rPr>
                <w:sz w:val="15"/>
                <w:lang w:eastAsia="zh-TW"/>
              </w:rPr>
            </w:pPr>
            <w:r>
              <w:rPr>
                <w:color w:val="1F2937"/>
                <w:spacing w:val="-4"/>
                <w:sz w:val="15"/>
                <w:lang w:eastAsia="zh-TW"/>
              </w:rPr>
              <w:t>演算法裁</w:t>
            </w:r>
            <w:r>
              <w:rPr>
                <w:color w:val="1F2937"/>
                <w:spacing w:val="-6"/>
                <w:sz w:val="15"/>
                <w:lang w:eastAsia="zh-TW"/>
              </w:rPr>
              <w:t>量、</w:t>
            </w:r>
          </w:p>
          <w:p w:rsidR="002C50A5" w:rsidRDefault="00A447DA">
            <w:pPr>
              <w:pStyle w:val="TableParagraph"/>
              <w:spacing w:line="237" w:lineRule="auto"/>
              <w:ind w:left="671" w:right="134" w:hanging="526"/>
              <w:rPr>
                <w:sz w:val="15"/>
                <w:lang w:eastAsia="zh-TW"/>
              </w:rPr>
            </w:pPr>
            <w:r>
              <w:rPr>
                <w:color w:val="1F2937"/>
                <w:spacing w:val="-2"/>
                <w:sz w:val="15"/>
                <w:lang w:eastAsia="zh-TW"/>
              </w:rPr>
              <w:t>資格認定、個案影</w:t>
            </w:r>
            <w:r>
              <w:rPr>
                <w:color w:val="1F2937"/>
                <w:spacing w:val="-10"/>
                <w:sz w:val="15"/>
                <w:lang w:eastAsia="zh-TW"/>
              </w:rPr>
              <w:t>響</w:t>
            </w:r>
          </w:p>
        </w:tc>
        <w:tc>
          <w:tcPr>
            <w:tcW w:w="1497" w:type="dxa"/>
            <w:shd w:val="clear" w:color="auto" w:fill="FFF1CC"/>
          </w:tcPr>
          <w:p w:rsidR="002C50A5" w:rsidRDefault="00A447DA">
            <w:pPr>
              <w:pStyle w:val="TableParagraph"/>
              <w:spacing w:before="202" w:line="235" w:lineRule="auto"/>
              <w:ind w:left="148" w:right="133" w:firstLine="434"/>
              <w:rPr>
                <w:sz w:val="15"/>
                <w:lang w:eastAsia="zh-TW"/>
              </w:rPr>
            </w:pPr>
            <w:r>
              <w:rPr>
                <w:color w:val="1F2937"/>
                <w:spacing w:val="-2"/>
                <w:sz w:val="15"/>
                <w:lang w:eastAsia="zh-TW"/>
              </w:rPr>
              <w:t>風險分類、</w:t>
            </w:r>
            <w:r>
              <w:rPr>
                <w:color w:val="1F2937"/>
                <w:spacing w:val="-4"/>
                <w:sz w:val="15"/>
                <w:lang w:eastAsia="zh-TW"/>
              </w:rPr>
              <w:t>群體影響、政策代</w:t>
            </w:r>
          </w:p>
          <w:p w:rsidR="002C50A5" w:rsidRDefault="00A447DA">
            <w:pPr>
              <w:pStyle w:val="TableParagraph"/>
              <w:spacing w:before="1"/>
              <w:ind w:left="599"/>
              <w:rPr>
                <w:sz w:val="15"/>
              </w:rPr>
            </w:pPr>
            <w:proofErr w:type="spellStart"/>
            <w:r>
              <w:rPr>
                <w:color w:val="1F2937"/>
                <w:spacing w:val="-5"/>
                <w:sz w:val="15"/>
              </w:rPr>
              <w:t>表性</w:t>
            </w:r>
            <w:proofErr w:type="spellEnd"/>
          </w:p>
        </w:tc>
        <w:tc>
          <w:tcPr>
            <w:tcW w:w="1497" w:type="dxa"/>
            <w:shd w:val="clear" w:color="auto" w:fill="FFF1CC"/>
          </w:tcPr>
          <w:p w:rsidR="002C50A5" w:rsidRDefault="00A447DA">
            <w:pPr>
              <w:pStyle w:val="TableParagraph"/>
              <w:spacing w:before="64" w:line="237" w:lineRule="auto"/>
              <w:ind w:left="600" w:right="203" w:firstLine="40"/>
              <w:rPr>
                <w:sz w:val="15"/>
                <w:lang w:eastAsia="zh-TW"/>
              </w:rPr>
            </w:pPr>
            <w:r>
              <w:rPr>
                <w:rFonts w:ascii="Times New Roman" w:eastAsia="Times New Roman"/>
                <w:color w:val="1F2937"/>
                <w:spacing w:val="-2"/>
                <w:sz w:val="15"/>
                <w:lang w:eastAsia="zh-TW"/>
              </w:rPr>
              <w:t>AI</w:t>
            </w:r>
            <w:r>
              <w:rPr>
                <w:rFonts w:ascii="Times New Roman" w:eastAsia="Times New Roman"/>
                <w:color w:val="1F2937"/>
                <w:spacing w:val="-9"/>
                <w:sz w:val="15"/>
                <w:lang w:eastAsia="zh-TW"/>
              </w:rPr>
              <w:t xml:space="preserve"> </w:t>
            </w:r>
            <w:r>
              <w:rPr>
                <w:color w:val="1F2937"/>
                <w:spacing w:val="-2"/>
                <w:sz w:val="15"/>
                <w:lang w:eastAsia="zh-TW"/>
              </w:rPr>
              <w:t>決策支</w:t>
            </w:r>
            <w:r>
              <w:rPr>
                <w:color w:val="1F2937"/>
                <w:spacing w:val="-6"/>
                <w:sz w:val="15"/>
                <w:lang w:eastAsia="zh-TW"/>
              </w:rPr>
              <w:t>援、</w:t>
            </w:r>
          </w:p>
          <w:p w:rsidR="002C50A5" w:rsidRDefault="00A447DA">
            <w:pPr>
              <w:pStyle w:val="TableParagraph"/>
              <w:spacing w:line="237" w:lineRule="auto"/>
              <w:ind w:left="449" w:right="133" w:hanging="300"/>
              <w:rPr>
                <w:sz w:val="15"/>
                <w:lang w:eastAsia="zh-TW"/>
              </w:rPr>
            </w:pPr>
            <w:r>
              <w:rPr>
                <w:color w:val="1F2937"/>
                <w:spacing w:val="-2"/>
                <w:sz w:val="15"/>
                <w:lang w:eastAsia="zh-TW"/>
              </w:rPr>
              <w:t>政策形成與執行、</w:t>
            </w:r>
            <w:r>
              <w:rPr>
                <w:color w:val="1F2937"/>
                <w:spacing w:val="-4"/>
                <w:sz w:val="15"/>
                <w:lang w:eastAsia="zh-TW"/>
              </w:rPr>
              <w:t>理由形成</w:t>
            </w:r>
          </w:p>
        </w:tc>
        <w:tc>
          <w:tcPr>
            <w:tcW w:w="1497" w:type="dxa"/>
            <w:shd w:val="clear" w:color="auto" w:fill="FFF1CC"/>
          </w:tcPr>
          <w:p w:rsidR="002C50A5" w:rsidRDefault="00A447DA">
            <w:pPr>
              <w:pStyle w:val="TableParagraph"/>
              <w:spacing w:before="202" w:line="235" w:lineRule="auto"/>
              <w:ind w:left="147" w:right="135" w:firstLine="434"/>
              <w:rPr>
                <w:sz w:val="15"/>
                <w:lang w:eastAsia="zh-TW"/>
              </w:rPr>
            </w:pPr>
            <w:r>
              <w:rPr>
                <w:color w:val="1F2937"/>
                <w:spacing w:val="-2"/>
                <w:sz w:val="15"/>
                <w:lang w:eastAsia="zh-TW"/>
              </w:rPr>
              <w:t>資源配置、</w:t>
            </w:r>
            <w:r>
              <w:rPr>
                <w:color w:val="1F2937"/>
                <w:spacing w:val="-4"/>
                <w:sz w:val="15"/>
                <w:lang w:eastAsia="zh-TW"/>
              </w:rPr>
              <w:t>政策回饋、程式化</w:t>
            </w:r>
          </w:p>
          <w:p w:rsidR="002C50A5" w:rsidRDefault="00A447DA">
            <w:pPr>
              <w:pStyle w:val="TableParagraph"/>
              <w:spacing w:before="1"/>
              <w:ind w:left="598"/>
              <w:rPr>
                <w:sz w:val="15"/>
              </w:rPr>
            </w:pPr>
            <w:proofErr w:type="spellStart"/>
            <w:r>
              <w:rPr>
                <w:color w:val="1F2937"/>
                <w:spacing w:val="-5"/>
                <w:sz w:val="15"/>
              </w:rPr>
              <w:t>給付</w:t>
            </w:r>
            <w:proofErr w:type="spellEnd"/>
          </w:p>
        </w:tc>
        <w:tc>
          <w:tcPr>
            <w:tcW w:w="1495" w:type="dxa"/>
            <w:shd w:val="clear" w:color="auto" w:fill="FFF1CC"/>
          </w:tcPr>
          <w:p w:rsidR="002C50A5" w:rsidRDefault="00A447DA">
            <w:pPr>
              <w:pStyle w:val="TableParagraph"/>
              <w:spacing w:before="64" w:line="237" w:lineRule="auto"/>
              <w:ind w:left="599" w:right="148" w:hanging="17"/>
              <w:rPr>
                <w:sz w:val="15"/>
                <w:lang w:eastAsia="zh-TW"/>
              </w:rPr>
            </w:pPr>
            <w:r>
              <w:rPr>
                <w:color w:val="1F2937"/>
                <w:spacing w:val="-2"/>
                <w:sz w:val="15"/>
                <w:lang w:eastAsia="zh-TW"/>
              </w:rPr>
              <w:t>跨國政策學</w:t>
            </w:r>
            <w:r>
              <w:rPr>
                <w:color w:val="1F2937"/>
                <w:spacing w:val="-6"/>
                <w:sz w:val="15"/>
                <w:lang w:eastAsia="zh-TW"/>
              </w:rPr>
              <w:t>習、</w:t>
            </w:r>
          </w:p>
          <w:p w:rsidR="002C50A5" w:rsidRDefault="00A447DA">
            <w:pPr>
              <w:pStyle w:val="TableParagraph"/>
              <w:spacing w:line="237" w:lineRule="auto"/>
              <w:ind w:left="673" w:right="132" w:hanging="526"/>
              <w:rPr>
                <w:sz w:val="15"/>
                <w:lang w:eastAsia="zh-TW"/>
              </w:rPr>
            </w:pPr>
            <w:r>
              <w:rPr>
                <w:color w:val="1F2937"/>
                <w:spacing w:val="-2"/>
                <w:sz w:val="15"/>
                <w:lang w:eastAsia="zh-TW"/>
              </w:rPr>
              <w:t>資料治理、政策擴</w:t>
            </w:r>
            <w:r>
              <w:rPr>
                <w:color w:val="1F2937"/>
                <w:spacing w:val="-10"/>
                <w:sz w:val="15"/>
                <w:lang w:eastAsia="zh-TW"/>
              </w:rPr>
              <w:t>散</w:t>
            </w:r>
          </w:p>
        </w:tc>
      </w:tr>
      <w:tr w:rsidR="002C50A5">
        <w:trPr>
          <w:trHeight w:val="1230"/>
        </w:trPr>
        <w:tc>
          <w:tcPr>
            <w:tcW w:w="1277" w:type="dxa"/>
            <w:shd w:val="clear" w:color="auto" w:fill="E3DFEB"/>
          </w:tcPr>
          <w:p w:rsidR="002C50A5" w:rsidRDefault="00A447DA">
            <w:pPr>
              <w:pStyle w:val="TableParagraph"/>
              <w:spacing w:before="301" w:line="237" w:lineRule="auto"/>
              <w:ind w:left="554" w:right="161" w:firstLine="38"/>
              <w:rPr>
                <w:b/>
                <w:sz w:val="17"/>
              </w:rPr>
            </w:pPr>
            <w:proofErr w:type="spellStart"/>
            <w:r>
              <w:rPr>
                <w:b/>
                <w:color w:val="1F2937"/>
                <w:spacing w:val="-4"/>
                <w:sz w:val="17"/>
              </w:rPr>
              <w:t>組織設</w:t>
            </w:r>
            <w:r>
              <w:rPr>
                <w:b/>
                <w:color w:val="1F2937"/>
                <w:spacing w:val="-10"/>
                <w:sz w:val="17"/>
              </w:rPr>
              <w:t>計</w:t>
            </w:r>
            <w:proofErr w:type="spellEnd"/>
          </w:p>
        </w:tc>
        <w:tc>
          <w:tcPr>
            <w:tcW w:w="1495" w:type="dxa"/>
            <w:shd w:val="clear" w:color="auto" w:fill="E3DFEB"/>
          </w:tcPr>
          <w:p w:rsidR="002C50A5" w:rsidRDefault="00A447DA">
            <w:pPr>
              <w:pStyle w:val="TableParagraph"/>
              <w:spacing w:before="200" w:line="237" w:lineRule="auto"/>
              <w:ind w:left="146" w:right="134" w:firstLine="434"/>
              <w:rPr>
                <w:sz w:val="15"/>
                <w:lang w:eastAsia="zh-TW"/>
              </w:rPr>
            </w:pPr>
            <w:r>
              <w:rPr>
                <w:color w:val="1F2937"/>
                <w:spacing w:val="-2"/>
                <w:sz w:val="15"/>
                <w:lang w:eastAsia="zh-TW"/>
              </w:rPr>
              <w:t>人工覆核、</w:t>
            </w:r>
            <w:r>
              <w:rPr>
                <w:color w:val="1F2937"/>
                <w:spacing w:val="-4"/>
                <w:sz w:val="15"/>
                <w:lang w:eastAsia="zh-TW"/>
              </w:rPr>
              <w:t>申訴窗口、例外處</w:t>
            </w:r>
          </w:p>
          <w:p w:rsidR="002C50A5" w:rsidRDefault="00A447DA">
            <w:pPr>
              <w:pStyle w:val="TableParagraph"/>
              <w:spacing w:line="272" w:lineRule="exact"/>
              <w:ind w:left="671"/>
              <w:rPr>
                <w:sz w:val="15"/>
              </w:rPr>
            </w:pPr>
            <w:r>
              <w:rPr>
                <w:color w:val="1F2937"/>
                <w:spacing w:val="-10"/>
                <w:sz w:val="15"/>
              </w:rPr>
              <w:t>理</w:t>
            </w:r>
          </w:p>
        </w:tc>
        <w:tc>
          <w:tcPr>
            <w:tcW w:w="1497" w:type="dxa"/>
            <w:shd w:val="clear" w:color="auto" w:fill="E3DFEB"/>
          </w:tcPr>
          <w:p w:rsidR="002C50A5" w:rsidRDefault="00A447DA">
            <w:pPr>
              <w:pStyle w:val="TableParagraph"/>
              <w:spacing w:before="200" w:line="237" w:lineRule="auto"/>
              <w:ind w:left="148" w:right="133" w:firstLine="434"/>
              <w:rPr>
                <w:sz w:val="15"/>
                <w:lang w:eastAsia="zh-TW"/>
              </w:rPr>
            </w:pPr>
            <w:r>
              <w:rPr>
                <w:color w:val="1F2937"/>
                <w:spacing w:val="-2"/>
                <w:sz w:val="15"/>
                <w:lang w:eastAsia="zh-TW"/>
              </w:rPr>
              <w:t>共同生產、</w:t>
            </w:r>
            <w:r>
              <w:rPr>
                <w:color w:val="1F2937"/>
                <w:spacing w:val="-4"/>
                <w:sz w:val="15"/>
                <w:lang w:eastAsia="zh-TW"/>
              </w:rPr>
              <w:t>公民參與、團體監</w:t>
            </w:r>
          </w:p>
          <w:p w:rsidR="002C50A5" w:rsidRDefault="00A447DA">
            <w:pPr>
              <w:pStyle w:val="TableParagraph"/>
              <w:spacing w:line="272" w:lineRule="exact"/>
              <w:ind w:left="674"/>
              <w:rPr>
                <w:sz w:val="15"/>
              </w:rPr>
            </w:pPr>
            <w:r>
              <w:rPr>
                <w:color w:val="1F2937"/>
                <w:spacing w:val="-10"/>
                <w:sz w:val="15"/>
              </w:rPr>
              <w:t>督</w:t>
            </w:r>
          </w:p>
        </w:tc>
        <w:tc>
          <w:tcPr>
            <w:tcW w:w="1497" w:type="dxa"/>
            <w:shd w:val="clear" w:color="auto" w:fill="E3DFEB"/>
          </w:tcPr>
          <w:p w:rsidR="002C50A5" w:rsidRDefault="00A447DA">
            <w:pPr>
              <w:pStyle w:val="TableParagraph"/>
              <w:spacing w:before="68" w:line="235" w:lineRule="auto"/>
              <w:ind w:left="600" w:right="147" w:hanging="17"/>
              <w:rPr>
                <w:sz w:val="15"/>
                <w:lang w:eastAsia="zh-TW"/>
              </w:rPr>
            </w:pPr>
            <w:r>
              <w:rPr>
                <w:color w:val="1F2937"/>
                <w:spacing w:val="-2"/>
                <w:sz w:val="15"/>
                <w:lang w:eastAsia="zh-TW"/>
              </w:rPr>
              <w:t>人機權責配</w:t>
            </w:r>
            <w:r>
              <w:rPr>
                <w:color w:val="1F2937"/>
                <w:spacing w:val="-6"/>
                <w:sz w:val="15"/>
                <w:lang w:eastAsia="zh-TW"/>
              </w:rPr>
              <w:t>置、</w:t>
            </w:r>
          </w:p>
          <w:p w:rsidR="002C50A5" w:rsidRDefault="00A447DA">
            <w:pPr>
              <w:pStyle w:val="TableParagraph"/>
              <w:spacing w:before="4" w:line="235" w:lineRule="auto"/>
              <w:ind w:left="600" w:right="133" w:hanging="452"/>
              <w:rPr>
                <w:sz w:val="15"/>
                <w:lang w:eastAsia="zh-TW"/>
              </w:rPr>
            </w:pPr>
            <w:r>
              <w:rPr>
                <w:color w:val="1F2937"/>
                <w:spacing w:val="-2"/>
                <w:sz w:val="15"/>
                <w:lang w:eastAsia="zh-TW"/>
              </w:rPr>
              <w:t>職務重整、責任鏈</w:t>
            </w:r>
            <w:r>
              <w:rPr>
                <w:color w:val="1F2937"/>
                <w:spacing w:val="-6"/>
                <w:sz w:val="15"/>
                <w:lang w:eastAsia="zh-TW"/>
              </w:rPr>
              <w:t>設計</w:t>
            </w:r>
          </w:p>
        </w:tc>
        <w:tc>
          <w:tcPr>
            <w:tcW w:w="1497" w:type="dxa"/>
            <w:shd w:val="clear" w:color="auto" w:fill="E3DFEB"/>
          </w:tcPr>
          <w:p w:rsidR="002C50A5" w:rsidRDefault="00A447DA">
            <w:pPr>
              <w:pStyle w:val="TableParagraph"/>
              <w:spacing w:before="68" w:line="235" w:lineRule="auto"/>
              <w:ind w:left="598" w:right="225" w:firstLine="60"/>
              <w:rPr>
                <w:sz w:val="15"/>
                <w:lang w:eastAsia="zh-TW"/>
              </w:rPr>
            </w:pPr>
            <w:r>
              <w:rPr>
                <w:color w:val="1F2937"/>
                <w:spacing w:val="-4"/>
                <w:sz w:val="15"/>
                <w:lang w:eastAsia="zh-TW"/>
              </w:rPr>
              <w:t>跨機關網</w:t>
            </w:r>
            <w:r>
              <w:rPr>
                <w:color w:val="1F2937"/>
                <w:spacing w:val="-6"/>
                <w:sz w:val="15"/>
                <w:lang w:eastAsia="zh-TW"/>
              </w:rPr>
              <w:t>絡、</w:t>
            </w:r>
          </w:p>
          <w:p w:rsidR="002C50A5" w:rsidRDefault="00A447DA">
            <w:pPr>
              <w:pStyle w:val="TableParagraph"/>
              <w:spacing w:before="4" w:line="235" w:lineRule="auto"/>
              <w:ind w:left="673" w:right="135" w:hanging="526"/>
              <w:rPr>
                <w:sz w:val="15"/>
                <w:lang w:eastAsia="zh-TW"/>
              </w:rPr>
            </w:pPr>
            <w:r>
              <w:rPr>
                <w:color w:val="1F2937"/>
                <w:spacing w:val="-2"/>
                <w:sz w:val="15"/>
                <w:lang w:eastAsia="zh-TW"/>
              </w:rPr>
              <w:t>協力治理、公共監</w:t>
            </w:r>
            <w:r>
              <w:rPr>
                <w:color w:val="1F2937"/>
                <w:spacing w:val="-10"/>
                <w:sz w:val="15"/>
                <w:lang w:eastAsia="zh-TW"/>
              </w:rPr>
              <w:t>督</w:t>
            </w:r>
          </w:p>
        </w:tc>
        <w:tc>
          <w:tcPr>
            <w:tcW w:w="1495" w:type="dxa"/>
            <w:shd w:val="clear" w:color="auto" w:fill="E3DFEB"/>
          </w:tcPr>
          <w:p w:rsidR="002C50A5" w:rsidRDefault="00A447DA">
            <w:pPr>
              <w:pStyle w:val="TableParagraph"/>
              <w:spacing w:before="200" w:line="237" w:lineRule="auto"/>
              <w:ind w:left="148" w:right="132" w:firstLine="434"/>
              <w:rPr>
                <w:sz w:val="15"/>
                <w:lang w:eastAsia="zh-TW"/>
              </w:rPr>
            </w:pPr>
            <w:r>
              <w:rPr>
                <w:color w:val="1F2937"/>
                <w:spacing w:val="-2"/>
                <w:sz w:val="15"/>
                <w:lang w:eastAsia="zh-TW"/>
              </w:rPr>
              <w:t>跨國協作、</w:t>
            </w:r>
            <w:r>
              <w:rPr>
                <w:color w:val="1F2937"/>
                <w:spacing w:val="-4"/>
                <w:sz w:val="15"/>
                <w:lang w:eastAsia="zh-TW"/>
              </w:rPr>
              <w:t>技術供應鏈、聯合</w:t>
            </w:r>
          </w:p>
          <w:p w:rsidR="002C50A5" w:rsidRDefault="00A447DA">
            <w:pPr>
              <w:pStyle w:val="TableParagraph"/>
              <w:spacing w:line="272" w:lineRule="exact"/>
              <w:ind w:left="599"/>
              <w:rPr>
                <w:sz w:val="15"/>
              </w:rPr>
            </w:pPr>
            <w:proofErr w:type="spellStart"/>
            <w:r>
              <w:rPr>
                <w:color w:val="1F2937"/>
                <w:spacing w:val="-5"/>
                <w:sz w:val="15"/>
              </w:rPr>
              <w:t>監理</w:t>
            </w:r>
            <w:proofErr w:type="spellEnd"/>
          </w:p>
        </w:tc>
      </w:tr>
      <w:tr w:rsidR="002C50A5">
        <w:trPr>
          <w:trHeight w:val="1228"/>
        </w:trPr>
        <w:tc>
          <w:tcPr>
            <w:tcW w:w="1277" w:type="dxa"/>
            <w:shd w:val="clear" w:color="auto" w:fill="DDEBF7"/>
          </w:tcPr>
          <w:p w:rsidR="002C50A5" w:rsidRDefault="00A447DA">
            <w:pPr>
              <w:pStyle w:val="TableParagraph"/>
              <w:spacing w:before="299" w:line="237" w:lineRule="auto"/>
              <w:ind w:left="554" w:right="161" w:firstLine="38"/>
              <w:rPr>
                <w:b/>
                <w:sz w:val="17"/>
              </w:rPr>
            </w:pPr>
            <w:proofErr w:type="spellStart"/>
            <w:r>
              <w:rPr>
                <w:b/>
                <w:color w:val="1F2937"/>
                <w:spacing w:val="-4"/>
                <w:sz w:val="17"/>
              </w:rPr>
              <w:t>管理運</w:t>
            </w:r>
            <w:r>
              <w:rPr>
                <w:b/>
                <w:color w:val="1F2937"/>
                <w:spacing w:val="-10"/>
                <w:sz w:val="17"/>
              </w:rPr>
              <w:t>作</w:t>
            </w:r>
            <w:proofErr w:type="spellEnd"/>
          </w:p>
        </w:tc>
        <w:tc>
          <w:tcPr>
            <w:tcW w:w="1495" w:type="dxa"/>
            <w:shd w:val="clear" w:color="auto" w:fill="DDEBF7"/>
          </w:tcPr>
          <w:p w:rsidR="002C50A5" w:rsidRDefault="00A447DA">
            <w:pPr>
              <w:pStyle w:val="TableParagraph"/>
              <w:spacing w:before="202" w:line="235" w:lineRule="auto"/>
              <w:ind w:left="146" w:right="134" w:firstLine="434"/>
              <w:rPr>
                <w:sz w:val="15"/>
                <w:lang w:eastAsia="zh-TW"/>
              </w:rPr>
            </w:pPr>
            <w:r>
              <w:rPr>
                <w:color w:val="1F2937"/>
                <w:spacing w:val="-2"/>
                <w:sz w:val="15"/>
                <w:lang w:eastAsia="zh-TW"/>
              </w:rPr>
              <w:t>數位服務、</w:t>
            </w:r>
            <w:r>
              <w:rPr>
                <w:color w:val="1F2937"/>
                <w:spacing w:val="-4"/>
                <w:sz w:val="15"/>
                <w:lang w:eastAsia="zh-TW"/>
              </w:rPr>
              <w:t>個案處理、人機互</w:t>
            </w:r>
          </w:p>
          <w:p w:rsidR="002C50A5" w:rsidRDefault="00A447DA">
            <w:pPr>
              <w:pStyle w:val="TableParagraph"/>
              <w:spacing w:before="1"/>
              <w:ind w:left="671"/>
              <w:rPr>
                <w:sz w:val="15"/>
              </w:rPr>
            </w:pPr>
            <w:r>
              <w:rPr>
                <w:color w:val="1F2937"/>
                <w:spacing w:val="-10"/>
                <w:sz w:val="15"/>
              </w:rPr>
              <w:t>動</w:t>
            </w:r>
          </w:p>
        </w:tc>
        <w:tc>
          <w:tcPr>
            <w:tcW w:w="1497" w:type="dxa"/>
            <w:shd w:val="clear" w:color="auto" w:fill="DDEBF7"/>
          </w:tcPr>
          <w:p w:rsidR="002C50A5" w:rsidRDefault="00A447DA">
            <w:pPr>
              <w:pStyle w:val="TableParagraph"/>
              <w:spacing w:before="202" w:line="235" w:lineRule="auto"/>
              <w:ind w:left="148" w:right="133" w:firstLine="434"/>
              <w:rPr>
                <w:sz w:val="15"/>
                <w:lang w:eastAsia="zh-TW"/>
              </w:rPr>
            </w:pPr>
            <w:r>
              <w:rPr>
                <w:color w:val="1F2937"/>
                <w:spacing w:val="-2"/>
                <w:sz w:val="15"/>
                <w:lang w:eastAsia="zh-TW"/>
              </w:rPr>
              <w:t>群體辨識、</w:t>
            </w:r>
            <w:r>
              <w:rPr>
                <w:color w:val="1F2937"/>
                <w:spacing w:val="-4"/>
                <w:sz w:val="15"/>
                <w:lang w:eastAsia="zh-TW"/>
              </w:rPr>
              <w:t>差異化服務、偏誤</w:t>
            </w:r>
          </w:p>
          <w:p w:rsidR="002C50A5" w:rsidRDefault="00A447DA">
            <w:pPr>
              <w:pStyle w:val="TableParagraph"/>
              <w:spacing w:before="1"/>
              <w:ind w:left="599"/>
              <w:rPr>
                <w:sz w:val="15"/>
              </w:rPr>
            </w:pPr>
            <w:proofErr w:type="spellStart"/>
            <w:r>
              <w:rPr>
                <w:color w:val="1F2937"/>
                <w:spacing w:val="-5"/>
                <w:sz w:val="15"/>
              </w:rPr>
              <w:t>監測</w:t>
            </w:r>
            <w:proofErr w:type="spellEnd"/>
          </w:p>
        </w:tc>
        <w:tc>
          <w:tcPr>
            <w:tcW w:w="1497" w:type="dxa"/>
            <w:shd w:val="clear" w:color="auto" w:fill="DDEBF7"/>
          </w:tcPr>
          <w:p w:rsidR="002C50A5" w:rsidRDefault="00A447DA">
            <w:pPr>
              <w:pStyle w:val="TableParagraph"/>
              <w:spacing w:before="62" w:line="275" w:lineRule="exact"/>
              <w:ind w:left="433"/>
              <w:jc w:val="center"/>
              <w:rPr>
                <w:sz w:val="15"/>
                <w:lang w:eastAsia="zh-TW"/>
              </w:rPr>
            </w:pPr>
            <w:r>
              <w:rPr>
                <w:color w:val="1F2937"/>
                <w:spacing w:val="-4"/>
                <w:sz w:val="15"/>
                <w:lang w:eastAsia="zh-TW"/>
              </w:rPr>
              <w:t>策略／人事</w:t>
            </w:r>
          </w:p>
          <w:p w:rsidR="002C50A5" w:rsidRDefault="00A447DA">
            <w:pPr>
              <w:pStyle w:val="TableParagraph"/>
              <w:spacing w:line="272" w:lineRule="exact"/>
              <w:ind w:left="13"/>
              <w:jc w:val="center"/>
              <w:rPr>
                <w:sz w:val="15"/>
                <w:lang w:eastAsia="zh-TW"/>
              </w:rPr>
            </w:pPr>
            <w:r>
              <w:rPr>
                <w:color w:val="1F2937"/>
                <w:spacing w:val="-4"/>
                <w:sz w:val="15"/>
                <w:lang w:eastAsia="zh-TW"/>
              </w:rPr>
              <w:t>／財務、</w:t>
            </w:r>
          </w:p>
          <w:p w:rsidR="002C50A5" w:rsidRDefault="00A447DA">
            <w:pPr>
              <w:pStyle w:val="TableParagraph"/>
              <w:spacing w:line="237" w:lineRule="auto"/>
              <w:ind w:left="149" w:right="133"/>
              <w:jc w:val="center"/>
              <w:rPr>
                <w:sz w:val="15"/>
                <w:lang w:eastAsia="zh-TW"/>
              </w:rPr>
            </w:pPr>
            <w:r>
              <w:rPr>
                <w:color w:val="1F2937"/>
                <w:spacing w:val="-2"/>
                <w:sz w:val="15"/>
                <w:lang w:eastAsia="zh-TW"/>
              </w:rPr>
              <w:t>績效管理、流程自</w:t>
            </w:r>
            <w:r>
              <w:rPr>
                <w:color w:val="1F2937"/>
                <w:spacing w:val="-6"/>
                <w:sz w:val="15"/>
                <w:lang w:eastAsia="zh-TW"/>
              </w:rPr>
              <w:t>動化</w:t>
            </w:r>
          </w:p>
        </w:tc>
        <w:tc>
          <w:tcPr>
            <w:tcW w:w="1497" w:type="dxa"/>
            <w:shd w:val="clear" w:color="auto" w:fill="DDEBF7"/>
          </w:tcPr>
          <w:p w:rsidR="002C50A5" w:rsidRDefault="00A447DA">
            <w:pPr>
              <w:pStyle w:val="TableParagraph"/>
              <w:spacing w:before="64" w:line="237" w:lineRule="auto"/>
              <w:ind w:left="598" w:right="149" w:hanging="17"/>
              <w:rPr>
                <w:sz w:val="15"/>
                <w:lang w:eastAsia="zh-TW"/>
              </w:rPr>
            </w:pPr>
            <w:r>
              <w:rPr>
                <w:color w:val="1F2937"/>
                <w:spacing w:val="-2"/>
                <w:sz w:val="15"/>
                <w:lang w:eastAsia="zh-TW"/>
              </w:rPr>
              <w:t>自動公共服</w:t>
            </w:r>
            <w:r>
              <w:rPr>
                <w:color w:val="1F2937"/>
                <w:spacing w:val="-6"/>
                <w:sz w:val="15"/>
                <w:lang w:eastAsia="zh-TW"/>
              </w:rPr>
              <w:t>務、</w:t>
            </w:r>
          </w:p>
          <w:p w:rsidR="002C50A5" w:rsidRDefault="00A447DA">
            <w:pPr>
              <w:pStyle w:val="TableParagraph"/>
              <w:spacing w:line="237" w:lineRule="auto"/>
              <w:ind w:left="673" w:right="135" w:hanging="526"/>
              <w:rPr>
                <w:sz w:val="15"/>
                <w:lang w:eastAsia="zh-TW"/>
              </w:rPr>
            </w:pPr>
            <w:r>
              <w:rPr>
                <w:color w:val="1F2937"/>
                <w:spacing w:val="-2"/>
                <w:sz w:val="15"/>
                <w:lang w:eastAsia="zh-TW"/>
              </w:rPr>
              <w:t>危機預測、社會韌</w:t>
            </w:r>
            <w:r>
              <w:rPr>
                <w:color w:val="1F2937"/>
                <w:spacing w:val="-10"/>
                <w:sz w:val="15"/>
                <w:lang w:eastAsia="zh-TW"/>
              </w:rPr>
              <w:t>性</w:t>
            </w:r>
          </w:p>
        </w:tc>
        <w:tc>
          <w:tcPr>
            <w:tcW w:w="1495" w:type="dxa"/>
            <w:shd w:val="clear" w:color="auto" w:fill="DDEBF7"/>
          </w:tcPr>
          <w:p w:rsidR="002C50A5" w:rsidRDefault="00A447DA">
            <w:pPr>
              <w:pStyle w:val="TableParagraph"/>
              <w:spacing w:before="64" w:line="237" w:lineRule="auto"/>
              <w:ind w:left="599" w:right="221" w:firstLine="60"/>
              <w:rPr>
                <w:sz w:val="15"/>
                <w:lang w:eastAsia="zh-TW"/>
              </w:rPr>
            </w:pPr>
            <w:r>
              <w:rPr>
                <w:color w:val="1F2937"/>
                <w:spacing w:val="-4"/>
                <w:sz w:val="15"/>
                <w:lang w:eastAsia="zh-TW"/>
              </w:rPr>
              <w:t>跨境資料</w:t>
            </w:r>
            <w:r>
              <w:rPr>
                <w:color w:val="1F2937"/>
                <w:spacing w:val="-6"/>
                <w:sz w:val="15"/>
                <w:lang w:eastAsia="zh-TW"/>
              </w:rPr>
              <w:t>流、</w:t>
            </w:r>
          </w:p>
          <w:p w:rsidR="002C50A5" w:rsidRDefault="00A447DA">
            <w:pPr>
              <w:pStyle w:val="TableParagraph"/>
              <w:spacing w:line="237" w:lineRule="auto"/>
              <w:ind w:left="599" w:right="113" w:hanging="471"/>
              <w:rPr>
                <w:sz w:val="15"/>
                <w:lang w:eastAsia="zh-TW"/>
              </w:rPr>
            </w:pPr>
            <w:r>
              <w:rPr>
                <w:rFonts w:ascii="Times New Roman" w:eastAsia="Times New Roman"/>
                <w:color w:val="1F2937"/>
                <w:spacing w:val="-2"/>
                <w:sz w:val="15"/>
                <w:lang w:eastAsia="zh-TW"/>
              </w:rPr>
              <w:t>AI</w:t>
            </w:r>
            <w:r>
              <w:rPr>
                <w:rFonts w:ascii="Times New Roman" w:eastAsia="Times New Roman"/>
                <w:color w:val="1F2937"/>
                <w:spacing w:val="-9"/>
                <w:sz w:val="15"/>
                <w:lang w:eastAsia="zh-TW"/>
              </w:rPr>
              <w:t xml:space="preserve"> </w:t>
            </w:r>
            <w:r>
              <w:rPr>
                <w:color w:val="1F2937"/>
                <w:spacing w:val="-2"/>
                <w:sz w:val="15"/>
                <w:lang w:eastAsia="zh-TW"/>
              </w:rPr>
              <w:t>基礎設施、全球</w:t>
            </w:r>
            <w:r>
              <w:rPr>
                <w:color w:val="1F2937"/>
                <w:spacing w:val="-6"/>
                <w:sz w:val="15"/>
                <w:lang w:eastAsia="zh-TW"/>
              </w:rPr>
              <w:t>風險</w:t>
            </w:r>
          </w:p>
        </w:tc>
      </w:tr>
    </w:tbl>
    <w:p w:rsidR="002C50A5" w:rsidRDefault="00A447DA">
      <w:pPr>
        <w:tabs>
          <w:tab w:val="left" w:pos="578"/>
        </w:tabs>
        <w:spacing w:before="113"/>
        <w:ind w:right="283"/>
        <w:jc w:val="center"/>
        <w:rPr>
          <w:b/>
          <w:sz w:val="21"/>
          <w:lang w:eastAsia="zh-TW"/>
        </w:rPr>
      </w:pPr>
      <w:r>
        <w:rPr>
          <w:b/>
          <w:color w:val="1F2937"/>
          <w:sz w:val="21"/>
          <w:lang w:eastAsia="zh-TW"/>
        </w:rPr>
        <w:t xml:space="preserve">圖 </w:t>
      </w:r>
      <w:r>
        <w:rPr>
          <w:rFonts w:ascii="Times New Roman" w:eastAsia="Times New Roman" w:hAnsi="Times New Roman"/>
          <w:b/>
          <w:color w:val="1F2937"/>
          <w:spacing w:val="-10"/>
          <w:sz w:val="21"/>
          <w:lang w:eastAsia="zh-TW"/>
        </w:rPr>
        <w:t>2</w:t>
      </w:r>
      <w:r>
        <w:rPr>
          <w:rFonts w:ascii="Times New Roman" w:eastAsia="Times New Roman" w:hAnsi="Times New Roman"/>
          <w:b/>
          <w:color w:val="1F2937"/>
          <w:sz w:val="21"/>
          <w:lang w:eastAsia="zh-TW"/>
        </w:rPr>
        <w:tab/>
      </w:r>
      <w:r>
        <w:rPr>
          <w:b/>
          <w:color w:val="1F2937"/>
          <w:spacing w:val="-2"/>
          <w:sz w:val="21"/>
          <w:lang w:eastAsia="zh-TW"/>
        </w:rPr>
        <w:t>公共行政五分析層次</w:t>
      </w:r>
      <w:r>
        <w:rPr>
          <w:b/>
          <w:color w:val="1F2937"/>
          <w:spacing w:val="5"/>
          <w:sz w:val="21"/>
          <w:lang w:eastAsia="zh-TW"/>
        </w:rPr>
        <w:t xml:space="preserve"> </w:t>
      </w:r>
      <w:r>
        <w:rPr>
          <w:rFonts w:ascii="Times New Roman" w:eastAsia="Times New Roman" w:hAnsi="Times New Roman"/>
          <w:b/>
          <w:color w:val="1F2937"/>
          <w:spacing w:val="-2"/>
          <w:sz w:val="21"/>
          <w:lang w:eastAsia="zh-TW"/>
        </w:rPr>
        <w:t>×</w:t>
      </w:r>
      <w:r>
        <w:rPr>
          <w:rFonts w:ascii="Times New Roman" w:eastAsia="Times New Roman" w:hAnsi="Times New Roman"/>
          <w:b/>
          <w:color w:val="1F2937"/>
          <w:spacing w:val="6"/>
          <w:sz w:val="21"/>
          <w:lang w:eastAsia="zh-TW"/>
        </w:rPr>
        <w:t xml:space="preserve"> </w:t>
      </w:r>
      <w:r>
        <w:rPr>
          <w:b/>
          <w:color w:val="1F2937"/>
          <w:spacing w:val="-2"/>
          <w:sz w:val="21"/>
          <w:lang w:eastAsia="zh-TW"/>
        </w:rPr>
        <w:t>五分析單位之二十五治理座</w:t>
      </w:r>
      <w:r>
        <w:rPr>
          <w:b/>
          <w:color w:val="1F2937"/>
          <w:spacing w:val="-10"/>
          <w:sz w:val="21"/>
          <w:lang w:eastAsia="zh-TW"/>
        </w:rPr>
        <w:t>標</w:t>
      </w:r>
    </w:p>
    <w:p w:rsidR="002C50A5" w:rsidRDefault="00A447DA">
      <w:pPr>
        <w:spacing w:before="34" w:line="225" w:lineRule="auto"/>
        <w:ind w:left="104" w:right="390"/>
        <w:jc w:val="center"/>
        <w:rPr>
          <w:sz w:val="18"/>
          <w:lang w:eastAsia="zh-TW"/>
        </w:rPr>
      </w:pPr>
      <w:r>
        <w:rPr>
          <w:color w:val="585858"/>
          <w:position w:val="1"/>
          <w:sz w:val="18"/>
          <w:lang w:eastAsia="zh-TW"/>
        </w:rPr>
        <w:t>資料來源：作者依</w:t>
      </w:r>
      <w:r>
        <w:rPr>
          <w:color w:val="585858"/>
          <w:spacing w:val="-12"/>
          <w:position w:val="1"/>
          <w:sz w:val="18"/>
          <w:lang w:eastAsia="zh-TW"/>
        </w:rPr>
        <w:t xml:space="preserve"> </w:t>
      </w:r>
      <w:r>
        <w:rPr>
          <w:rFonts w:ascii="Times New Roman" w:eastAsia="Times New Roman"/>
          <w:color w:val="585858"/>
          <w:position w:val="1"/>
          <w:sz w:val="18"/>
          <w:lang w:eastAsia="zh-TW"/>
        </w:rPr>
        <w:t>Levine</w:t>
      </w:r>
      <w:r>
        <w:rPr>
          <w:rFonts w:ascii="Times New Roman" w:eastAsia="Times New Roman"/>
          <w:color w:val="585858"/>
          <w:spacing w:val="-11"/>
          <w:position w:val="1"/>
          <w:sz w:val="18"/>
          <w:lang w:eastAsia="zh-TW"/>
        </w:rPr>
        <w:t xml:space="preserve"> </w:t>
      </w:r>
      <w:r>
        <w:rPr>
          <w:color w:val="585858"/>
          <w:position w:val="1"/>
          <w:sz w:val="18"/>
          <w:lang w:eastAsia="zh-TW"/>
        </w:rPr>
        <w:t>等人（</w:t>
      </w:r>
      <w:r>
        <w:rPr>
          <w:rFonts w:ascii="Times New Roman" w:eastAsia="Times New Roman"/>
          <w:color w:val="585858"/>
          <w:position w:val="1"/>
          <w:sz w:val="18"/>
          <w:lang w:eastAsia="zh-TW"/>
        </w:rPr>
        <w:t>1990</w:t>
      </w:r>
      <w:r>
        <w:rPr>
          <w:color w:val="585858"/>
          <w:position w:val="1"/>
          <w:sz w:val="18"/>
          <w:lang w:eastAsia="zh-TW"/>
        </w:rPr>
        <w:t>）與盧</w:t>
      </w:r>
      <w:r>
        <w:rPr>
          <w:color w:val="585858"/>
          <w:spacing w:val="10"/>
          <w:position w:val="1"/>
          <w:sz w:val="18"/>
          <w:lang w:eastAsia="zh-TW"/>
        </w:rPr>
        <w:t>建</w:t>
      </w:r>
      <w:r>
        <w:rPr>
          <w:noProof/>
          <w:color w:val="585858"/>
          <w:spacing w:val="10"/>
          <w:sz w:val="18"/>
        </w:rPr>
        <w:drawing>
          <wp:inline distT="0" distB="0" distL="0" distR="0">
            <wp:extent cx="101600" cy="1016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101600" cy="101600"/>
                    </a:xfrm>
                    <a:prstGeom prst="rect">
                      <a:avLst/>
                    </a:prstGeom>
                  </pic:spPr>
                </pic:pic>
              </a:graphicData>
            </a:graphic>
          </wp:inline>
        </w:drawing>
      </w:r>
      <w:r>
        <w:rPr>
          <w:color w:val="585858"/>
          <w:position w:val="1"/>
          <w:sz w:val="18"/>
          <w:lang w:eastAsia="zh-TW"/>
        </w:rPr>
        <w:t>（</w:t>
      </w:r>
      <w:r>
        <w:rPr>
          <w:rFonts w:ascii="Times New Roman" w:eastAsia="Times New Roman"/>
          <w:color w:val="585858"/>
          <w:position w:val="1"/>
          <w:sz w:val="18"/>
          <w:lang w:eastAsia="zh-TW"/>
        </w:rPr>
        <w:t>1996</w:t>
      </w:r>
      <w:r>
        <w:rPr>
          <w:color w:val="585858"/>
          <w:position w:val="1"/>
          <w:sz w:val="18"/>
          <w:lang w:eastAsia="zh-TW"/>
        </w:rPr>
        <w:t>）之分析架構修訂。格內內容為定位示例而</w:t>
      </w:r>
      <w:proofErr w:type="gramStart"/>
      <w:r>
        <w:rPr>
          <w:color w:val="585858"/>
          <w:position w:val="1"/>
          <w:sz w:val="18"/>
          <w:lang w:eastAsia="zh-TW"/>
        </w:rPr>
        <w:t>非窮舉分類</w:t>
      </w:r>
      <w:proofErr w:type="gramEnd"/>
      <w:r>
        <w:rPr>
          <w:color w:val="585858"/>
          <w:position w:val="1"/>
          <w:sz w:val="18"/>
          <w:lang w:eastAsia="zh-TW"/>
        </w:rPr>
        <w:t>；</w:t>
      </w:r>
      <w:r>
        <w:rPr>
          <w:color w:val="585858"/>
          <w:sz w:val="18"/>
          <w:lang w:eastAsia="zh-TW"/>
        </w:rPr>
        <w:t xml:space="preserve">選取依據為各層次與單位在 </w:t>
      </w:r>
      <w:r>
        <w:rPr>
          <w:rFonts w:ascii="Times New Roman" w:eastAsia="Times New Roman"/>
          <w:color w:val="585858"/>
          <w:sz w:val="18"/>
          <w:lang w:eastAsia="zh-TW"/>
        </w:rPr>
        <w:t xml:space="preserve">AI </w:t>
      </w:r>
      <w:r>
        <w:rPr>
          <w:color w:val="585858"/>
          <w:sz w:val="18"/>
          <w:lang w:eastAsia="zh-TW"/>
        </w:rPr>
        <w:t>介入下可能出現的權威、責任、程序及資源配置問題。</w:t>
      </w:r>
    </w:p>
    <w:p w:rsidR="002C50A5" w:rsidRDefault="00A447DA">
      <w:pPr>
        <w:pStyle w:val="2"/>
        <w:numPr>
          <w:ilvl w:val="1"/>
          <w:numId w:val="9"/>
        </w:numPr>
        <w:tabs>
          <w:tab w:val="left" w:pos="522"/>
        </w:tabs>
        <w:spacing w:before="162"/>
        <w:ind w:left="522" w:hanging="499"/>
      </w:pPr>
      <w:bookmarkStart w:id="11" w:name="二、三項結構現象的界定"/>
      <w:bookmarkEnd w:id="11"/>
      <w:proofErr w:type="spellStart"/>
      <w:r>
        <w:rPr>
          <w:color w:val="1F2937"/>
          <w:spacing w:val="-3"/>
        </w:rPr>
        <w:t>三項結構效應的界定</w:t>
      </w:r>
      <w:proofErr w:type="spellEnd"/>
    </w:p>
    <w:p w:rsidR="002C50A5" w:rsidRDefault="00A447DA">
      <w:pPr>
        <w:pStyle w:val="3"/>
        <w:numPr>
          <w:ilvl w:val="0"/>
          <w:numId w:val="7"/>
        </w:numPr>
        <w:tabs>
          <w:tab w:val="left" w:pos="743"/>
        </w:tabs>
        <w:spacing w:before="329"/>
        <w:ind w:left="743" w:hanging="720"/>
      </w:pPr>
      <w:proofErr w:type="spellStart"/>
      <w:r>
        <w:rPr>
          <w:color w:val="1F2937"/>
          <w:spacing w:val="-3"/>
        </w:rPr>
        <w:t>跨座標移動</w:t>
      </w:r>
      <w:proofErr w:type="spellEnd"/>
    </w:p>
    <w:p w:rsidR="002C50A5" w:rsidRDefault="00A447DA">
      <w:pPr>
        <w:pStyle w:val="a3"/>
        <w:spacing w:before="96" w:line="338" w:lineRule="auto"/>
        <w:ind w:right="297"/>
        <w:rPr>
          <w:lang w:eastAsia="zh-TW"/>
        </w:rPr>
      </w:pPr>
      <w:r>
        <w:rPr>
          <w:color w:val="1F2937"/>
          <w:lang w:eastAsia="zh-TW"/>
        </w:rPr>
        <w:t xml:space="preserve">跨座標移動指 </w:t>
      </w:r>
      <w:r>
        <w:rPr>
          <w:rFonts w:ascii="Times New Roman" w:eastAsia="Times New Roman"/>
          <w:color w:val="1F2937"/>
          <w:lang w:eastAsia="zh-TW"/>
        </w:rPr>
        <w:t xml:space="preserve">AI </w:t>
      </w:r>
      <w:r>
        <w:rPr>
          <w:color w:val="1F2937"/>
          <w:lang w:eastAsia="zh-TW"/>
        </w:rPr>
        <w:t>介入某一格位後，其影響持續擴及其他層次或分析單位。例如，個</w:t>
      </w:r>
      <w:r>
        <w:rPr>
          <w:color w:val="1F2937"/>
          <w:spacing w:val="-2"/>
          <w:lang w:eastAsia="zh-TW"/>
        </w:rPr>
        <w:t>人陳情的語意摘要若受訓練資料代表性影響，可能進一步形成社會層次的分配爭議。這項現象顯示，座標可用來追蹤影響路徑，但不表示層次與單位在經驗上永遠固定。</w:t>
      </w:r>
    </w:p>
    <w:p w:rsidR="002C50A5" w:rsidRDefault="00A447DA">
      <w:pPr>
        <w:pStyle w:val="3"/>
        <w:numPr>
          <w:ilvl w:val="0"/>
          <w:numId w:val="7"/>
        </w:numPr>
        <w:tabs>
          <w:tab w:val="left" w:pos="743"/>
        </w:tabs>
        <w:ind w:left="743" w:hanging="720"/>
      </w:pPr>
      <w:proofErr w:type="spellStart"/>
      <w:r>
        <w:rPr>
          <w:color w:val="1F2937"/>
          <w:spacing w:val="-3"/>
        </w:rPr>
        <w:t>邊界消解</w:t>
      </w:r>
      <w:proofErr w:type="spellEnd"/>
    </w:p>
    <w:p w:rsidR="002C50A5" w:rsidRDefault="00A447DA">
      <w:pPr>
        <w:pStyle w:val="a3"/>
        <w:spacing w:before="96" w:line="338" w:lineRule="auto"/>
        <w:rPr>
          <w:lang w:eastAsia="zh-TW"/>
        </w:rPr>
      </w:pPr>
      <w:r>
        <w:rPr>
          <w:color w:val="1F2937"/>
          <w:spacing w:val="4"/>
          <w:lang w:eastAsia="zh-TW"/>
        </w:rPr>
        <w:t>邊界消解指政府、市場、技術供應商與第三部門的制度分工，以及個人、組織與</w:t>
      </w:r>
      <w:r>
        <w:rPr>
          <w:color w:val="1F2937"/>
          <w:spacing w:val="2"/>
          <w:lang w:eastAsia="zh-TW"/>
        </w:rPr>
        <w:t>社會之間的分析界線，在演算法供應鏈中變得重疊或難以辨識。其核心問題不是邊界</w:t>
      </w:r>
      <w:r>
        <w:rPr>
          <w:color w:val="1F2937"/>
          <w:lang w:eastAsia="zh-TW"/>
        </w:rPr>
        <w:t>完全消失，而是既有制度是否仍能追溯決定、理由與責任</w:t>
      </w:r>
      <w:proofErr w:type="gramStart"/>
      <w:r>
        <w:rPr>
          <w:color w:val="1F2937"/>
          <w:lang w:eastAsia="zh-TW"/>
        </w:rPr>
        <w:t>（</w:t>
      </w:r>
      <w:proofErr w:type="gramEnd"/>
      <w:r>
        <w:rPr>
          <w:rFonts w:ascii="Times New Roman" w:eastAsia="Times New Roman"/>
          <w:color w:val="1F2937"/>
          <w:lang w:eastAsia="zh-TW"/>
        </w:rPr>
        <w:t>Cobbe</w:t>
      </w:r>
      <w:r>
        <w:rPr>
          <w:rFonts w:ascii="Times New Roman" w:eastAsia="Times New Roman"/>
          <w:color w:val="1F2937"/>
          <w:spacing w:val="-1"/>
          <w:lang w:eastAsia="zh-TW"/>
        </w:rPr>
        <w:t xml:space="preserve"> e</w:t>
      </w:r>
      <w:r>
        <w:rPr>
          <w:rFonts w:ascii="Times New Roman" w:eastAsia="Times New Roman"/>
          <w:color w:val="1F2937"/>
          <w:lang w:eastAsia="zh-TW"/>
        </w:rPr>
        <w:t xml:space="preserve">t </w:t>
      </w:r>
      <w:r>
        <w:rPr>
          <w:rFonts w:ascii="Times New Roman" w:eastAsia="Times New Roman"/>
          <w:color w:val="1F2937"/>
          <w:spacing w:val="-1"/>
          <w:lang w:eastAsia="zh-TW"/>
        </w:rPr>
        <w:t>a</w:t>
      </w:r>
      <w:r>
        <w:rPr>
          <w:rFonts w:ascii="Times New Roman" w:eastAsia="Times New Roman"/>
          <w:color w:val="1F2937"/>
          <w:lang w:eastAsia="zh-TW"/>
        </w:rPr>
        <w:t>l., 2023</w:t>
      </w:r>
      <w:proofErr w:type="gramStart"/>
      <w:r>
        <w:rPr>
          <w:color w:val="1F2937"/>
          <w:lang w:eastAsia="zh-TW"/>
        </w:rPr>
        <w:t>）</w:t>
      </w:r>
      <w:proofErr w:type="gramEnd"/>
      <w:r>
        <w:rPr>
          <w:color w:val="1F2937"/>
          <w:lang w:eastAsia="zh-TW"/>
        </w:rPr>
        <w:t>。</w:t>
      </w:r>
    </w:p>
    <w:p w:rsidR="002C50A5" w:rsidRDefault="002C50A5">
      <w:pPr>
        <w:pStyle w:val="a3"/>
        <w:spacing w:line="338" w:lineRule="auto"/>
        <w:rPr>
          <w:lang w:eastAsia="zh-TW"/>
        </w:rPr>
        <w:sectPr w:rsidR="002C50A5">
          <w:type w:val="continuous"/>
          <w:pgSz w:w="11906" w:h="16838"/>
          <w:pgMar w:top="1247" w:right="1417" w:bottom="1247" w:left="1417" w:header="0" w:footer="730" w:gutter="0"/>
          <w:cols w:space="720"/>
        </w:sectPr>
      </w:pPr>
    </w:p>
    <w:p w:rsidR="002C50A5" w:rsidRDefault="00A447DA">
      <w:pPr>
        <w:pStyle w:val="3"/>
        <w:numPr>
          <w:ilvl w:val="0"/>
          <w:numId w:val="7"/>
        </w:numPr>
        <w:tabs>
          <w:tab w:val="left" w:pos="742"/>
        </w:tabs>
        <w:spacing w:before="9"/>
        <w:ind w:left="742" w:hanging="720"/>
      </w:pPr>
      <w:proofErr w:type="spellStart"/>
      <w:r>
        <w:rPr>
          <w:color w:val="1F2937"/>
          <w:spacing w:val="-3"/>
        </w:rPr>
        <w:lastRenderedPageBreak/>
        <w:t>權威重構</w:t>
      </w:r>
      <w:proofErr w:type="spellEnd"/>
    </w:p>
    <w:p w:rsidR="002C50A5" w:rsidRDefault="00A447DA">
      <w:pPr>
        <w:pStyle w:val="a3"/>
        <w:spacing w:before="97" w:line="338" w:lineRule="auto"/>
        <w:ind w:left="22"/>
        <w:rPr>
          <w:lang w:eastAsia="zh-TW"/>
        </w:rPr>
      </w:pPr>
      <w:r>
        <w:rPr>
          <w:color w:val="1F2937"/>
          <w:spacing w:val="4"/>
          <w:lang w:eastAsia="zh-TW"/>
        </w:rPr>
        <w:t>權威</w:t>
      </w:r>
      <w:proofErr w:type="gramStart"/>
      <w:r>
        <w:rPr>
          <w:color w:val="1F2937"/>
          <w:spacing w:val="4"/>
          <w:lang w:eastAsia="zh-TW"/>
        </w:rPr>
        <w:t>重構指法律</w:t>
      </w:r>
      <w:proofErr w:type="gramEnd"/>
      <w:r>
        <w:rPr>
          <w:color w:val="1F2937"/>
          <w:spacing w:val="4"/>
          <w:lang w:eastAsia="zh-TW"/>
        </w:rPr>
        <w:t>授權與行政裁量仍存在，但模型輸出、資料分類及技術標準開始</w:t>
      </w:r>
      <w:r>
        <w:rPr>
          <w:color w:val="1F2937"/>
          <w:spacing w:val="2"/>
          <w:lang w:eastAsia="zh-TW"/>
        </w:rPr>
        <w:t>實質影響「何者被視為事實」及「哪些選項可以被選擇」。當形式決定者、實質影響</w:t>
      </w:r>
      <w:r>
        <w:rPr>
          <w:color w:val="1F2937"/>
          <w:lang w:eastAsia="zh-TW"/>
        </w:rPr>
        <w:t>者與理由提供者不再一致時，</w:t>
      </w:r>
      <w:proofErr w:type="gramStart"/>
      <w:r>
        <w:rPr>
          <w:color w:val="1F2937"/>
          <w:lang w:eastAsia="zh-TW"/>
        </w:rPr>
        <w:t>權威鏈即出現</w:t>
      </w:r>
      <w:proofErr w:type="gramEnd"/>
      <w:r>
        <w:rPr>
          <w:color w:val="1F2937"/>
          <w:lang w:eastAsia="zh-TW"/>
        </w:rPr>
        <w:t>位移（</w:t>
      </w:r>
      <w:proofErr w:type="spellStart"/>
      <w:r>
        <w:rPr>
          <w:rFonts w:ascii="Times New Roman" w:eastAsia="Times New Roman"/>
          <w:color w:val="1F2937"/>
          <w:spacing w:val="-2"/>
          <w:lang w:eastAsia="zh-TW"/>
        </w:rPr>
        <w:t>B</w:t>
      </w:r>
      <w:r>
        <w:rPr>
          <w:rFonts w:ascii="Times New Roman" w:eastAsia="Times New Roman"/>
          <w:color w:val="1F2937"/>
          <w:spacing w:val="-1"/>
          <w:lang w:eastAsia="zh-TW"/>
        </w:rPr>
        <w:t>u</w:t>
      </w:r>
      <w:r>
        <w:rPr>
          <w:rFonts w:ascii="Times New Roman" w:eastAsia="Times New Roman"/>
          <w:color w:val="1F2937"/>
          <w:lang w:eastAsia="zh-TW"/>
        </w:rPr>
        <w:t>suio</w:t>
      </w:r>
      <w:r>
        <w:rPr>
          <w:rFonts w:ascii="Times New Roman" w:eastAsia="Times New Roman"/>
          <w:color w:val="1F2937"/>
          <w:spacing w:val="-1"/>
          <w:lang w:eastAsia="zh-TW"/>
        </w:rPr>
        <w:t>c</w:t>
      </w:r>
      <w:proofErr w:type="spellEnd"/>
      <w:r>
        <w:rPr>
          <w:rFonts w:ascii="Times New Roman" w:eastAsia="Times New Roman"/>
          <w:color w:val="1F2937"/>
          <w:lang w:eastAsia="zh-TW"/>
        </w:rPr>
        <w:t>, 2021</w:t>
      </w:r>
      <w:r>
        <w:rPr>
          <w:color w:val="1F2937"/>
          <w:lang w:eastAsia="zh-TW"/>
        </w:rPr>
        <w:t>）。</w:t>
      </w:r>
    </w:p>
    <w:p w:rsidR="002C50A5" w:rsidRDefault="00A447DA">
      <w:pPr>
        <w:pStyle w:val="2"/>
        <w:numPr>
          <w:ilvl w:val="1"/>
          <w:numId w:val="9"/>
        </w:numPr>
        <w:tabs>
          <w:tab w:val="left" w:pos="522"/>
        </w:tabs>
        <w:spacing w:before="179"/>
        <w:ind w:left="522" w:hanging="499"/>
        <w:rPr>
          <w:lang w:eastAsia="zh-TW"/>
        </w:rPr>
      </w:pPr>
      <w:bookmarkStart w:id="12" w:name="三、情境判準：結構現象強度與制度吸收能力"/>
      <w:bookmarkEnd w:id="12"/>
      <w:r>
        <w:rPr>
          <w:color w:val="1F2937"/>
          <w:spacing w:val="-5"/>
          <w:lang w:eastAsia="zh-TW"/>
        </w:rPr>
        <w:t>情境判</w:t>
      </w:r>
      <w:proofErr w:type="gramStart"/>
      <w:r>
        <w:rPr>
          <w:color w:val="1F2937"/>
          <w:spacing w:val="-5"/>
          <w:lang w:eastAsia="zh-TW"/>
        </w:rPr>
        <w:t>準</w:t>
      </w:r>
      <w:proofErr w:type="gramEnd"/>
      <w:r>
        <w:rPr>
          <w:color w:val="1F2937"/>
          <w:spacing w:val="-5"/>
          <w:lang w:eastAsia="zh-TW"/>
        </w:rPr>
        <w:t>：</w:t>
      </w:r>
      <w:proofErr w:type="gramStart"/>
      <w:r>
        <w:rPr>
          <w:color w:val="1F2937"/>
          <w:spacing w:val="-5"/>
          <w:lang w:eastAsia="zh-TW"/>
        </w:rPr>
        <w:t>結構結構</w:t>
      </w:r>
      <w:proofErr w:type="gramEnd"/>
      <w:r>
        <w:rPr>
          <w:color w:val="1F2937"/>
          <w:spacing w:val="-5"/>
          <w:lang w:eastAsia="zh-TW"/>
        </w:rPr>
        <w:t>效應強度與制度吸收能力</w:t>
      </w:r>
    </w:p>
    <w:p w:rsidR="002C50A5" w:rsidRDefault="00A447DA">
      <w:pPr>
        <w:pStyle w:val="a3"/>
        <w:spacing w:before="309" w:line="338" w:lineRule="auto"/>
        <w:ind w:right="62"/>
        <w:jc w:val="left"/>
        <w:rPr>
          <w:lang w:eastAsia="zh-TW"/>
        </w:rPr>
      </w:pPr>
      <w:r>
        <w:rPr>
          <w:lang w:eastAsia="zh-TW"/>
        </w:rPr>
        <w:t>本文以兩組概念上可區辨、經驗上可能相關的判</w:t>
      </w:r>
      <w:proofErr w:type="gramStart"/>
      <w:r>
        <w:rPr>
          <w:lang w:eastAsia="zh-TW"/>
        </w:rPr>
        <w:t>準</w:t>
      </w:r>
      <w:proofErr w:type="gramEnd"/>
      <w:r>
        <w:rPr>
          <w:lang w:eastAsia="zh-TW"/>
        </w:rPr>
        <w:t>區分情境。第一組是三項結構  現象的強度：低強度表示影響侷限於少數格位；中強度表示影響反覆跨越多個層次或  單位；高強度表示跨座標移動、邊界消解與權威重構在多個格位持續耦合。第二組是制度吸收能力：觀察情境建構過程能否被追溯與質疑、人工覆核能否改變結果、理由能否連回事實與規範、責任能否歸屬，以及AI的實質作用是否仍受合法授權控制。兩組判</w:t>
      </w:r>
      <w:proofErr w:type="gramStart"/>
      <w:r>
        <w:rPr>
          <w:lang w:eastAsia="zh-TW"/>
        </w:rPr>
        <w:t>準</w:t>
      </w:r>
      <w:proofErr w:type="gramEnd"/>
      <w:r>
        <w:rPr>
          <w:lang w:eastAsia="zh-TW"/>
        </w:rPr>
        <w:t xml:space="preserve">可能相關，因為結構效應越強， 制度吸收通常越困難；但此一關係不是邏輯必然，高強度／高吸收及低強度／低吸收  </w:t>
      </w:r>
      <w:proofErr w:type="gramStart"/>
      <w:r>
        <w:rPr>
          <w:lang w:eastAsia="zh-TW"/>
        </w:rPr>
        <w:t>均屬理論上</w:t>
      </w:r>
      <w:proofErr w:type="gramEnd"/>
      <w:r>
        <w:rPr>
          <w:lang w:eastAsia="zh-TW"/>
        </w:rPr>
        <w:t>可能的非典型組合。</w:t>
      </w:r>
    </w:p>
    <w:p w:rsidR="002C50A5" w:rsidRDefault="00A447DA">
      <w:pPr>
        <w:pStyle w:val="a3"/>
        <w:spacing w:before="123" w:line="338" w:lineRule="auto"/>
        <w:ind w:left="22"/>
        <w:rPr>
          <w:lang w:eastAsia="zh-TW"/>
        </w:rPr>
      </w:pPr>
      <w:r>
        <w:rPr>
          <w:lang w:eastAsia="zh-TW"/>
        </w:rPr>
        <w:t>制度吸收能力的四項面向分別對應四條制度鏈。情境建構對應情境</w:t>
      </w:r>
      <w:proofErr w:type="gramStart"/>
      <w:r>
        <w:rPr>
          <w:lang w:eastAsia="zh-TW"/>
        </w:rPr>
        <w:t>建構鏈</w:t>
      </w:r>
      <w:proofErr w:type="gramEnd"/>
      <w:r>
        <w:rPr>
          <w:lang w:eastAsia="zh-TW"/>
        </w:rPr>
        <w:t>，要求AI參與資料選擇、分類與提示設計時，</w:t>
      </w:r>
      <w:proofErr w:type="gramStart"/>
      <w:r>
        <w:rPr>
          <w:lang w:eastAsia="zh-TW"/>
        </w:rPr>
        <w:t>其框</w:t>
      </w:r>
      <w:proofErr w:type="gramEnd"/>
      <w:r>
        <w:rPr>
          <w:lang w:eastAsia="zh-TW"/>
        </w:rPr>
        <w:t>定過程仍可被追溯、質疑並修正，不致於在權威、理由與責任鏈啟動之前，已先於任何具</w:t>
      </w:r>
      <w:proofErr w:type="gramStart"/>
      <w:r>
        <w:rPr>
          <w:lang w:eastAsia="zh-TW"/>
        </w:rPr>
        <w:t>政治課責關</w:t>
      </w:r>
      <w:proofErr w:type="gramEnd"/>
      <w:r>
        <w:rPr>
          <w:lang w:eastAsia="zh-TW"/>
        </w:rPr>
        <w:t>係之行為者窄化問題版本；理由說明對應理由鏈，要求AI輸出仍能連回可理解的事實與規範判斷</w:t>
      </w:r>
      <w:proofErr w:type="gramStart"/>
      <w:r>
        <w:rPr>
          <w:lang w:eastAsia="zh-TW"/>
        </w:rPr>
        <w:t>（</w:t>
      </w:r>
      <w:proofErr w:type="spellStart"/>
      <w:proofErr w:type="gramEnd"/>
      <w:r>
        <w:rPr>
          <w:lang w:eastAsia="zh-TW"/>
        </w:rPr>
        <w:t>Busuioc</w:t>
      </w:r>
      <w:proofErr w:type="spellEnd"/>
      <w:r>
        <w:rPr>
          <w:lang w:eastAsia="zh-TW"/>
        </w:rPr>
        <w:t>, 2021；</w:t>
      </w:r>
      <w:proofErr w:type="spellStart"/>
      <w:r>
        <w:rPr>
          <w:lang w:eastAsia="zh-TW"/>
        </w:rPr>
        <w:t>Grimmelikhuijsen</w:t>
      </w:r>
      <w:proofErr w:type="spellEnd"/>
      <w:r>
        <w:rPr>
          <w:lang w:eastAsia="zh-TW"/>
        </w:rPr>
        <w:t xml:space="preserve"> &amp; Meijer, 2022</w:t>
      </w:r>
      <w:proofErr w:type="gramStart"/>
      <w:r>
        <w:rPr>
          <w:lang w:eastAsia="zh-TW"/>
        </w:rPr>
        <w:t>）</w:t>
      </w:r>
      <w:proofErr w:type="gramEnd"/>
      <w:r>
        <w:rPr>
          <w:lang w:eastAsia="zh-TW"/>
        </w:rPr>
        <w:t>；責任歸屬對應責任鏈，要求錯誤或損害仍可追溯至具法律義務的行動者</w:t>
      </w:r>
      <w:proofErr w:type="gramStart"/>
      <w:r>
        <w:rPr>
          <w:lang w:eastAsia="zh-TW"/>
        </w:rPr>
        <w:t>（</w:t>
      </w:r>
      <w:proofErr w:type="gramEnd"/>
      <w:r>
        <w:rPr>
          <w:lang w:eastAsia="zh-TW"/>
        </w:rPr>
        <w:t>Cobbe et al., 2021, 2023</w:t>
      </w:r>
      <w:proofErr w:type="gramStart"/>
      <w:r>
        <w:rPr>
          <w:lang w:eastAsia="zh-TW"/>
        </w:rPr>
        <w:t>）</w:t>
      </w:r>
      <w:proofErr w:type="gramEnd"/>
      <w:r>
        <w:rPr>
          <w:lang w:eastAsia="zh-TW"/>
        </w:rPr>
        <w:t>；合法授權對應權威鏈，要求AI實質作用仍受法律授權範圍拘束。實質覆核並非獨立於四鏈之外的第五項面向，而是檢驗四條治理鏈是否有效運作的程序條件，核心在於人工覆核是否具有理解、挑戰並改變結果的權限與能力</w:t>
      </w:r>
      <w:proofErr w:type="gramStart"/>
      <w:r>
        <w:rPr>
          <w:lang w:eastAsia="zh-TW"/>
        </w:rPr>
        <w:t>（</w:t>
      </w:r>
      <w:proofErr w:type="gramEnd"/>
      <w:r>
        <w:rPr>
          <w:lang w:eastAsia="zh-TW"/>
        </w:rPr>
        <w:t>Young et al., 2019</w:t>
      </w:r>
      <w:proofErr w:type="gramStart"/>
      <w:r>
        <w:rPr>
          <w:lang w:eastAsia="zh-TW"/>
        </w:rPr>
        <w:t>）</w:t>
      </w:r>
      <w:proofErr w:type="gramEnd"/>
      <w:r>
        <w:rPr>
          <w:lang w:eastAsia="zh-TW"/>
        </w:rPr>
        <w:t>。</w:t>
      </w:r>
    </w:p>
    <w:p w:rsidR="002C50A5" w:rsidRDefault="00A447DA">
      <w:pPr>
        <w:pStyle w:val="a3"/>
        <w:spacing w:before="123" w:line="338" w:lineRule="auto"/>
        <w:ind w:left="22" w:right="62"/>
        <w:jc w:val="left"/>
        <w:rPr>
          <w:lang w:eastAsia="zh-TW"/>
        </w:rPr>
      </w:pPr>
      <w:r>
        <w:rPr>
          <w:color w:val="1F2937"/>
          <w:spacing w:val="-2"/>
          <w:lang w:eastAsia="zh-TW"/>
        </w:rPr>
        <w:t>四項能力是功能互補關係，不構成嚴格的必要條件序列。任</w:t>
      </w:r>
      <w:proofErr w:type="gramStart"/>
      <w:r>
        <w:rPr>
          <w:color w:val="1F2937"/>
          <w:spacing w:val="-2"/>
          <w:lang w:eastAsia="zh-TW"/>
        </w:rPr>
        <w:t>一</w:t>
      </w:r>
      <w:proofErr w:type="gramEnd"/>
      <w:r>
        <w:rPr>
          <w:color w:val="1F2937"/>
          <w:spacing w:val="-2"/>
          <w:lang w:eastAsia="zh-TW"/>
        </w:rPr>
        <w:t>制度鏈斷裂即表示</w:t>
      </w:r>
      <w:r>
        <w:rPr>
          <w:color w:val="1F2937"/>
          <w:spacing w:val="80"/>
          <w:w w:val="150"/>
          <w:lang w:eastAsia="zh-TW"/>
        </w:rPr>
        <w:t xml:space="preserve">  </w:t>
      </w:r>
      <w:r>
        <w:rPr>
          <w:color w:val="1F2937"/>
          <w:spacing w:val="-2"/>
          <w:lang w:eastAsia="zh-TW"/>
        </w:rPr>
        <w:t>該面向弱化，但不必然等同整體制度吸收失靈；制度可能在單一鏈弱化時，由其他安</w:t>
      </w:r>
      <w:r>
        <w:rPr>
          <w:color w:val="1F2937"/>
          <w:spacing w:val="80"/>
          <w:lang w:eastAsia="zh-TW"/>
        </w:rPr>
        <w:t xml:space="preserve">  </w:t>
      </w:r>
      <w:r>
        <w:rPr>
          <w:color w:val="1F2937"/>
          <w:spacing w:val="1"/>
          <w:lang w:eastAsia="zh-TW"/>
        </w:rPr>
        <w:lastRenderedPageBreak/>
        <w:t xml:space="preserve">排部分代償。本文將整體狀態區分為高吸收、部分吸收與吸收失靈三層，如表 </w:t>
      </w:r>
      <w:r>
        <w:rPr>
          <w:rFonts w:ascii="Times New Roman" w:eastAsia="Times New Roman"/>
          <w:color w:val="1F2937"/>
          <w:lang w:eastAsia="zh-TW"/>
        </w:rPr>
        <w:t>1</w:t>
      </w:r>
      <w:r>
        <w:rPr>
          <w:rFonts w:ascii="Times New Roman" w:eastAsia="Times New Roman"/>
          <w:color w:val="1F2937"/>
          <w:spacing w:val="40"/>
          <w:lang w:eastAsia="zh-TW"/>
        </w:rPr>
        <w:t xml:space="preserve"> </w:t>
      </w:r>
      <w:r>
        <w:rPr>
          <w:color w:val="1F2937"/>
          <w:lang w:eastAsia="zh-TW"/>
        </w:rPr>
        <w:t>所示。</w:t>
      </w:r>
    </w:p>
    <w:p w:rsidR="002C50A5" w:rsidRDefault="002C50A5">
      <w:pPr>
        <w:pStyle w:val="a3"/>
        <w:spacing w:line="338" w:lineRule="auto"/>
        <w:jc w:val="left"/>
        <w:rPr>
          <w:lang w:eastAsia="zh-TW"/>
        </w:rPr>
        <w:sectPr w:rsidR="002C50A5">
          <w:pgSz w:w="11906" w:h="16838"/>
          <w:pgMar w:top="1247" w:right="1417" w:bottom="1247" w:left="1417" w:header="0" w:footer="730" w:gutter="0"/>
          <w:cols w:space="720"/>
        </w:sectPr>
      </w:pPr>
    </w:p>
    <w:p w:rsidR="002C50A5" w:rsidRDefault="00A447DA">
      <w:pPr>
        <w:tabs>
          <w:tab w:val="left" w:pos="578"/>
        </w:tabs>
        <w:spacing w:before="31" w:after="28"/>
        <w:ind w:right="281"/>
        <w:jc w:val="center"/>
        <w:rPr>
          <w:b/>
          <w:sz w:val="21"/>
          <w:lang w:eastAsia="zh-TW"/>
        </w:rPr>
      </w:pPr>
      <w:r>
        <w:rPr>
          <w:lang w:eastAsia="zh-TW"/>
        </w:rPr>
        <w:lastRenderedPageBreak/>
        <w:t>表 1</w:t>
      </w:r>
      <w:r>
        <w:rPr>
          <w:lang w:eastAsia="zh-TW"/>
        </w:rPr>
        <w:tab/>
        <w:t>制度吸收能力的四層判</w:t>
      </w:r>
      <w:proofErr w:type="gramStart"/>
      <w:r>
        <w:rPr>
          <w:lang w:eastAsia="zh-TW"/>
        </w:rPr>
        <w:t>準</w:t>
      </w:r>
      <w:proofErr w:type="gramEnd"/>
      <w:r>
        <w:rPr>
          <w:lang w:eastAsia="zh-TW"/>
        </w:rPr>
        <w:t>（原四鏈判準已補入情境建構鏈）</w:t>
      </w: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2268"/>
        <w:gridCol w:w="4678"/>
      </w:tblGrid>
      <w:tr w:rsidR="002C50A5">
        <w:trPr>
          <w:trHeight w:val="522"/>
        </w:trPr>
        <w:tc>
          <w:tcPr>
            <w:tcW w:w="1814" w:type="dxa"/>
            <w:shd w:val="clear" w:color="auto" w:fill="1F4E78"/>
          </w:tcPr>
          <w:p w:rsidR="002C50A5" w:rsidRDefault="00A447DA">
            <w:pPr>
              <w:pStyle w:val="TableParagraph"/>
              <w:spacing w:before="82"/>
              <w:ind w:left="755"/>
              <w:rPr>
                <w:b/>
                <w:sz w:val="18"/>
              </w:rPr>
            </w:pPr>
            <w:proofErr w:type="spellStart"/>
            <w:r>
              <w:rPr>
                <w:b/>
                <w:color w:val="FFFFFF"/>
                <w:spacing w:val="-3"/>
                <w:sz w:val="18"/>
              </w:rPr>
              <w:t>判準層次</w:t>
            </w:r>
            <w:proofErr w:type="spellEnd"/>
          </w:p>
        </w:tc>
        <w:tc>
          <w:tcPr>
            <w:tcW w:w="2268" w:type="dxa"/>
            <w:shd w:val="clear" w:color="auto" w:fill="1F4E78"/>
          </w:tcPr>
          <w:p w:rsidR="002C50A5" w:rsidRDefault="00A447DA">
            <w:pPr>
              <w:pStyle w:val="TableParagraph"/>
              <w:spacing w:before="82"/>
              <w:ind w:right="371"/>
              <w:jc w:val="right"/>
              <w:rPr>
                <w:b/>
                <w:sz w:val="18"/>
              </w:rPr>
            </w:pPr>
            <w:proofErr w:type="spellStart"/>
            <w:r>
              <w:rPr>
                <w:b/>
                <w:color w:val="FFFFFF"/>
                <w:spacing w:val="-2"/>
                <w:sz w:val="18"/>
              </w:rPr>
              <w:t>制度吸收狀態</w:t>
            </w:r>
            <w:proofErr w:type="spellEnd"/>
          </w:p>
        </w:tc>
        <w:tc>
          <w:tcPr>
            <w:tcW w:w="4678" w:type="dxa"/>
            <w:shd w:val="clear" w:color="auto" w:fill="1F4E78"/>
          </w:tcPr>
          <w:p w:rsidR="002C50A5" w:rsidRDefault="00A447DA">
            <w:pPr>
              <w:pStyle w:val="TableParagraph"/>
              <w:spacing w:before="82"/>
              <w:ind w:left="430"/>
              <w:jc w:val="center"/>
              <w:rPr>
                <w:b/>
                <w:sz w:val="18"/>
              </w:rPr>
            </w:pPr>
            <w:proofErr w:type="spellStart"/>
            <w:r>
              <w:rPr>
                <w:b/>
                <w:color w:val="FFFFFF"/>
                <w:spacing w:val="-3"/>
                <w:sz w:val="18"/>
              </w:rPr>
              <w:t>判斷條件</w:t>
            </w:r>
            <w:proofErr w:type="spellEnd"/>
          </w:p>
        </w:tc>
      </w:tr>
      <w:tr w:rsidR="002C50A5">
        <w:trPr>
          <w:trHeight w:val="827"/>
        </w:trPr>
        <w:tc>
          <w:tcPr>
            <w:tcW w:w="1814" w:type="dxa"/>
            <w:shd w:val="clear" w:color="auto" w:fill="F1F1F1"/>
          </w:tcPr>
          <w:p w:rsidR="002C50A5" w:rsidRDefault="00A447DA">
            <w:pPr>
              <w:pStyle w:val="TableParagraph"/>
              <w:spacing w:before="244"/>
              <w:ind w:left="530"/>
              <w:rPr>
                <w:b/>
                <w:sz w:val="17"/>
              </w:rPr>
            </w:pPr>
            <w:proofErr w:type="spellStart"/>
            <w:r>
              <w:rPr>
                <w:b/>
                <w:color w:val="1F2937"/>
                <w:spacing w:val="-4"/>
                <w:sz w:val="17"/>
              </w:rPr>
              <w:t>高吸收</w:t>
            </w:r>
            <w:proofErr w:type="spellEnd"/>
          </w:p>
        </w:tc>
        <w:tc>
          <w:tcPr>
            <w:tcW w:w="2268" w:type="dxa"/>
          </w:tcPr>
          <w:p w:rsidR="002C50A5" w:rsidRDefault="00A447DA">
            <w:proofErr w:type="spellStart"/>
            <w:r>
              <w:t>四鏈大致完整</w:t>
            </w:r>
            <w:proofErr w:type="spellEnd"/>
          </w:p>
        </w:tc>
        <w:tc>
          <w:tcPr>
            <w:tcW w:w="4678" w:type="dxa"/>
          </w:tcPr>
          <w:p w:rsidR="002C50A5" w:rsidRDefault="00A447DA">
            <w:pPr>
              <w:rPr>
                <w:lang w:eastAsia="zh-TW"/>
              </w:rPr>
            </w:pPr>
            <w:r>
              <w:rPr>
                <w:lang w:eastAsia="zh-TW"/>
              </w:rPr>
              <w:t>實質覆核可以改變結果，情境建構、權威、理由與責任四鏈大致維持運作。</w:t>
            </w:r>
          </w:p>
        </w:tc>
      </w:tr>
      <w:tr w:rsidR="002C50A5">
        <w:trPr>
          <w:trHeight w:val="825"/>
        </w:trPr>
        <w:tc>
          <w:tcPr>
            <w:tcW w:w="1814" w:type="dxa"/>
            <w:shd w:val="clear" w:color="auto" w:fill="F1F1F1"/>
          </w:tcPr>
          <w:p w:rsidR="002C50A5" w:rsidRDefault="00A447DA">
            <w:pPr>
              <w:pStyle w:val="TableParagraph"/>
              <w:spacing w:before="244"/>
              <w:ind w:left="530"/>
              <w:rPr>
                <w:b/>
                <w:sz w:val="17"/>
              </w:rPr>
            </w:pPr>
            <w:proofErr w:type="spellStart"/>
            <w:r>
              <w:rPr>
                <w:b/>
                <w:color w:val="1F2937"/>
                <w:spacing w:val="-3"/>
                <w:sz w:val="17"/>
              </w:rPr>
              <w:t>部分吸收</w:t>
            </w:r>
            <w:proofErr w:type="spellEnd"/>
          </w:p>
        </w:tc>
        <w:tc>
          <w:tcPr>
            <w:tcW w:w="2268" w:type="dxa"/>
          </w:tcPr>
          <w:p w:rsidR="002C50A5" w:rsidRDefault="00A447DA">
            <w:proofErr w:type="spellStart"/>
            <w:r>
              <w:t>至少一鏈弱化</w:t>
            </w:r>
            <w:proofErr w:type="spellEnd"/>
          </w:p>
        </w:tc>
        <w:tc>
          <w:tcPr>
            <w:tcW w:w="4678" w:type="dxa"/>
          </w:tcPr>
          <w:p w:rsidR="002C50A5" w:rsidRDefault="00A447DA">
            <w:pPr>
              <w:rPr>
                <w:lang w:eastAsia="zh-TW"/>
              </w:rPr>
            </w:pPr>
            <w:r>
              <w:rPr>
                <w:lang w:eastAsia="zh-TW"/>
              </w:rPr>
              <w:t>程序仍存在，但</w:t>
            </w:r>
            <w:proofErr w:type="gramStart"/>
            <w:r>
              <w:rPr>
                <w:lang w:eastAsia="zh-TW"/>
              </w:rPr>
              <w:t>出現框定有</w:t>
            </w:r>
            <w:proofErr w:type="gramEnd"/>
            <w:r>
              <w:rPr>
                <w:lang w:eastAsia="zh-TW"/>
              </w:rPr>
              <w:t>紀錄卻難以外部質疑、可追溯而難歸責、可說明而難修正等落差；制度仍保有補救或修正能力。</w:t>
            </w:r>
          </w:p>
        </w:tc>
      </w:tr>
      <w:tr w:rsidR="002C50A5">
        <w:trPr>
          <w:trHeight w:val="827"/>
        </w:trPr>
        <w:tc>
          <w:tcPr>
            <w:tcW w:w="1814" w:type="dxa"/>
            <w:shd w:val="clear" w:color="auto" w:fill="F1F1F1"/>
          </w:tcPr>
          <w:p w:rsidR="002C50A5" w:rsidRDefault="00A447DA">
            <w:pPr>
              <w:pStyle w:val="TableParagraph"/>
              <w:spacing w:before="244"/>
              <w:ind w:left="530"/>
              <w:rPr>
                <w:b/>
                <w:sz w:val="17"/>
              </w:rPr>
            </w:pPr>
            <w:proofErr w:type="spellStart"/>
            <w:r>
              <w:rPr>
                <w:b/>
                <w:color w:val="1F2937"/>
                <w:spacing w:val="-3"/>
                <w:sz w:val="17"/>
              </w:rPr>
              <w:t>吸收失靈</w:t>
            </w:r>
            <w:proofErr w:type="spellEnd"/>
          </w:p>
        </w:tc>
        <w:tc>
          <w:tcPr>
            <w:tcW w:w="2268" w:type="dxa"/>
          </w:tcPr>
          <w:p w:rsidR="002C50A5" w:rsidRDefault="00A447DA">
            <w:proofErr w:type="spellStart"/>
            <w:r>
              <w:t>至少二鏈持續斷裂</w:t>
            </w:r>
            <w:proofErr w:type="spellEnd"/>
          </w:p>
        </w:tc>
        <w:tc>
          <w:tcPr>
            <w:tcW w:w="4678" w:type="dxa"/>
          </w:tcPr>
          <w:p w:rsidR="002C50A5" w:rsidRDefault="00A447DA">
            <w:pPr>
              <w:rPr>
                <w:lang w:eastAsia="zh-TW"/>
              </w:rPr>
            </w:pPr>
            <w:r>
              <w:rPr>
                <w:lang w:eastAsia="zh-TW"/>
              </w:rPr>
              <w:t>實質覆核不能改變結果，且情境建構、權威、理由與責任四鏈中至少兩條持續斷裂，無法由其他制度安排代償。</w:t>
            </w:r>
          </w:p>
        </w:tc>
      </w:tr>
    </w:tbl>
    <w:p w:rsidR="002C50A5" w:rsidRDefault="00A447DA">
      <w:pPr>
        <w:spacing w:before="7" w:line="225" w:lineRule="auto"/>
        <w:ind w:left="22" w:right="480"/>
        <w:rPr>
          <w:sz w:val="18"/>
        </w:rPr>
      </w:pPr>
      <w:proofErr w:type="spellStart"/>
      <w:r>
        <w:rPr>
          <w:color w:val="585858"/>
          <w:spacing w:val="-2"/>
          <w:sz w:val="18"/>
        </w:rPr>
        <w:t>資料來源：作者依</w:t>
      </w:r>
      <w:proofErr w:type="spellEnd"/>
      <w:r>
        <w:rPr>
          <w:color w:val="585858"/>
          <w:spacing w:val="-2"/>
          <w:sz w:val="18"/>
        </w:rPr>
        <w:t xml:space="preserve"> </w:t>
      </w:r>
      <w:r>
        <w:rPr>
          <w:rFonts w:ascii="Times New Roman" w:eastAsia="Times New Roman"/>
          <w:color w:val="585858"/>
          <w:sz w:val="18"/>
        </w:rPr>
        <w:t>Busuioc</w:t>
      </w:r>
      <w:r>
        <w:rPr>
          <w:color w:val="585858"/>
          <w:sz w:val="18"/>
        </w:rPr>
        <w:t>（</w:t>
      </w:r>
      <w:r>
        <w:rPr>
          <w:rFonts w:ascii="Times New Roman" w:eastAsia="Times New Roman"/>
          <w:color w:val="585858"/>
          <w:sz w:val="18"/>
        </w:rPr>
        <w:t>2021</w:t>
      </w:r>
      <w:r>
        <w:rPr>
          <w:color w:val="585858"/>
          <w:sz w:val="18"/>
        </w:rPr>
        <w:t>）、</w:t>
      </w:r>
      <w:r>
        <w:rPr>
          <w:rFonts w:ascii="Times New Roman" w:eastAsia="Times New Roman"/>
          <w:color w:val="585858"/>
          <w:sz w:val="18"/>
        </w:rPr>
        <w:t>Cobbe</w:t>
      </w:r>
      <w:r>
        <w:rPr>
          <w:rFonts w:ascii="Times New Roman" w:eastAsia="Times New Roman"/>
          <w:color w:val="585858"/>
          <w:spacing w:val="-11"/>
          <w:sz w:val="18"/>
        </w:rPr>
        <w:t xml:space="preserve"> </w:t>
      </w:r>
      <w:r>
        <w:rPr>
          <w:color w:val="585858"/>
          <w:sz w:val="18"/>
        </w:rPr>
        <w:t>等人（</w:t>
      </w:r>
      <w:r>
        <w:rPr>
          <w:rFonts w:ascii="Times New Roman" w:eastAsia="Times New Roman"/>
          <w:color w:val="585858"/>
          <w:sz w:val="18"/>
        </w:rPr>
        <w:t>2021</w:t>
      </w:r>
      <w:r>
        <w:rPr>
          <w:rFonts w:ascii="Times New Roman" w:eastAsia="Times New Roman"/>
          <w:color w:val="585858"/>
          <w:spacing w:val="-4"/>
          <w:sz w:val="18"/>
        </w:rPr>
        <w:t xml:space="preserve">, </w:t>
      </w:r>
      <w:r>
        <w:rPr>
          <w:rFonts w:ascii="Times New Roman" w:eastAsia="Times New Roman"/>
          <w:color w:val="585858"/>
          <w:sz w:val="18"/>
        </w:rPr>
        <w:t>2023</w:t>
      </w:r>
      <w:r>
        <w:rPr>
          <w:color w:val="585858"/>
          <w:sz w:val="18"/>
        </w:rPr>
        <w:t>）、</w:t>
      </w:r>
      <w:proofErr w:type="spellStart"/>
      <w:r>
        <w:rPr>
          <w:rFonts w:ascii="Times New Roman" w:eastAsia="Times New Roman"/>
          <w:color w:val="585858"/>
          <w:sz w:val="18"/>
        </w:rPr>
        <w:t>Grimmelikhuijsen</w:t>
      </w:r>
      <w:proofErr w:type="spellEnd"/>
      <w:r>
        <w:rPr>
          <w:rFonts w:ascii="Times New Roman" w:eastAsia="Times New Roman"/>
          <w:color w:val="585858"/>
          <w:spacing w:val="-12"/>
          <w:sz w:val="18"/>
        </w:rPr>
        <w:t xml:space="preserve"> </w:t>
      </w:r>
      <w:r>
        <w:rPr>
          <w:color w:val="585858"/>
          <w:spacing w:val="-3"/>
          <w:sz w:val="18"/>
        </w:rPr>
        <w:t xml:space="preserve">與 </w:t>
      </w:r>
      <w:r>
        <w:rPr>
          <w:rFonts w:ascii="Times New Roman" w:eastAsia="Times New Roman"/>
          <w:color w:val="585858"/>
          <w:sz w:val="18"/>
        </w:rPr>
        <w:t>Meijer</w:t>
      </w:r>
      <w:r>
        <w:rPr>
          <w:color w:val="585858"/>
          <w:sz w:val="18"/>
        </w:rPr>
        <w:t>（</w:t>
      </w:r>
      <w:r>
        <w:rPr>
          <w:rFonts w:ascii="Times New Roman" w:eastAsia="Times New Roman"/>
          <w:color w:val="585858"/>
          <w:sz w:val="18"/>
        </w:rPr>
        <w:t>2022</w:t>
      </w:r>
      <w:r>
        <w:rPr>
          <w:color w:val="585858"/>
          <w:sz w:val="18"/>
        </w:rPr>
        <w:t>）、</w:t>
      </w:r>
      <w:r>
        <w:rPr>
          <w:rFonts w:ascii="Times New Roman" w:eastAsia="Times New Roman"/>
          <w:color w:val="585858"/>
          <w:sz w:val="18"/>
        </w:rPr>
        <w:t>Young</w:t>
      </w:r>
      <w:r>
        <w:rPr>
          <w:rFonts w:ascii="Times New Roman" w:eastAsia="Times New Roman"/>
          <w:color w:val="585858"/>
          <w:spacing w:val="-12"/>
          <w:sz w:val="18"/>
        </w:rPr>
        <w:t xml:space="preserve"> </w:t>
      </w:r>
      <w:r>
        <w:rPr>
          <w:color w:val="585858"/>
          <w:sz w:val="18"/>
        </w:rPr>
        <w:t>等</w:t>
      </w:r>
      <w:r>
        <w:rPr>
          <w:color w:val="585858"/>
          <w:spacing w:val="-2"/>
          <w:sz w:val="18"/>
        </w:rPr>
        <w:t>人（</w:t>
      </w:r>
      <w:r>
        <w:rPr>
          <w:rFonts w:ascii="Times New Roman" w:eastAsia="Times New Roman"/>
          <w:color w:val="585858"/>
          <w:spacing w:val="-2"/>
          <w:sz w:val="18"/>
        </w:rPr>
        <w:t>2019</w:t>
      </w:r>
      <w:r>
        <w:rPr>
          <w:color w:val="585858"/>
          <w:spacing w:val="-2"/>
          <w:sz w:val="18"/>
        </w:rPr>
        <w:t>）建構。</w:t>
      </w:r>
    </w:p>
    <w:p w:rsidR="002C50A5" w:rsidRDefault="00A447DA">
      <w:pPr>
        <w:pStyle w:val="a3"/>
        <w:spacing w:before="183" w:line="338" w:lineRule="auto"/>
        <w:rPr>
          <w:rFonts w:ascii="Times New Roman" w:eastAsia="Times New Roman"/>
          <w:lang w:eastAsia="zh-TW"/>
        </w:rPr>
      </w:pPr>
      <w:r>
        <w:rPr>
          <w:color w:val="1F2937"/>
          <w:spacing w:val="4"/>
          <w:lang w:eastAsia="zh-TW"/>
        </w:rPr>
        <w:t>制度吸收能力與行政能力、國家能力、制度調適及組織韌性有關，但概念焦點不同。行政能力著重執行政策所需的分析、協調、監理與輸送資源</w:t>
      </w:r>
      <w:r>
        <w:rPr>
          <w:color w:val="1F2937"/>
          <w:spacing w:val="7"/>
          <w:lang w:eastAsia="zh-TW"/>
        </w:rPr>
        <w:t>（</w:t>
      </w:r>
      <w:r>
        <w:rPr>
          <w:rFonts w:ascii="Times New Roman" w:eastAsia="Times New Roman"/>
          <w:color w:val="1F2937"/>
          <w:spacing w:val="-5"/>
          <w:lang w:eastAsia="zh-TW"/>
        </w:rPr>
        <w:t>L</w:t>
      </w:r>
      <w:r>
        <w:rPr>
          <w:rFonts w:ascii="Times New Roman" w:eastAsia="Times New Roman"/>
          <w:color w:val="1F2937"/>
          <w:lang w:eastAsia="zh-TW"/>
        </w:rPr>
        <w:t>o</w:t>
      </w:r>
      <w:r>
        <w:rPr>
          <w:rFonts w:ascii="Times New Roman" w:eastAsia="Times New Roman"/>
          <w:color w:val="1F2937"/>
          <w:spacing w:val="2"/>
          <w:lang w:eastAsia="zh-TW"/>
        </w:rPr>
        <w:t>d</w:t>
      </w:r>
      <w:r>
        <w:rPr>
          <w:rFonts w:ascii="Times New Roman" w:eastAsia="Times New Roman"/>
          <w:color w:val="1F2937"/>
          <w:lang w:eastAsia="zh-TW"/>
        </w:rPr>
        <w:t>ge</w:t>
      </w:r>
      <w:r>
        <w:rPr>
          <w:rFonts w:ascii="Times New Roman" w:eastAsia="Times New Roman"/>
          <w:color w:val="1F2937"/>
          <w:spacing w:val="-9"/>
          <w:lang w:eastAsia="zh-TW"/>
        </w:rPr>
        <w:t xml:space="preserve">  </w:t>
      </w:r>
      <w:r>
        <w:rPr>
          <w:rFonts w:ascii="Times New Roman" w:eastAsia="Times New Roman"/>
          <w:color w:val="1F2937"/>
          <w:lang w:eastAsia="zh-TW"/>
        </w:rPr>
        <w:t>&amp;</w:t>
      </w:r>
      <w:r>
        <w:rPr>
          <w:rFonts w:ascii="Times New Roman" w:eastAsia="Times New Roman"/>
          <w:color w:val="1F2937"/>
          <w:spacing w:val="-10"/>
          <w:lang w:eastAsia="zh-TW"/>
        </w:rPr>
        <w:t xml:space="preserve">  </w:t>
      </w:r>
      <w:proofErr w:type="spellStart"/>
      <w:r>
        <w:rPr>
          <w:rFonts w:ascii="Times New Roman" w:eastAsia="Times New Roman"/>
          <w:color w:val="1F2937"/>
          <w:spacing w:val="1"/>
          <w:lang w:eastAsia="zh-TW"/>
        </w:rPr>
        <w:t>W</w:t>
      </w:r>
      <w:r>
        <w:rPr>
          <w:rFonts w:ascii="Times New Roman" w:eastAsia="Times New Roman"/>
          <w:color w:val="1F2937"/>
          <w:spacing w:val="-1"/>
          <w:lang w:eastAsia="zh-TW"/>
        </w:rPr>
        <w:t>e</w:t>
      </w:r>
      <w:r>
        <w:rPr>
          <w:rFonts w:ascii="Times New Roman" w:eastAsia="Times New Roman"/>
          <w:color w:val="1F2937"/>
          <w:lang w:eastAsia="zh-TW"/>
        </w:rPr>
        <w:t>g</w:t>
      </w:r>
      <w:r>
        <w:rPr>
          <w:rFonts w:ascii="Times New Roman" w:eastAsia="Times New Roman"/>
          <w:color w:val="1F2937"/>
          <w:spacing w:val="-1"/>
          <w:lang w:eastAsia="zh-TW"/>
        </w:rPr>
        <w:t>r</w:t>
      </w:r>
      <w:r>
        <w:rPr>
          <w:rFonts w:ascii="Times New Roman" w:eastAsia="Times New Roman"/>
          <w:color w:val="1F2937"/>
          <w:lang w:eastAsia="zh-TW"/>
        </w:rPr>
        <w:t>i</w:t>
      </w:r>
      <w:r>
        <w:rPr>
          <w:rFonts w:ascii="Times New Roman" w:eastAsia="Times New Roman"/>
          <w:color w:val="1F2937"/>
          <w:spacing w:val="-1"/>
          <w:lang w:eastAsia="zh-TW"/>
        </w:rPr>
        <w:t>c</w:t>
      </w:r>
      <w:r>
        <w:rPr>
          <w:rFonts w:ascii="Times New Roman" w:eastAsia="Times New Roman"/>
          <w:color w:val="1F2937"/>
          <w:lang w:eastAsia="zh-TW"/>
        </w:rPr>
        <w:t>h</w:t>
      </w:r>
      <w:proofErr w:type="spellEnd"/>
      <w:r>
        <w:rPr>
          <w:rFonts w:ascii="Times New Roman" w:eastAsia="Times New Roman"/>
          <w:color w:val="1F2937"/>
          <w:lang w:eastAsia="zh-TW"/>
        </w:rPr>
        <w:t>, 201</w:t>
      </w:r>
      <w:r>
        <w:rPr>
          <w:rFonts w:ascii="Times New Roman" w:eastAsia="Times New Roman"/>
          <w:color w:val="1F2937"/>
          <w:spacing w:val="14"/>
          <w:lang w:eastAsia="zh-TW"/>
        </w:rPr>
        <w:t>4</w:t>
      </w:r>
      <w:r>
        <w:rPr>
          <w:color w:val="1F2937"/>
          <w:spacing w:val="14"/>
          <w:lang w:eastAsia="zh-TW"/>
        </w:rPr>
        <w:t>）；</w:t>
      </w:r>
      <w:r>
        <w:rPr>
          <w:color w:val="1F2937"/>
          <w:spacing w:val="12"/>
          <w:lang w:eastAsia="zh-TW"/>
        </w:rPr>
        <w:t>組織韌性關注組織承受衝擊並維持或恢復功能的能力</w:t>
      </w:r>
      <w:proofErr w:type="gramStart"/>
      <w:r>
        <w:rPr>
          <w:color w:val="1F2937"/>
          <w:spacing w:val="14"/>
          <w:lang w:eastAsia="zh-TW"/>
        </w:rPr>
        <w:t>（</w:t>
      </w:r>
      <w:proofErr w:type="spellStart"/>
      <w:proofErr w:type="gramEnd"/>
      <w:r>
        <w:rPr>
          <w:rFonts w:ascii="Times New Roman" w:eastAsia="Times New Roman"/>
          <w:color w:val="1F2937"/>
          <w:spacing w:val="-2"/>
          <w:lang w:eastAsia="zh-TW"/>
        </w:rPr>
        <w:t>B</w:t>
      </w:r>
      <w:r>
        <w:rPr>
          <w:rFonts w:ascii="Times New Roman" w:eastAsia="Times New Roman"/>
          <w:color w:val="1F2937"/>
          <w:lang w:eastAsia="zh-TW"/>
        </w:rPr>
        <w:t>oin</w:t>
      </w:r>
      <w:proofErr w:type="spellEnd"/>
      <w:r>
        <w:rPr>
          <w:rFonts w:ascii="Times New Roman" w:eastAsia="Times New Roman"/>
          <w:color w:val="1F2937"/>
          <w:spacing w:val="-5"/>
          <w:lang w:eastAsia="zh-TW"/>
        </w:rPr>
        <w:t xml:space="preserve">  </w:t>
      </w:r>
      <w:r>
        <w:rPr>
          <w:rFonts w:ascii="Times New Roman" w:eastAsia="Times New Roman"/>
          <w:color w:val="1F2937"/>
          <w:lang w:eastAsia="zh-TW"/>
        </w:rPr>
        <w:t>&amp;</w:t>
      </w:r>
      <w:r>
        <w:rPr>
          <w:rFonts w:ascii="Times New Roman" w:eastAsia="Times New Roman"/>
          <w:color w:val="1F2937"/>
          <w:spacing w:val="-6"/>
          <w:lang w:eastAsia="zh-TW"/>
        </w:rPr>
        <w:t xml:space="preserve">  </w:t>
      </w:r>
      <w:r>
        <w:rPr>
          <w:rFonts w:ascii="Times New Roman" w:eastAsia="Times New Roman"/>
          <w:color w:val="1F2937"/>
          <w:lang w:eastAsia="zh-TW"/>
        </w:rPr>
        <w:t>v</w:t>
      </w:r>
      <w:r>
        <w:rPr>
          <w:rFonts w:ascii="Times New Roman" w:eastAsia="Times New Roman"/>
          <w:color w:val="1F2937"/>
          <w:spacing w:val="-1"/>
          <w:lang w:eastAsia="zh-TW"/>
        </w:rPr>
        <w:t>a</w:t>
      </w:r>
      <w:r>
        <w:rPr>
          <w:rFonts w:ascii="Times New Roman" w:eastAsia="Times New Roman"/>
          <w:color w:val="1F2937"/>
          <w:lang w:eastAsia="zh-TW"/>
        </w:rPr>
        <w:t>n</w:t>
      </w:r>
      <w:r>
        <w:rPr>
          <w:rFonts w:ascii="Times New Roman" w:eastAsia="Times New Roman"/>
          <w:color w:val="1F2937"/>
          <w:spacing w:val="-5"/>
          <w:lang w:eastAsia="zh-TW"/>
        </w:rPr>
        <w:t xml:space="preserve">  </w:t>
      </w:r>
      <w:proofErr w:type="spellStart"/>
      <w:r>
        <w:rPr>
          <w:rFonts w:ascii="Times New Roman" w:eastAsia="Times New Roman"/>
          <w:color w:val="1F2937"/>
          <w:spacing w:val="-1"/>
          <w:lang w:eastAsia="zh-TW"/>
        </w:rPr>
        <w:t>Ee</w:t>
      </w:r>
      <w:r>
        <w:rPr>
          <w:rFonts w:ascii="Times New Roman" w:eastAsia="Times New Roman"/>
          <w:color w:val="1F2937"/>
          <w:lang w:eastAsia="zh-TW"/>
        </w:rPr>
        <w:t>t</w:t>
      </w:r>
      <w:r>
        <w:rPr>
          <w:rFonts w:ascii="Times New Roman" w:eastAsia="Times New Roman"/>
          <w:color w:val="1F2937"/>
          <w:spacing w:val="-1"/>
          <w:lang w:eastAsia="zh-TW"/>
        </w:rPr>
        <w:t>e</w:t>
      </w:r>
      <w:r>
        <w:rPr>
          <w:rFonts w:ascii="Times New Roman" w:eastAsia="Times New Roman"/>
          <w:color w:val="1F2937"/>
          <w:spacing w:val="2"/>
          <w:lang w:eastAsia="zh-TW"/>
        </w:rPr>
        <w:t>n</w:t>
      </w:r>
      <w:proofErr w:type="spellEnd"/>
      <w:r>
        <w:rPr>
          <w:rFonts w:ascii="Times New Roman" w:eastAsia="Times New Roman"/>
          <w:color w:val="1F2937"/>
          <w:lang w:eastAsia="zh-TW"/>
        </w:rPr>
        <w:t>,</w:t>
      </w:r>
    </w:p>
    <w:p w:rsidR="002C50A5" w:rsidRDefault="00A447DA">
      <w:pPr>
        <w:pStyle w:val="a3"/>
        <w:spacing w:before="1" w:line="338" w:lineRule="auto"/>
        <w:ind w:left="22" w:right="66" w:firstLine="0"/>
        <w:jc w:val="left"/>
        <w:rPr>
          <w:lang w:eastAsia="zh-TW"/>
        </w:rPr>
      </w:pPr>
      <w:r>
        <w:rPr>
          <w:lang w:eastAsia="zh-TW"/>
        </w:rPr>
        <w:t>2013</w:t>
      </w:r>
      <w:proofErr w:type="gramStart"/>
      <w:r>
        <w:rPr>
          <w:lang w:eastAsia="zh-TW"/>
        </w:rPr>
        <w:t>）</w:t>
      </w:r>
      <w:proofErr w:type="gramEnd"/>
      <w:r>
        <w:rPr>
          <w:lang w:eastAsia="zh-TW"/>
        </w:rPr>
        <w:t>。本文則聚焦既有行政制度面對 AI 所引發的跨座標移動、邊界消解與權威重構時，能否維持情境建構、權威、理由與責任四鏈。它不以效率或恢復速度為判</w:t>
      </w:r>
      <w:proofErr w:type="gramStart"/>
      <w:r>
        <w:rPr>
          <w:lang w:eastAsia="zh-TW"/>
        </w:rPr>
        <w:t>準</w:t>
      </w:r>
      <w:proofErr w:type="gramEnd"/>
      <w:r>
        <w:rPr>
          <w:lang w:eastAsia="zh-TW"/>
        </w:rPr>
        <w:t>，而以規範性制度功  能是否仍可履行為核心。</w:t>
      </w:r>
    </w:p>
    <w:p w:rsidR="002C50A5" w:rsidRDefault="00A447DA">
      <w:pPr>
        <w:pStyle w:val="a3"/>
        <w:spacing w:before="120" w:line="338" w:lineRule="auto"/>
        <w:ind w:right="307"/>
        <w:rPr>
          <w:rFonts w:ascii="Times New Roman" w:eastAsia="Times New Roman"/>
        </w:rPr>
      </w:pPr>
      <w:proofErr w:type="spellStart"/>
      <w:r>
        <w:rPr>
          <w:color w:val="1F2937"/>
        </w:rPr>
        <w:t>本文所稱制度吸收能力，英文完整表述為</w:t>
      </w:r>
      <w:proofErr w:type="spellEnd"/>
      <w:r>
        <w:rPr>
          <w:color w:val="1F2937"/>
        </w:rPr>
        <w:t xml:space="preserve"> </w:t>
      </w:r>
      <w:r>
        <w:rPr>
          <w:rFonts w:ascii="Times New Roman" w:eastAsia="Times New Roman"/>
          <w:color w:val="1F2937"/>
        </w:rPr>
        <w:t>institutional capacity to absorb AI-induced structural</w:t>
      </w:r>
      <w:r>
        <w:rPr>
          <w:rFonts w:ascii="Times New Roman" w:eastAsia="Times New Roman"/>
          <w:color w:val="1F2937"/>
          <w:spacing w:val="32"/>
        </w:rPr>
        <w:t xml:space="preserve"> </w:t>
      </w:r>
      <w:proofErr w:type="spellStart"/>
      <w:r>
        <w:rPr>
          <w:rFonts w:ascii="Times New Roman" w:eastAsia="Times New Roman"/>
          <w:color w:val="1F2937"/>
        </w:rPr>
        <w:t>disruptions</w:t>
      </w:r>
      <w:r>
        <w:rPr>
          <w:color w:val="1F2937"/>
          <w:spacing w:val="3"/>
        </w:rPr>
        <w:t>，與組織學習文獻的</w:t>
      </w:r>
      <w:proofErr w:type="spellEnd"/>
      <w:r>
        <w:rPr>
          <w:color w:val="1F2937"/>
          <w:spacing w:val="3"/>
        </w:rPr>
        <w:t xml:space="preserve"> </w:t>
      </w:r>
      <w:r>
        <w:rPr>
          <w:rFonts w:ascii="Times New Roman" w:eastAsia="Times New Roman"/>
          <w:color w:val="1F2937"/>
        </w:rPr>
        <w:t>absorptive</w:t>
      </w:r>
      <w:r>
        <w:rPr>
          <w:rFonts w:ascii="Times New Roman" w:eastAsia="Times New Roman"/>
          <w:color w:val="1F2937"/>
          <w:spacing w:val="34"/>
        </w:rPr>
        <w:t xml:space="preserve"> </w:t>
      </w:r>
      <w:r>
        <w:rPr>
          <w:rFonts w:ascii="Times New Roman" w:eastAsia="Times New Roman"/>
          <w:color w:val="1F2937"/>
        </w:rPr>
        <w:t>capacity</w:t>
      </w:r>
      <w:r>
        <w:rPr>
          <w:rFonts w:ascii="Times New Roman" w:eastAsia="Times New Roman"/>
          <w:color w:val="1F2937"/>
          <w:spacing w:val="31"/>
        </w:rPr>
        <w:t xml:space="preserve"> </w:t>
      </w:r>
      <w:proofErr w:type="spellStart"/>
      <w:r>
        <w:rPr>
          <w:color w:val="1F2937"/>
        </w:rPr>
        <w:t>不同。</w:t>
      </w:r>
      <w:r>
        <w:rPr>
          <w:rFonts w:ascii="Times New Roman" w:eastAsia="Times New Roman"/>
          <w:color w:val="1F2937"/>
        </w:rPr>
        <w:t>Cohen</w:t>
      </w:r>
      <w:proofErr w:type="spellEnd"/>
      <w:r>
        <w:rPr>
          <w:rFonts w:ascii="Times New Roman" w:eastAsia="Times New Roman"/>
          <w:color w:val="1F2937"/>
          <w:spacing w:val="26"/>
        </w:rPr>
        <w:t xml:space="preserve"> </w:t>
      </w:r>
      <w:r>
        <w:rPr>
          <w:color w:val="1F2937"/>
          <w:spacing w:val="27"/>
        </w:rPr>
        <w:t xml:space="preserve">與 </w:t>
      </w:r>
      <w:r>
        <w:rPr>
          <w:rFonts w:ascii="Times New Roman" w:eastAsia="Times New Roman"/>
          <w:color w:val="1F2937"/>
          <w:spacing w:val="-2"/>
        </w:rPr>
        <w:t>Levinthal</w:t>
      </w:r>
    </w:p>
    <w:p w:rsidR="002C50A5" w:rsidRDefault="00A447DA">
      <w:pPr>
        <w:pStyle w:val="a3"/>
        <w:spacing w:before="1" w:line="338" w:lineRule="auto"/>
        <w:ind w:left="22" w:right="300" w:firstLine="0"/>
        <w:rPr>
          <w:lang w:eastAsia="zh-TW"/>
        </w:rPr>
      </w:pPr>
      <w:r>
        <w:rPr>
          <w:color w:val="1F2937"/>
          <w:spacing w:val="-2"/>
          <w:lang w:eastAsia="zh-TW"/>
        </w:rPr>
        <w:t>（</w:t>
      </w:r>
      <w:r>
        <w:rPr>
          <w:rFonts w:ascii="Times New Roman" w:eastAsia="Times New Roman"/>
          <w:color w:val="1F2937"/>
          <w:spacing w:val="-2"/>
          <w:lang w:eastAsia="zh-TW"/>
        </w:rPr>
        <w:t>1990</w:t>
      </w:r>
      <w:r>
        <w:rPr>
          <w:color w:val="1F2937"/>
          <w:spacing w:val="-2"/>
          <w:lang w:eastAsia="zh-TW"/>
        </w:rPr>
        <w:t>）所稱吸收能力，指組織辨識、消化與應用外部知識的能力；本文概念則專指</w:t>
      </w:r>
      <w:r>
        <w:rPr>
          <w:color w:val="1F2937"/>
          <w:lang w:eastAsia="zh-TW"/>
        </w:rPr>
        <w:t xml:space="preserve">行政制度面對 </w:t>
      </w:r>
      <w:r>
        <w:rPr>
          <w:rFonts w:ascii="Times New Roman" w:eastAsia="Times New Roman"/>
          <w:color w:val="1F2937"/>
          <w:lang w:eastAsia="zh-TW"/>
        </w:rPr>
        <w:t xml:space="preserve">AI </w:t>
      </w:r>
      <w:r>
        <w:rPr>
          <w:color w:val="1F2937"/>
          <w:lang w:eastAsia="zh-TW"/>
        </w:rPr>
        <w:t>結構衝擊時維持規範功能的能力，不沿用其知識學習意涵。</w:t>
      </w:r>
    </w:p>
    <w:p w:rsidR="002C50A5" w:rsidRDefault="00A447DA">
      <w:pPr>
        <w:pStyle w:val="a3"/>
        <w:spacing w:before="121" w:line="338" w:lineRule="auto"/>
        <w:ind w:right="293"/>
        <w:rPr>
          <w:lang w:eastAsia="zh-TW"/>
        </w:rPr>
      </w:pPr>
      <w:r>
        <w:rPr>
          <w:lang w:eastAsia="zh-TW"/>
        </w:rPr>
        <w:t>二十五治理座標、三種行政權力功能性移轉（P1情境建構與事實認定、P2行政裁量與價值判斷、P3公權力決定之實質影響力）與三項結構效應，承接盧建旭</w:t>
      </w:r>
      <w:r>
        <w:rPr>
          <w:lang w:eastAsia="zh-TW"/>
        </w:rPr>
        <w:lastRenderedPageBreak/>
        <w:t>（2026）〈重新概念化人工智慧治理〉之共同母架構「25-3-3-4-7」，構成本文的情境定位架構。其判</w:t>
      </w:r>
      <w:proofErr w:type="gramStart"/>
      <w:r>
        <w:rPr>
          <w:lang w:eastAsia="zh-TW"/>
        </w:rPr>
        <w:t>準</w:t>
      </w:r>
      <w:proofErr w:type="gramEnd"/>
      <w:r>
        <w:rPr>
          <w:lang w:eastAsia="zh-TW"/>
        </w:rPr>
        <w:t>維持質性與方向性，不以未發生的情境假設為基礎製造量化分數。本文所稱「轉換條件」只是觀察情境移動的指標，不是因果機制；若要建立測量模型，應另以已有公開文件與實際運作紀錄的案例發展。</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pStyle w:val="1"/>
        <w:numPr>
          <w:ilvl w:val="0"/>
          <w:numId w:val="9"/>
        </w:numPr>
        <w:tabs>
          <w:tab w:val="left" w:pos="584"/>
        </w:tabs>
        <w:ind w:left="584" w:hanging="561"/>
        <w:rPr>
          <w:lang w:eastAsia="zh-TW"/>
        </w:rPr>
      </w:pPr>
      <w:bookmarkStart w:id="13" w:name="參、文獻對話：本文架構的必要性與限制"/>
      <w:bookmarkEnd w:id="13"/>
      <w:r>
        <w:rPr>
          <w:color w:val="1F4E78"/>
          <w:spacing w:val="-3"/>
          <w:lang w:eastAsia="zh-TW"/>
        </w:rPr>
        <w:lastRenderedPageBreak/>
        <w:t>文獻對話：本文架構的必要性與限制</w:t>
      </w:r>
    </w:p>
    <w:p w:rsidR="002C50A5" w:rsidRDefault="00A447DA">
      <w:pPr>
        <w:pStyle w:val="2"/>
        <w:numPr>
          <w:ilvl w:val="1"/>
          <w:numId w:val="9"/>
        </w:numPr>
        <w:tabs>
          <w:tab w:val="left" w:pos="522"/>
        </w:tabs>
        <w:spacing w:before="394"/>
        <w:ind w:left="522" w:hanging="499"/>
        <w:rPr>
          <w:lang w:eastAsia="zh-TW"/>
        </w:rPr>
      </w:pPr>
      <w:bookmarkStart w:id="14" w:name="一、多層次與三層次模型的限制"/>
      <w:bookmarkEnd w:id="14"/>
      <w:r>
        <w:rPr>
          <w:color w:val="1F2937"/>
          <w:spacing w:val="-5"/>
          <w:lang w:eastAsia="zh-TW"/>
        </w:rPr>
        <w:t>多層次與三層次模型的限制</w:t>
      </w:r>
    </w:p>
    <w:p w:rsidR="002C50A5" w:rsidRDefault="00A447DA">
      <w:pPr>
        <w:pStyle w:val="a3"/>
        <w:ind w:left="443" w:right="0" w:firstLine="0"/>
        <w:rPr>
          <w:lang w:eastAsia="zh-TW"/>
        </w:rPr>
      </w:pPr>
      <w:proofErr w:type="spellStart"/>
      <w:r>
        <w:rPr>
          <w:rFonts w:ascii="Times New Roman" w:eastAsia="Times New Roman" w:hAnsi="Times New Roman"/>
          <w:color w:val="1F2937"/>
          <w:lang w:eastAsia="zh-TW"/>
        </w:rPr>
        <w:t>Criado</w:t>
      </w:r>
      <w:proofErr w:type="spellEnd"/>
      <w:r>
        <w:rPr>
          <w:rFonts w:ascii="Times New Roman" w:eastAsia="Times New Roman" w:hAnsi="Times New Roman"/>
          <w:color w:val="1F2937"/>
          <w:spacing w:val="48"/>
          <w:lang w:eastAsia="zh-TW"/>
        </w:rPr>
        <w:t xml:space="preserve"> </w:t>
      </w:r>
      <w:r>
        <w:rPr>
          <w:color w:val="1F2937"/>
          <w:lang w:eastAsia="zh-TW"/>
        </w:rPr>
        <w:t>等人（</w:t>
      </w:r>
      <w:r>
        <w:rPr>
          <w:rFonts w:ascii="Times New Roman" w:eastAsia="Times New Roman" w:hAnsi="Times New Roman"/>
          <w:color w:val="1F2937"/>
          <w:lang w:eastAsia="zh-TW"/>
        </w:rPr>
        <w:t>2025</w:t>
      </w:r>
      <w:r>
        <w:rPr>
          <w:color w:val="1F2937"/>
          <w:lang w:eastAsia="zh-TW"/>
        </w:rPr>
        <w:t>）</w:t>
      </w:r>
      <w:r>
        <w:rPr>
          <w:color w:val="1F2937"/>
          <w:spacing w:val="5"/>
          <w:lang w:eastAsia="zh-TW"/>
        </w:rPr>
        <w:t>以宏觀、</w:t>
      </w:r>
      <w:proofErr w:type="gramStart"/>
      <w:r>
        <w:rPr>
          <w:color w:val="1F2937"/>
          <w:spacing w:val="5"/>
          <w:lang w:eastAsia="zh-TW"/>
        </w:rPr>
        <w:t>中觀與</w:t>
      </w:r>
      <w:proofErr w:type="gramEnd"/>
      <w:r>
        <w:rPr>
          <w:color w:val="1F2937"/>
          <w:spacing w:val="5"/>
          <w:lang w:eastAsia="zh-TW"/>
        </w:rPr>
        <w:t xml:space="preserve">微觀層次組織 </w:t>
      </w:r>
      <w:r>
        <w:rPr>
          <w:rFonts w:ascii="Times New Roman" w:eastAsia="Times New Roman" w:hAnsi="Times New Roman"/>
          <w:color w:val="1F2937"/>
          <w:lang w:eastAsia="zh-TW"/>
        </w:rPr>
        <w:t>AI</w:t>
      </w:r>
      <w:r>
        <w:rPr>
          <w:rFonts w:ascii="Times New Roman" w:eastAsia="Times New Roman" w:hAnsi="Times New Roman"/>
          <w:color w:val="1F2937"/>
          <w:spacing w:val="45"/>
          <w:lang w:eastAsia="zh-TW"/>
        </w:rPr>
        <w:t xml:space="preserve"> </w:t>
      </w:r>
      <w:r>
        <w:rPr>
          <w:color w:val="1F2937"/>
          <w:lang w:eastAsia="zh-TW"/>
        </w:rPr>
        <w:t>治理討論，</w:t>
      </w:r>
      <w:proofErr w:type="spellStart"/>
      <w:r>
        <w:rPr>
          <w:rFonts w:ascii="Times New Roman" w:eastAsia="Times New Roman" w:hAnsi="Times New Roman"/>
          <w:color w:val="1F2937"/>
          <w:lang w:eastAsia="zh-TW"/>
        </w:rPr>
        <w:t>Mökander</w:t>
      </w:r>
      <w:proofErr w:type="spellEnd"/>
      <w:r>
        <w:rPr>
          <w:rFonts w:ascii="Times New Roman" w:eastAsia="Times New Roman" w:hAnsi="Times New Roman"/>
          <w:color w:val="1F2937"/>
          <w:spacing w:val="48"/>
          <w:lang w:eastAsia="zh-TW"/>
        </w:rPr>
        <w:t xml:space="preserve"> </w:t>
      </w:r>
      <w:r>
        <w:rPr>
          <w:color w:val="1F2937"/>
          <w:spacing w:val="-5"/>
          <w:lang w:eastAsia="zh-TW"/>
        </w:rPr>
        <w:t>等人</w:t>
      </w:r>
    </w:p>
    <w:p w:rsidR="002C50A5" w:rsidRDefault="00A447DA">
      <w:pPr>
        <w:pStyle w:val="a3"/>
        <w:spacing w:before="180" w:line="338" w:lineRule="auto"/>
        <w:ind w:left="22" w:right="297" w:firstLine="0"/>
        <w:rPr>
          <w:lang w:eastAsia="zh-TW"/>
        </w:rPr>
      </w:pPr>
      <w:r>
        <w:rPr>
          <w:color w:val="1F2937"/>
          <w:spacing w:val="4"/>
          <w:lang w:eastAsia="zh-TW"/>
        </w:rPr>
        <w:t>（</w:t>
      </w:r>
      <w:r>
        <w:rPr>
          <w:rFonts w:ascii="Times New Roman" w:eastAsia="Times New Roman"/>
          <w:color w:val="1F2937"/>
          <w:lang w:eastAsia="zh-TW"/>
        </w:rPr>
        <w:t>202</w:t>
      </w:r>
      <w:r>
        <w:rPr>
          <w:rFonts w:ascii="Times New Roman" w:eastAsia="Times New Roman"/>
          <w:color w:val="1F2937"/>
          <w:spacing w:val="4"/>
          <w:lang w:eastAsia="zh-TW"/>
        </w:rPr>
        <w:t>4</w:t>
      </w:r>
      <w:r>
        <w:rPr>
          <w:color w:val="1F2937"/>
          <w:spacing w:val="4"/>
          <w:lang w:eastAsia="zh-TW"/>
        </w:rPr>
        <w:t>）</w:t>
      </w:r>
      <w:r>
        <w:rPr>
          <w:color w:val="1F2937"/>
          <w:spacing w:val="2"/>
          <w:lang w:eastAsia="zh-TW"/>
        </w:rPr>
        <w:t>則區分治理、模型與應用三個分析層面。這些架構有助於辨識層次，但較少同時交叉分析單位，也未以跨座標移動、邊界消解與權威重構追蹤同一技術介入的連鎖</w:t>
      </w:r>
      <w:r>
        <w:rPr>
          <w:color w:val="1F2937"/>
          <w:spacing w:val="-3"/>
          <w:lang w:eastAsia="zh-TW"/>
        </w:rPr>
        <w:t xml:space="preserve">影響。本文以圖  </w:t>
      </w:r>
      <w:r>
        <w:rPr>
          <w:rFonts w:ascii="Times New Roman" w:eastAsia="Times New Roman"/>
          <w:color w:val="1F2937"/>
          <w:lang w:eastAsia="zh-TW"/>
        </w:rPr>
        <w:t>2</w:t>
      </w:r>
      <w:r>
        <w:rPr>
          <w:rFonts w:ascii="Times New Roman" w:eastAsia="Times New Roman"/>
          <w:color w:val="1F2937"/>
          <w:spacing w:val="12"/>
          <w:lang w:eastAsia="zh-TW"/>
        </w:rPr>
        <w:t xml:space="preserve"> </w:t>
      </w:r>
      <w:r>
        <w:rPr>
          <w:color w:val="1F2937"/>
          <w:spacing w:val="-2"/>
          <w:lang w:eastAsia="zh-TW"/>
        </w:rPr>
        <w:t>的二十五治理座標補足這項定位功能。  多層次架構回答的是現象位</w:t>
      </w:r>
      <w:r>
        <w:rPr>
          <w:color w:val="1F2937"/>
          <w:spacing w:val="2"/>
          <w:lang w:eastAsia="zh-TW"/>
        </w:rPr>
        <w:t>於哪一尺度；本文進一步處理同一技術介入如何在層次與單位之間移動，以及移動後何種制度功能受到壓力。因此，二十五治理座標不是替代多層次治理研究，而是提供</w:t>
      </w:r>
      <w:r>
        <w:rPr>
          <w:color w:val="1F2937"/>
          <w:lang w:eastAsia="zh-TW"/>
        </w:rPr>
        <w:t>跨層次、跨單位路徑的追蹤介面。</w:t>
      </w:r>
    </w:p>
    <w:p w:rsidR="002C50A5" w:rsidRDefault="00A447DA">
      <w:pPr>
        <w:pStyle w:val="2"/>
        <w:numPr>
          <w:ilvl w:val="1"/>
          <w:numId w:val="9"/>
        </w:numPr>
        <w:tabs>
          <w:tab w:val="left" w:pos="522"/>
        </w:tabs>
        <w:spacing w:before="182"/>
        <w:ind w:left="522" w:hanging="499"/>
        <w:rPr>
          <w:lang w:eastAsia="zh-TW"/>
        </w:rPr>
      </w:pPr>
      <w:bookmarkStart w:id="15" w:name="二、問責與供應鏈研究的啟示與缺口"/>
      <w:bookmarkEnd w:id="15"/>
      <w:proofErr w:type="gramStart"/>
      <w:r>
        <w:rPr>
          <w:color w:val="1F2937"/>
          <w:spacing w:val="-5"/>
          <w:lang w:eastAsia="zh-TW"/>
        </w:rPr>
        <w:t>問責與</w:t>
      </w:r>
      <w:proofErr w:type="gramEnd"/>
      <w:r>
        <w:rPr>
          <w:color w:val="1F2937"/>
          <w:spacing w:val="-5"/>
          <w:lang w:eastAsia="zh-TW"/>
        </w:rPr>
        <w:t>供應鏈研究的啟示與缺口</w:t>
      </w:r>
    </w:p>
    <w:p w:rsidR="002C50A5" w:rsidRDefault="00A447DA">
      <w:pPr>
        <w:pStyle w:val="a3"/>
        <w:spacing w:line="338" w:lineRule="auto"/>
        <w:ind w:right="297"/>
        <w:rPr>
          <w:lang w:eastAsia="zh-TW"/>
        </w:rPr>
      </w:pPr>
      <w:proofErr w:type="spellStart"/>
      <w:r>
        <w:rPr>
          <w:rFonts w:ascii="Times New Roman" w:eastAsia="Times New Roman"/>
          <w:color w:val="1F2937"/>
          <w:lang w:eastAsia="zh-TW"/>
        </w:rPr>
        <w:t>Busuioc</w:t>
      </w:r>
      <w:proofErr w:type="spellEnd"/>
      <w:r>
        <w:rPr>
          <w:color w:val="1F2937"/>
          <w:lang w:eastAsia="zh-TW"/>
        </w:rPr>
        <w:t>（</w:t>
      </w:r>
      <w:r>
        <w:rPr>
          <w:rFonts w:ascii="Times New Roman" w:eastAsia="Times New Roman"/>
          <w:color w:val="1F2937"/>
          <w:lang w:eastAsia="zh-TW"/>
        </w:rPr>
        <w:t>2021</w:t>
      </w:r>
      <w:r>
        <w:rPr>
          <w:color w:val="1F2937"/>
          <w:lang w:eastAsia="zh-TW"/>
        </w:rPr>
        <w:t>）</w:t>
      </w:r>
      <w:r>
        <w:rPr>
          <w:color w:val="1F2937"/>
          <w:spacing w:val="-7"/>
          <w:lang w:eastAsia="zh-TW"/>
        </w:rPr>
        <w:t xml:space="preserve">及 </w:t>
      </w:r>
      <w:r>
        <w:rPr>
          <w:rFonts w:ascii="Times New Roman" w:eastAsia="Times New Roman"/>
          <w:color w:val="1F2937"/>
          <w:lang w:eastAsia="zh-TW"/>
        </w:rPr>
        <w:t>Cobbe</w:t>
      </w:r>
      <w:r>
        <w:rPr>
          <w:rFonts w:ascii="Times New Roman" w:eastAsia="Times New Roman"/>
          <w:color w:val="1F2937"/>
          <w:spacing w:val="-15"/>
          <w:lang w:eastAsia="zh-TW"/>
        </w:rPr>
        <w:t xml:space="preserve"> </w:t>
      </w:r>
      <w:r>
        <w:rPr>
          <w:color w:val="1F2937"/>
          <w:lang w:eastAsia="zh-TW"/>
        </w:rPr>
        <w:t>等人（</w:t>
      </w:r>
      <w:r>
        <w:rPr>
          <w:rFonts w:ascii="Times New Roman" w:eastAsia="Times New Roman"/>
          <w:color w:val="1F2937"/>
          <w:lang w:eastAsia="zh-TW"/>
        </w:rPr>
        <w:t>2021,</w:t>
      </w:r>
      <w:r>
        <w:rPr>
          <w:rFonts w:ascii="Times New Roman" w:eastAsia="Times New Roman"/>
          <w:color w:val="1F2937"/>
          <w:spacing w:val="-5"/>
          <w:lang w:eastAsia="zh-TW"/>
        </w:rPr>
        <w:t xml:space="preserve"> </w:t>
      </w:r>
      <w:r>
        <w:rPr>
          <w:rFonts w:ascii="Times New Roman" w:eastAsia="Times New Roman"/>
          <w:color w:val="1F2937"/>
          <w:lang w:eastAsia="zh-TW"/>
        </w:rPr>
        <w:t>2023</w:t>
      </w:r>
      <w:r>
        <w:rPr>
          <w:color w:val="1F2937"/>
          <w:lang w:eastAsia="zh-TW"/>
        </w:rPr>
        <w:t>）已說明</w:t>
      </w:r>
      <w:proofErr w:type="gramStart"/>
      <w:r>
        <w:rPr>
          <w:color w:val="1F2937"/>
          <w:lang w:eastAsia="zh-TW"/>
        </w:rPr>
        <w:t>演算法問責與</w:t>
      </w:r>
      <w:proofErr w:type="gramEnd"/>
      <w:r>
        <w:rPr>
          <w:color w:val="1F2937"/>
          <w:lang w:eastAsia="zh-TW"/>
        </w:rPr>
        <w:t>供應鏈責任的複</w:t>
      </w:r>
      <w:r>
        <w:rPr>
          <w:color w:val="1F2937"/>
          <w:spacing w:val="-2"/>
          <w:lang w:eastAsia="zh-TW"/>
        </w:rPr>
        <w:t>雜性。本文據此將責任、理由與權威分開處理，並進一步追問這些問題發生於哪些治理層次與分析單位。本文的貢獻不是取代</w:t>
      </w:r>
      <w:proofErr w:type="gramStart"/>
      <w:r>
        <w:rPr>
          <w:color w:val="1F2937"/>
          <w:spacing w:val="-2"/>
          <w:lang w:eastAsia="zh-TW"/>
        </w:rPr>
        <w:t>既有問責研究</w:t>
      </w:r>
      <w:proofErr w:type="gramEnd"/>
      <w:r>
        <w:rPr>
          <w:color w:val="1F2937"/>
          <w:spacing w:val="-2"/>
          <w:lang w:eastAsia="zh-TW"/>
        </w:rPr>
        <w:t>，而是把其問題置入可追蹤跨</w:t>
      </w:r>
      <w:r>
        <w:rPr>
          <w:color w:val="1F2937"/>
          <w:spacing w:val="1"/>
          <w:lang w:eastAsia="zh-TW"/>
        </w:rPr>
        <w:t xml:space="preserve">層次與跨單位變化的座標。 </w:t>
      </w:r>
      <w:r>
        <w:rPr>
          <w:rFonts w:ascii="Times New Roman" w:eastAsia="Times New Roman"/>
          <w:color w:val="1F2937"/>
          <w:lang w:eastAsia="zh-TW"/>
        </w:rPr>
        <w:t>Young</w:t>
      </w:r>
      <w:r>
        <w:rPr>
          <w:rFonts w:ascii="Times New Roman" w:eastAsia="Times New Roman"/>
          <w:color w:val="1F2937"/>
          <w:spacing w:val="-15"/>
          <w:lang w:eastAsia="zh-TW"/>
        </w:rPr>
        <w:t xml:space="preserve"> </w:t>
      </w:r>
      <w:r>
        <w:rPr>
          <w:color w:val="1F2937"/>
          <w:lang w:eastAsia="zh-TW"/>
        </w:rPr>
        <w:t>等人（</w:t>
      </w:r>
      <w:r>
        <w:rPr>
          <w:rFonts w:ascii="Times New Roman" w:eastAsia="Times New Roman"/>
          <w:color w:val="1F2937"/>
          <w:lang w:eastAsia="zh-TW"/>
        </w:rPr>
        <w:t>2019</w:t>
      </w:r>
      <w:r>
        <w:rPr>
          <w:color w:val="1F2937"/>
          <w:lang w:eastAsia="zh-TW"/>
        </w:rPr>
        <w:t>）對人工裁量的分析另指出，</w:t>
      </w:r>
      <w:r>
        <w:rPr>
          <w:rFonts w:ascii="Times New Roman" w:eastAsia="Times New Roman"/>
          <w:color w:val="1F2937"/>
          <w:lang w:eastAsia="zh-TW"/>
        </w:rPr>
        <w:t>AI</w:t>
      </w:r>
      <w:r>
        <w:rPr>
          <w:rFonts w:ascii="Times New Roman" w:eastAsia="Times New Roman"/>
          <w:color w:val="1F2937"/>
          <w:spacing w:val="-15"/>
          <w:lang w:eastAsia="zh-TW"/>
        </w:rPr>
        <w:t xml:space="preserve"> </w:t>
      </w:r>
      <w:r>
        <w:rPr>
          <w:color w:val="1F2937"/>
          <w:lang w:eastAsia="zh-TW"/>
        </w:rPr>
        <w:t>不只是</w:t>
      </w:r>
      <w:r>
        <w:rPr>
          <w:color w:val="1F2937"/>
          <w:spacing w:val="-2"/>
          <w:lang w:eastAsia="zh-TW"/>
        </w:rPr>
        <w:t>執行既定規則，也可能改變行政人員可見的選項與判斷空間。本文因此將責任歸屬、理由形成與權威配置視為三個需分開定位的問題。</w:t>
      </w:r>
    </w:p>
    <w:p w:rsidR="002C50A5" w:rsidRDefault="00A447DA">
      <w:pPr>
        <w:pStyle w:val="2"/>
        <w:numPr>
          <w:ilvl w:val="1"/>
          <w:numId w:val="9"/>
        </w:numPr>
        <w:tabs>
          <w:tab w:val="left" w:pos="522"/>
        </w:tabs>
        <w:spacing w:before="181"/>
        <w:ind w:left="522" w:hanging="499"/>
      </w:pPr>
      <w:bookmarkStart w:id="16" w:name="三、臺灣文獻的位置"/>
      <w:bookmarkEnd w:id="16"/>
      <w:proofErr w:type="spellStart"/>
      <w:r>
        <w:rPr>
          <w:color w:val="1F2937"/>
          <w:spacing w:val="-5"/>
        </w:rPr>
        <w:t>臺灣文獻的位置</w:t>
      </w:r>
      <w:proofErr w:type="spellEnd"/>
    </w:p>
    <w:p w:rsidR="002C50A5" w:rsidRDefault="00A447DA">
      <w:pPr>
        <w:pStyle w:val="a3"/>
        <w:spacing w:line="338" w:lineRule="auto"/>
        <w:ind w:right="62"/>
        <w:jc w:val="left"/>
        <w:rPr>
          <w:lang w:eastAsia="zh-TW"/>
        </w:rPr>
      </w:pPr>
      <w:r>
        <w:rPr>
          <w:color w:val="1F2937"/>
          <w:spacing w:val="4"/>
          <w:lang w:eastAsia="zh-TW"/>
        </w:rPr>
        <w:t>臺灣研究已由應用潛力逐步轉向公共價值、裁量、歧視風險與制度調適</w:t>
      </w:r>
      <w:proofErr w:type="gramStart"/>
      <w:r>
        <w:rPr>
          <w:color w:val="1F2937"/>
          <w:spacing w:val="7"/>
          <w:lang w:eastAsia="zh-TW"/>
        </w:rPr>
        <w:t>（</w:t>
      </w:r>
      <w:proofErr w:type="gramEnd"/>
      <w:r>
        <w:rPr>
          <w:color w:val="1F2937"/>
          <w:spacing w:val="4"/>
          <w:lang w:eastAsia="zh-TW"/>
        </w:rPr>
        <w:t>丁玉珍、林子倫，</w:t>
      </w:r>
      <w:r>
        <w:rPr>
          <w:rFonts w:ascii="Times New Roman" w:eastAsia="Times New Roman"/>
          <w:color w:val="1F2937"/>
          <w:lang w:eastAsia="zh-TW"/>
        </w:rPr>
        <w:t>202</w:t>
      </w:r>
      <w:r>
        <w:rPr>
          <w:rFonts w:ascii="Times New Roman" w:eastAsia="Times New Roman"/>
          <w:color w:val="1F2937"/>
          <w:spacing w:val="4"/>
          <w:lang w:eastAsia="zh-TW"/>
        </w:rPr>
        <w:t>0</w:t>
      </w:r>
      <w:r>
        <w:rPr>
          <w:color w:val="1F2937"/>
          <w:spacing w:val="3"/>
          <w:lang w:eastAsia="zh-TW"/>
        </w:rPr>
        <w:t>；黃心怡等人，</w:t>
      </w:r>
      <w:r>
        <w:rPr>
          <w:rFonts w:ascii="Times New Roman" w:eastAsia="Times New Roman"/>
          <w:color w:val="1F2937"/>
          <w:lang w:eastAsia="zh-TW"/>
        </w:rPr>
        <w:t>202</w:t>
      </w:r>
      <w:r>
        <w:rPr>
          <w:rFonts w:ascii="Times New Roman" w:eastAsia="Times New Roman"/>
          <w:color w:val="1F2937"/>
          <w:spacing w:val="4"/>
          <w:lang w:eastAsia="zh-TW"/>
        </w:rPr>
        <w:t>1</w:t>
      </w:r>
      <w:r>
        <w:rPr>
          <w:color w:val="1F2937"/>
          <w:spacing w:val="3"/>
          <w:lang w:eastAsia="zh-TW"/>
        </w:rPr>
        <w:t>；李翠萍等人，</w:t>
      </w:r>
      <w:r>
        <w:rPr>
          <w:rFonts w:ascii="Times New Roman" w:eastAsia="Times New Roman"/>
          <w:color w:val="1F2937"/>
          <w:lang w:eastAsia="zh-TW"/>
        </w:rPr>
        <w:t>202</w:t>
      </w:r>
      <w:r>
        <w:rPr>
          <w:rFonts w:ascii="Times New Roman" w:eastAsia="Times New Roman"/>
          <w:color w:val="1F2937"/>
          <w:spacing w:val="4"/>
          <w:lang w:eastAsia="zh-TW"/>
        </w:rPr>
        <w:t>2</w:t>
      </w:r>
      <w:r>
        <w:rPr>
          <w:color w:val="1F2937"/>
          <w:spacing w:val="3"/>
          <w:lang w:eastAsia="zh-TW"/>
        </w:rPr>
        <w:t>；黃心怡、陳敦源，</w:t>
      </w:r>
      <w:r>
        <w:rPr>
          <w:rFonts w:ascii="Times New Roman" w:eastAsia="Times New Roman"/>
          <w:color w:val="1F2937"/>
          <w:lang w:eastAsia="zh-TW"/>
        </w:rPr>
        <w:t>202</w:t>
      </w:r>
      <w:r>
        <w:rPr>
          <w:rFonts w:ascii="Times New Roman" w:eastAsia="Times New Roman"/>
          <w:color w:val="1F2937"/>
          <w:spacing w:val="4"/>
          <w:lang w:eastAsia="zh-TW"/>
        </w:rPr>
        <w:t>3</w:t>
      </w:r>
      <w:r>
        <w:rPr>
          <w:color w:val="1F2937"/>
          <w:spacing w:val="4"/>
          <w:lang w:eastAsia="zh-TW"/>
        </w:rPr>
        <w:t>；</w:t>
      </w:r>
      <w:proofErr w:type="gramStart"/>
      <w:r>
        <w:rPr>
          <w:color w:val="1F2937"/>
          <w:spacing w:val="4"/>
          <w:lang w:eastAsia="zh-TW"/>
        </w:rPr>
        <w:t>廖</w:t>
      </w:r>
      <w:proofErr w:type="gramEnd"/>
      <w:r>
        <w:rPr>
          <w:color w:val="1F2937"/>
          <w:spacing w:val="4"/>
          <w:lang w:eastAsia="zh-TW"/>
        </w:rPr>
        <w:t xml:space="preserve"> 興中，</w:t>
      </w:r>
      <w:r>
        <w:rPr>
          <w:rFonts w:ascii="Times New Roman" w:eastAsia="Times New Roman"/>
          <w:color w:val="1F2937"/>
          <w:lang w:eastAsia="zh-TW"/>
        </w:rPr>
        <w:t>202</w:t>
      </w:r>
      <w:r>
        <w:rPr>
          <w:rFonts w:ascii="Times New Roman" w:eastAsia="Times New Roman"/>
          <w:color w:val="1F2937"/>
          <w:spacing w:val="4"/>
          <w:lang w:eastAsia="zh-TW"/>
        </w:rPr>
        <w:t>4</w:t>
      </w:r>
      <w:r>
        <w:rPr>
          <w:color w:val="1F2937"/>
          <w:spacing w:val="2"/>
          <w:lang w:eastAsia="zh-TW"/>
        </w:rPr>
        <w:t xml:space="preserve">）。本文不主張臺灣研究欠缺理論，而是指出：座標定位、結構效應及情 </w:t>
      </w:r>
      <w:r>
        <w:rPr>
          <w:color w:val="1F2937"/>
          <w:lang w:eastAsia="zh-TW"/>
        </w:rPr>
        <w:t>境比較三者</w:t>
      </w:r>
      <w:proofErr w:type="gramStart"/>
      <w:r>
        <w:rPr>
          <w:color w:val="1F2937"/>
          <w:lang w:eastAsia="zh-TW"/>
        </w:rPr>
        <w:t>之間，</w:t>
      </w:r>
      <w:proofErr w:type="gramEnd"/>
      <w:r>
        <w:rPr>
          <w:color w:val="1F2937"/>
          <w:lang w:eastAsia="zh-TW"/>
        </w:rPr>
        <w:t>仍有進一步整合的空間。</w:t>
      </w:r>
    </w:p>
    <w:p w:rsidR="002C50A5" w:rsidRDefault="002C50A5">
      <w:pPr>
        <w:pStyle w:val="a3"/>
        <w:spacing w:line="338" w:lineRule="auto"/>
        <w:jc w:val="left"/>
        <w:rPr>
          <w:lang w:eastAsia="zh-TW"/>
        </w:rPr>
        <w:sectPr w:rsidR="002C50A5">
          <w:pgSz w:w="11906" w:h="16838"/>
          <w:pgMar w:top="1247" w:right="1417" w:bottom="1247" w:left="1417" w:header="0" w:footer="730" w:gutter="0"/>
          <w:cols w:space="720"/>
        </w:sectPr>
      </w:pPr>
    </w:p>
    <w:p w:rsidR="002C50A5" w:rsidRDefault="00A447DA">
      <w:pPr>
        <w:pStyle w:val="2"/>
        <w:numPr>
          <w:ilvl w:val="1"/>
          <w:numId w:val="9"/>
        </w:numPr>
        <w:tabs>
          <w:tab w:val="left" w:pos="522"/>
        </w:tabs>
        <w:spacing w:before="8"/>
        <w:ind w:left="522" w:hanging="499"/>
        <w:rPr>
          <w:lang w:eastAsia="zh-TW"/>
        </w:rPr>
      </w:pPr>
      <w:bookmarkStart w:id="17" w:name="四、行政能力、制度調適與組織韌性"/>
      <w:bookmarkEnd w:id="17"/>
      <w:r>
        <w:rPr>
          <w:color w:val="1F2937"/>
          <w:spacing w:val="-5"/>
          <w:lang w:eastAsia="zh-TW"/>
        </w:rPr>
        <w:lastRenderedPageBreak/>
        <w:t>行政能力、制度調適與組織韌性</w:t>
      </w:r>
    </w:p>
    <w:p w:rsidR="002C50A5" w:rsidRDefault="00A447DA">
      <w:pPr>
        <w:pStyle w:val="a3"/>
        <w:ind w:left="443" w:right="0" w:firstLine="0"/>
        <w:jc w:val="left"/>
        <w:rPr>
          <w:lang w:eastAsia="zh-TW"/>
        </w:rPr>
      </w:pPr>
      <w:r>
        <w:rPr>
          <w:color w:val="1F2937"/>
          <w:spacing w:val="11"/>
          <w:lang w:eastAsia="zh-TW"/>
        </w:rPr>
        <w:t>行政能力文獻關注機關解決公共問題所需的分析、協調、監理與政策輸送能力</w:t>
      </w:r>
    </w:p>
    <w:p w:rsidR="002C50A5" w:rsidRDefault="00A447DA">
      <w:pPr>
        <w:pStyle w:val="a3"/>
        <w:spacing w:before="182" w:line="338" w:lineRule="auto"/>
        <w:ind w:right="297" w:firstLine="0"/>
        <w:rPr>
          <w:lang w:eastAsia="zh-TW"/>
        </w:rPr>
      </w:pPr>
      <w:r>
        <w:rPr>
          <w:color w:val="1F2937"/>
          <w:lang w:eastAsia="zh-TW"/>
        </w:rPr>
        <w:t xml:space="preserve">（Lodge &amp; </w:t>
      </w:r>
      <w:proofErr w:type="spellStart"/>
      <w:r>
        <w:rPr>
          <w:color w:val="1F2937"/>
          <w:lang w:eastAsia="zh-TW"/>
        </w:rPr>
        <w:t>Wegrich</w:t>
      </w:r>
      <w:proofErr w:type="spellEnd"/>
      <w:r>
        <w:rPr>
          <w:color w:val="1F2937"/>
          <w:lang w:eastAsia="zh-TW"/>
        </w:rPr>
        <w:t>, 2014）；制度調適強調制度面對環境變遷時的規則與角色調整；組織韌性則討論組織承受衝擊後維持或恢復功能的能力（</w:t>
      </w:r>
      <w:proofErr w:type="spellStart"/>
      <w:r>
        <w:rPr>
          <w:color w:val="1F2937"/>
          <w:lang w:eastAsia="zh-TW"/>
        </w:rPr>
        <w:t>Boin</w:t>
      </w:r>
      <w:proofErr w:type="spellEnd"/>
      <w:r>
        <w:rPr>
          <w:color w:val="1F2937"/>
          <w:lang w:eastAsia="zh-TW"/>
        </w:rPr>
        <w:t xml:space="preserve"> &amp; van </w:t>
      </w:r>
      <w:proofErr w:type="spellStart"/>
      <w:r>
        <w:rPr>
          <w:color w:val="1F2937"/>
          <w:lang w:eastAsia="zh-TW"/>
        </w:rPr>
        <w:t>Eeten</w:t>
      </w:r>
      <w:proofErr w:type="spellEnd"/>
      <w:r>
        <w:rPr>
          <w:color w:val="1F2937"/>
          <w:lang w:eastAsia="zh-TW"/>
        </w:rPr>
        <w:t>, 2013）。本文的制度吸收能力與上述概念相連，但特別聚焦情境建構、權威、理由與責任四鏈能否履行規範功能。此一區分使研究者能辨識：制度可能仍具高效率與運作連續性，卻已無法提供可審查理由或定位合法決定者。</w:t>
      </w:r>
    </w:p>
    <w:p w:rsidR="002C50A5" w:rsidRDefault="00A447DA">
      <w:pPr>
        <w:pStyle w:val="2"/>
        <w:numPr>
          <w:ilvl w:val="1"/>
          <w:numId w:val="9"/>
        </w:numPr>
        <w:tabs>
          <w:tab w:val="left" w:pos="522"/>
        </w:tabs>
        <w:ind w:left="522" w:hanging="499"/>
        <w:rPr>
          <w:lang w:eastAsia="zh-TW"/>
        </w:rPr>
      </w:pPr>
      <w:bookmarkStart w:id="18" w:name="五、理由提供、問責及合法授權"/>
      <w:bookmarkEnd w:id="18"/>
      <w:r>
        <w:rPr>
          <w:color w:val="1F2937"/>
          <w:spacing w:val="-5"/>
          <w:lang w:eastAsia="zh-TW"/>
        </w:rPr>
        <w:t>情境建構、合法授權、理由提供及問責</w:t>
      </w:r>
    </w:p>
    <w:p w:rsidR="002C50A5" w:rsidRDefault="00A447DA">
      <w:pPr>
        <w:pStyle w:val="a3"/>
        <w:spacing w:line="338" w:lineRule="auto"/>
        <w:ind w:right="62"/>
        <w:jc w:val="left"/>
        <w:rPr>
          <w:lang w:eastAsia="zh-TW"/>
        </w:rPr>
      </w:pPr>
      <w:r>
        <w:rPr>
          <w:color w:val="1F2937"/>
          <w:spacing w:val="4"/>
          <w:lang w:eastAsia="zh-TW"/>
        </w:rPr>
        <w:t>情境建構、合法授權、理由說明與</w:t>
      </w:r>
      <w:proofErr w:type="gramStart"/>
      <w:r>
        <w:rPr>
          <w:color w:val="1F2937"/>
          <w:spacing w:val="4"/>
          <w:lang w:eastAsia="zh-TW"/>
        </w:rPr>
        <w:t>行政問責在</w:t>
      </w:r>
      <w:proofErr w:type="gramEnd"/>
      <w:r>
        <w:rPr>
          <w:color w:val="1F2937"/>
          <w:spacing w:val="4"/>
          <w:lang w:eastAsia="zh-TW"/>
        </w:rPr>
        <w:t>既有文獻中通常分開討論。本文的整合性貢獻，是將四者連結為制度吸收能力的四條治理鏈，同時保留其不同規範功能：理由鏈處理 決定是否可理解及可爭辯，責任鏈處理錯誤由誰承擔與補救，權威鏈處理誰有權形成 具法律效果的判斷。實質覆核是檢驗四條治理鏈能否實際改變決定的程序條件，而非只留下形式程序。</w:t>
      </w:r>
    </w:p>
    <w:p w:rsidR="002C50A5" w:rsidRDefault="00A447DA">
      <w:pPr>
        <w:pStyle w:val="1"/>
        <w:numPr>
          <w:ilvl w:val="0"/>
          <w:numId w:val="9"/>
        </w:numPr>
        <w:tabs>
          <w:tab w:val="left" w:pos="584"/>
        </w:tabs>
        <w:spacing w:before="239"/>
        <w:ind w:left="584" w:hanging="561"/>
        <w:rPr>
          <w:lang w:eastAsia="zh-TW"/>
        </w:rPr>
      </w:pPr>
      <w:bookmarkStart w:id="19" w:name="肆、AI治理下的未來政府情境分析"/>
      <w:bookmarkEnd w:id="19"/>
      <w:r>
        <w:rPr>
          <w:rFonts w:ascii="Times New Roman" w:eastAsia="Times New Roman"/>
          <w:color w:val="1F4E78"/>
          <w:spacing w:val="-2"/>
          <w:lang w:eastAsia="zh-TW"/>
        </w:rPr>
        <w:t>AI</w:t>
      </w:r>
      <w:r>
        <w:rPr>
          <w:rFonts w:ascii="Times New Roman" w:eastAsia="Times New Roman"/>
          <w:color w:val="1F4E78"/>
          <w:spacing w:val="1"/>
          <w:lang w:eastAsia="zh-TW"/>
        </w:rPr>
        <w:t xml:space="preserve"> </w:t>
      </w:r>
      <w:r>
        <w:rPr>
          <w:color w:val="1F4E78"/>
          <w:spacing w:val="-3"/>
          <w:lang w:eastAsia="zh-TW"/>
        </w:rPr>
        <w:t>治理下的未來政府情境分析</w:t>
      </w:r>
    </w:p>
    <w:p w:rsidR="002C50A5" w:rsidRDefault="00A447DA">
      <w:pPr>
        <w:pStyle w:val="a3"/>
        <w:spacing w:before="333" w:line="338" w:lineRule="auto"/>
        <w:ind w:right="297"/>
        <w:rPr>
          <w:lang w:eastAsia="zh-TW"/>
        </w:rPr>
      </w:pPr>
      <w:r>
        <w:rPr>
          <w:color w:val="1F2937"/>
          <w:lang w:eastAsia="zh-TW"/>
        </w:rPr>
        <w:t>本節以二十五治理座標定位 AI 介入，再以三項結構效應的強度及制度吸收能力，區分制度吸收型（樂觀）、調適混合型（務實）與權威位移型（悲觀）三種理想型情境。表 2 先呈現比較基準，後續各節再說明其制度樣貌與理論意涵。</w:t>
      </w:r>
    </w:p>
    <w:p w:rsidR="002C50A5" w:rsidRDefault="00A447DA">
      <w:pPr>
        <w:spacing w:before="124" w:after="28"/>
        <w:ind w:left="2322"/>
        <w:jc w:val="both"/>
        <w:rPr>
          <w:b/>
          <w:sz w:val="21"/>
          <w:lang w:eastAsia="zh-TW"/>
        </w:rPr>
      </w:pPr>
      <w:r>
        <w:rPr>
          <w:b/>
          <w:color w:val="1F2937"/>
          <w:spacing w:val="-3"/>
          <w:sz w:val="21"/>
          <w:lang w:eastAsia="zh-TW"/>
        </w:rPr>
        <w:t xml:space="preserve">表 </w:t>
      </w:r>
      <w:r>
        <w:rPr>
          <w:rFonts w:ascii="Times New Roman" w:eastAsia="Times New Roman"/>
          <w:b/>
          <w:color w:val="1F2937"/>
          <w:sz w:val="21"/>
          <w:lang w:eastAsia="zh-TW"/>
        </w:rPr>
        <w:t>2</w:t>
      </w:r>
      <w:r>
        <w:rPr>
          <w:rFonts w:ascii="Times New Roman" w:eastAsia="Times New Roman"/>
          <w:b/>
          <w:color w:val="1F2937"/>
          <w:spacing w:val="43"/>
          <w:sz w:val="21"/>
          <w:lang w:eastAsia="zh-TW"/>
        </w:rPr>
        <w:t xml:space="preserve">  </w:t>
      </w:r>
      <w:r>
        <w:rPr>
          <w:rFonts w:ascii="Times New Roman" w:eastAsia="Times New Roman"/>
          <w:b/>
          <w:color w:val="1F2937"/>
          <w:sz w:val="21"/>
          <w:lang w:eastAsia="zh-TW"/>
        </w:rPr>
        <w:t>AI</w:t>
      </w:r>
      <w:r>
        <w:rPr>
          <w:rFonts w:ascii="Times New Roman" w:eastAsia="Times New Roman"/>
          <w:b/>
          <w:color w:val="1F2937"/>
          <w:spacing w:val="-13"/>
          <w:sz w:val="21"/>
          <w:lang w:eastAsia="zh-TW"/>
        </w:rPr>
        <w:t xml:space="preserve"> </w:t>
      </w:r>
      <w:r>
        <w:rPr>
          <w:b/>
          <w:color w:val="1F2937"/>
          <w:spacing w:val="-1"/>
          <w:sz w:val="21"/>
          <w:lang w:eastAsia="zh-TW"/>
        </w:rPr>
        <w:t>治理下未來政府三種理想型情境之比較</w:t>
      </w: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409"/>
        <w:gridCol w:w="2407"/>
        <w:gridCol w:w="2409"/>
      </w:tblGrid>
      <w:tr w:rsidR="002C50A5">
        <w:trPr>
          <w:trHeight w:val="825"/>
        </w:trPr>
        <w:tc>
          <w:tcPr>
            <w:tcW w:w="1531" w:type="dxa"/>
            <w:shd w:val="clear" w:color="auto" w:fill="1F4E78"/>
          </w:tcPr>
          <w:p w:rsidR="002C50A5" w:rsidRDefault="00A447DA">
            <w:pPr>
              <w:pStyle w:val="TableParagraph"/>
              <w:spacing w:before="244"/>
              <w:ind w:left="635"/>
              <w:rPr>
                <w:b/>
                <w:sz w:val="17"/>
              </w:rPr>
            </w:pPr>
            <w:proofErr w:type="spellStart"/>
            <w:r>
              <w:rPr>
                <w:b/>
                <w:color w:val="FFFFFF"/>
                <w:spacing w:val="-3"/>
                <w:sz w:val="17"/>
              </w:rPr>
              <w:t>比較面向</w:t>
            </w:r>
            <w:proofErr w:type="spellEnd"/>
          </w:p>
        </w:tc>
        <w:tc>
          <w:tcPr>
            <w:tcW w:w="2409" w:type="dxa"/>
            <w:shd w:val="clear" w:color="auto" w:fill="538235"/>
          </w:tcPr>
          <w:p w:rsidR="002C50A5" w:rsidRDefault="00A447DA">
            <w:pPr>
              <w:pStyle w:val="TableParagraph"/>
              <w:spacing w:before="81"/>
              <w:ind w:left="988"/>
              <w:rPr>
                <w:b/>
                <w:sz w:val="17"/>
                <w:lang w:eastAsia="zh-TW"/>
              </w:rPr>
            </w:pPr>
            <w:r>
              <w:rPr>
                <w:b/>
                <w:color w:val="FFFFFF"/>
                <w:spacing w:val="-2"/>
                <w:sz w:val="17"/>
                <w:lang w:eastAsia="zh-TW"/>
              </w:rPr>
              <w:t>制度吸收型</w:t>
            </w:r>
          </w:p>
          <w:p w:rsidR="002C50A5" w:rsidRDefault="00A447DA">
            <w:pPr>
              <w:pStyle w:val="TableParagraph"/>
              <w:spacing w:before="11"/>
              <w:ind w:left="693"/>
              <w:rPr>
                <w:b/>
                <w:sz w:val="17"/>
                <w:lang w:eastAsia="zh-TW"/>
              </w:rPr>
            </w:pPr>
            <w:r>
              <w:rPr>
                <w:b/>
                <w:color w:val="FFFFFF"/>
                <w:sz w:val="17"/>
                <w:lang w:eastAsia="zh-TW"/>
              </w:rPr>
              <w:t>（樂觀情境</w:t>
            </w:r>
            <w:r>
              <w:rPr>
                <w:b/>
                <w:color w:val="FFFFFF"/>
                <w:spacing w:val="-10"/>
                <w:sz w:val="17"/>
                <w:lang w:eastAsia="zh-TW"/>
              </w:rPr>
              <w:t>）</w:t>
            </w:r>
          </w:p>
        </w:tc>
        <w:tc>
          <w:tcPr>
            <w:tcW w:w="2407" w:type="dxa"/>
            <w:shd w:val="clear" w:color="auto" w:fill="BE7700"/>
          </w:tcPr>
          <w:p w:rsidR="002C50A5" w:rsidRDefault="00A447DA">
            <w:pPr>
              <w:pStyle w:val="TableParagraph"/>
              <w:spacing w:before="81"/>
              <w:ind w:left="987"/>
              <w:rPr>
                <w:b/>
                <w:sz w:val="17"/>
                <w:lang w:eastAsia="zh-TW"/>
              </w:rPr>
            </w:pPr>
            <w:r>
              <w:rPr>
                <w:b/>
                <w:color w:val="FFFFFF"/>
                <w:spacing w:val="-2"/>
                <w:sz w:val="17"/>
                <w:lang w:eastAsia="zh-TW"/>
              </w:rPr>
              <w:t>調適混合型</w:t>
            </w:r>
          </w:p>
          <w:p w:rsidR="002C50A5" w:rsidRDefault="00A447DA">
            <w:pPr>
              <w:pStyle w:val="TableParagraph"/>
              <w:spacing w:before="11"/>
              <w:ind w:left="691"/>
              <w:rPr>
                <w:b/>
                <w:sz w:val="17"/>
                <w:lang w:eastAsia="zh-TW"/>
              </w:rPr>
            </w:pPr>
            <w:r>
              <w:rPr>
                <w:b/>
                <w:color w:val="FFFFFF"/>
                <w:sz w:val="17"/>
                <w:lang w:eastAsia="zh-TW"/>
              </w:rPr>
              <w:t>（務實情境</w:t>
            </w:r>
            <w:r>
              <w:rPr>
                <w:b/>
                <w:color w:val="FFFFFF"/>
                <w:spacing w:val="-10"/>
                <w:sz w:val="17"/>
                <w:lang w:eastAsia="zh-TW"/>
              </w:rPr>
              <w:t>）</w:t>
            </w:r>
          </w:p>
        </w:tc>
        <w:tc>
          <w:tcPr>
            <w:tcW w:w="2409" w:type="dxa"/>
            <w:shd w:val="clear" w:color="auto" w:fill="C00000"/>
          </w:tcPr>
          <w:p w:rsidR="002C50A5" w:rsidRDefault="00A447DA">
            <w:pPr>
              <w:pStyle w:val="TableParagraph"/>
              <w:spacing w:before="81"/>
              <w:ind w:left="989"/>
              <w:rPr>
                <w:b/>
                <w:sz w:val="17"/>
                <w:lang w:eastAsia="zh-TW"/>
              </w:rPr>
            </w:pPr>
            <w:r>
              <w:rPr>
                <w:b/>
                <w:color w:val="FFFFFF"/>
                <w:spacing w:val="-2"/>
                <w:sz w:val="17"/>
                <w:lang w:eastAsia="zh-TW"/>
              </w:rPr>
              <w:t>權威位移型</w:t>
            </w:r>
          </w:p>
          <w:p w:rsidR="002C50A5" w:rsidRDefault="00A447DA">
            <w:pPr>
              <w:pStyle w:val="TableParagraph"/>
              <w:spacing w:before="11"/>
              <w:ind w:left="694"/>
              <w:rPr>
                <w:b/>
                <w:sz w:val="17"/>
                <w:lang w:eastAsia="zh-TW"/>
              </w:rPr>
            </w:pPr>
            <w:r>
              <w:rPr>
                <w:b/>
                <w:color w:val="FFFFFF"/>
                <w:sz w:val="17"/>
                <w:lang w:eastAsia="zh-TW"/>
              </w:rPr>
              <w:t>（悲觀情境</w:t>
            </w:r>
            <w:r>
              <w:rPr>
                <w:b/>
                <w:color w:val="FFFFFF"/>
                <w:spacing w:val="-10"/>
                <w:sz w:val="17"/>
                <w:lang w:eastAsia="zh-TW"/>
              </w:rPr>
              <w:t>）</w:t>
            </w:r>
          </w:p>
        </w:tc>
      </w:tr>
      <w:tr w:rsidR="002C50A5">
        <w:trPr>
          <w:trHeight w:val="721"/>
        </w:trPr>
        <w:tc>
          <w:tcPr>
            <w:tcW w:w="1531" w:type="dxa"/>
            <w:shd w:val="clear" w:color="auto" w:fill="F1F1F1"/>
          </w:tcPr>
          <w:p w:rsidR="002C50A5" w:rsidRDefault="00A447DA">
            <w:pPr>
              <w:pStyle w:val="TableParagraph"/>
              <w:spacing w:before="65" w:line="237" w:lineRule="auto"/>
              <w:ind w:left="683" w:right="143" w:hanging="111"/>
              <w:rPr>
                <w:b/>
                <w:sz w:val="16"/>
              </w:rPr>
            </w:pPr>
            <w:proofErr w:type="spellStart"/>
            <w:r>
              <w:rPr>
                <w:b/>
                <w:color w:val="1F2937"/>
                <w:spacing w:val="-2"/>
                <w:sz w:val="16"/>
              </w:rPr>
              <w:t>結構結構效應強度</w:t>
            </w:r>
            <w:proofErr w:type="spellEnd"/>
          </w:p>
        </w:tc>
        <w:tc>
          <w:tcPr>
            <w:tcW w:w="2409" w:type="dxa"/>
          </w:tcPr>
          <w:p w:rsidR="002C50A5" w:rsidRDefault="00A447DA">
            <w:pPr>
              <w:pStyle w:val="TableParagraph"/>
              <w:spacing w:before="207"/>
              <w:ind w:left="508"/>
              <w:rPr>
                <w:sz w:val="16"/>
              </w:rPr>
            </w:pPr>
            <w:proofErr w:type="spellStart"/>
            <w:r>
              <w:rPr>
                <w:color w:val="1F2937"/>
                <w:spacing w:val="-4"/>
                <w:sz w:val="16"/>
              </w:rPr>
              <w:t>低；影響範圍受限</w:t>
            </w:r>
            <w:proofErr w:type="spellEnd"/>
          </w:p>
        </w:tc>
        <w:tc>
          <w:tcPr>
            <w:tcW w:w="2407" w:type="dxa"/>
          </w:tcPr>
          <w:p w:rsidR="002C50A5" w:rsidRDefault="00A447DA">
            <w:pPr>
              <w:pStyle w:val="TableParagraph"/>
              <w:spacing w:before="207"/>
              <w:ind w:left="509"/>
              <w:rPr>
                <w:sz w:val="16"/>
              </w:rPr>
            </w:pPr>
            <w:proofErr w:type="spellStart"/>
            <w:r>
              <w:rPr>
                <w:color w:val="1F2937"/>
                <w:spacing w:val="-4"/>
                <w:sz w:val="16"/>
              </w:rPr>
              <w:t>中；跨越多個座標</w:t>
            </w:r>
            <w:proofErr w:type="spellEnd"/>
          </w:p>
        </w:tc>
        <w:tc>
          <w:tcPr>
            <w:tcW w:w="2409" w:type="dxa"/>
          </w:tcPr>
          <w:p w:rsidR="002C50A5" w:rsidRDefault="00A447DA">
            <w:pPr>
              <w:pStyle w:val="TableParagraph"/>
              <w:spacing w:before="207"/>
              <w:ind w:left="512"/>
              <w:rPr>
                <w:sz w:val="16"/>
                <w:lang w:eastAsia="zh-TW"/>
              </w:rPr>
            </w:pPr>
            <w:r>
              <w:rPr>
                <w:color w:val="1F2937"/>
                <w:spacing w:val="-4"/>
                <w:sz w:val="16"/>
                <w:lang w:eastAsia="zh-TW"/>
              </w:rPr>
              <w:t>高；三項結構效應耦合</w:t>
            </w:r>
          </w:p>
        </w:tc>
      </w:tr>
      <w:tr w:rsidR="002C50A5">
        <w:trPr>
          <w:trHeight w:val="722"/>
        </w:trPr>
        <w:tc>
          <w:tcPr>
            <w:tcW w:w="1531" w:type="dxa"/>
            <w:shd w:val="clear" w:color="auto" w:fill="F1F1F1"/>
          </w:tcPr>
          <w:p w:rsidR="002C50A5" w:rsidRDefault="00A447DA">
            <w:pPr>
              <w:pStyle w:val="TableParagraph"/>
              <w:spacing w:before="62" w:line="237" w:lineRule="auto"/>
              <w:ind w:left="683" w:right="143" w:hanging="111"/>
              <w:rPr>
                <w:b/>
                <w:sz w:val="16"/>
              </w:rPr>
            </w:pPr>
            <w:proofErr w:type="spellStart"/>
            <w:r>
              <w:rPr>
                <w:b/>
                <w:color w:val="1F2937"/>
                <w:spacing w:val="-2"/>
                <w:sz w:val="16"/>
              </w:rPr>
              <w:lastRenderedPageBreak/>
              <w:t>制度吸收能</w:t>
            </w:r>
            <w:r>
              <w:rPr>
                <w:b/>
                <w:color w:val="1F2937"/>
                <w:spacing w:val="-10"/>
                <w:sz w:val="16"/>
              </w:rPr>
              <w:t>力</w:t>
            </w:r>
            <w:proofErr w:type="spellEnd"/>
          </w:p>
        </w:tc>
        <w:tc>
          <w:tcPr>
            <w:tcW w:w="2409" w:type="dxa"/>
          </w:tcPr>
          <w:p w:rsidR="002C50A5" w:rsidRDefault="00A447DA">
            <w:pPr>
              <w:pStyle w:val="TableParagraph"/>
              <w:spacing w:before="207"/>
              <w:ind w:left="508"/>
              <w:rPr>
                <w:sz w:val="16"/>
                <w:lang w:eastAsia="zh-TW"/>
              </w:rPr>
            </w:pPr>
            <w:r>
              <w:rPr>
                <w:color w:val="1F2937"/>
                <w:spacing w:val="-3"/>
                <w:sz w:val="16"/>
                <w:lang w:eastAsia="zh-TW"/>
              </w:rPr>
              <w:t>可實質覆核、修正與救濟</w:t>
            </w:r>
          </w:p>
        </w:tc>
        <w:tc>
          <w:tcPr>
            <w:tcW w:w="2407" w:type="dxa"/>
          </w:tcPr>
          <w:p w:rsidR="002C50A5" w:rsidRDefault="00A447DA">
            <w:pPr>
              <w:pStyle w:val="TableParagraph"/>
              <w:spacing w:before="207"/>
              <w:ind w:left="509"/>
              <w:rPr>
                <w:sz w:val="16"/>
                <w:lang w:eastAsia="zh-TW"/>
              </w:rPr>
            </w:pPr>
            <w:r>
              <w:rPr>
                <w:color w:val="1F2937"/>
                <w:spacing w:val="-3"/>
                <w:sz w:val="16"/>
                <w:lang w:eastAsia="zh-TW"/>
              </w:rPr>
              <w:t>程序存在但實質能力不一</w:t>
            </w:r>
          </w:p>
        </w:tc>
        <w:tc>
          <w:tcPr>
            <w:tcW w:w="2409" w:type="dxa"/>
          </w:tcPr>
          <w:p w:rsidR="002C50A5" w:rsidRDefault="00A447DA">
            <w:pPr>
              <w:pStyle w:val="TableParagraph"/>
              <w:spacing w:before="60" w:line="292" w:lineRule="exact"/>
              <w:ind w:left="512"/>
              <w:rPr>
                <w:sz w:val="16"/>
                <w:lang w:eastAsia="zh-TW"/>
              </w:rPr>
            </w:pPr>
            <w:r>
              <w:rPr>
                <w:color w:val="1F2937"/>
                <w:spacing w:val="-3"/>
                <w:sz w:val="16"/>
                <w:lang w:eastAsia="zh-TW"/>
              </w:rPr>
              <w:t>覆核與救濟難以改變模型</w:t>
            </w:r>
          </w:p>
          <w:p w:rsidR="002C50A5" w:rsidRDefault="00A447DA">
            <w:pPr>
              <w:pStyle w:val="TableParagraph"/>
              <w:spacing w:line="292" w:lineRule="exact"/>
              <w:ind w:left="92"/>
              <w:rPr>
                <w:sz w:val="16"/>
              </w:rPr>
            </w:pPr>
            <w:proofErr w:type="spellStart"/>
            <w:r>
              <w:rPr>
                <w:color w:val="1F2937"/>
                <w:spacing w:val="-5"/>
                <w:sz w:val="16"/>
              </w:rPr>
              <w:t>作用</w:t>
            </w:r>
            <w:proofErr w:type="spellEnd"/>
          </w:p>
        </w:tc>
      </w:tr>
    </w:tbl>
    <w:p w:rsidR="002C50A5" w:rsidRDefault="002C50A5">
      <w:pPr>
        <w:pStyle w:val="TableParagraph"/>
        <w:spacing w:line="292" w:lineRule="exact"/>
        <w:rPr>
          <w:sz w:val="16"/>
        </w:rPr>
        <w:sectPr w:rsidR="002C50A5">
          <w:pgSz w:w="11906" w:h="16838"/>
          <w:pgMar w:top="1247" w:right="1417" w:bottom="1247" w:left="1417" w:header="0" w:footer="730" w:gutter="0"/>
          <w:cols w:space="720"/>
        </w:sectPr>
      </w:pP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409"/>
        <w:gridCol w:w="2407"/>
        <w:gridCol w:w="2409"/>
      </w:tblGrid>
      <w:tr w:rsidR="002C50A5">
        <w:trPr>
          <w:trHeight w:val="827"/>
        </w:trPr>
        <w:tc>
          <w:tcPr>
            <w:tcW w:w="1531" w:type="dxa"/>
            <w:shd w:val="clear" w:color="auto" w:fill="1F4E78"/>
          </w:tcPr>
          <w:p w:rsidR="002C50A5" w:rsidRDefault="00A447DA">
            <w:pPr>
              <w:pStyle w:val="TableParagraph"/>
              <w:spacing w:before="244"/>
              <w:ind w:right="201"/>
              <w:jc w:val="right"/>
              <w:rPr>
                <w:b/>
                <w:sz w:val="17"/>
              </w:rPr>
            </w:pPr>
            <w:proofErr w:type="spellStart"/>
            <w:r>
              <w:rPr>
                <w:b/>
                <w:color w:val="FFFFFF"/>
                <w:spacing w:val="-3"/>
                <w:sz w:val="17"/>
              </w:rPr>
              <w:t>比較面向</w:t>
            </w:r>
            <w:proofErr w:type="spellEnd"/>
          </w:p>
        </w:tc>
        <w:tc>
          <w:tcPr>
            <w:tcW w:w="2409" w:type="dxa"/>
            <w:shd w:val="clear" w:color="auto" w:fill="538235"/>
          </w:tcPr>
          <w:p w:rsidR="002C50A5" w:rsidRDefault="00A447DA">
            <w:pPr>
              <w:pStyle w:val="TableParagraph"/>
              <w:spacing w:before="83"/>
              <w:ind w:left="988"/>
              <w:rPr>
                <w:b/>
                <w:sz w:val="17"/>
                <w:lang w:eastAsia="zh-TW"/>
              </w:rPr>
            </w:pPr>
            <w:r>
              <w:rPr>
                <w:b/>
                <w:color w:val="FFFFFF"/>
                <w:spacing w:val="-2"/>
                <w:sz w:val="17"/>
                <w:lang w:eastAsia="zh-TW"/>
              </w:rPr>
              <w:t>制度吸收型</w:t>
            </w:r>
          </w:p>
          <w:p w:rsidR="002C50A5" w:rsidRDefault="00A447DA">
            <w:pPr>
              <w:pStyle w:val="TableParagraph"/>
              <w:spacing w:before="9"/>
              <w:ind w:left="693"/>
              <w:rPr>
                <w:b/>
                <w:sz w:val="17"/>
                <w:lang w:eastAsia="zh-TW"/>
              </w:rPr>
            </w:pPr>
            <w:r>
              <w:rPr>
                <w:b/>
                <w:color w:val="FFFFFF"/>
                <w:sz w:val="17"/>
                <w:lang w:eastAsia="zh-TW"/>
              </w:rPr>
              <w:t>（樂觀情境</w:t>
            </w:r>
            <w:r>
              <w:rPr>
                <w:b/>
                <w:color w:val="FFFFFF"/>
                <w:spacing w:val="-10"/>
                <w:sz w:val="17"/>
                <w:lang w:eastAsia="zh-TW"/>
              </w:rPr>
              <w:t>）</w:t>
            </w:r>
          </w:p>
        </w:tc>
        <w:tc>
          <w:tcPr>
            <w:tcW w:w="2407" w:type="dxa"/>
            <w:shd w:val="clear" w:color="auto" w:fill="BE7700"/>
          </w:tcPr>
          <w:p w:rsidR="002C50A5" w:rsidRDefault="00A447DA">
            <w:pPr>
              <w:pStyle w:val="TableParagraph"/>
              <w:spacing w:before="83"/>
              <w:ind w:left="987"/>
              <w:rPr>
                <w:b/>
                <w:sz w:val="17"/>
                <w:lang w:eastAsia="zh-TW"/>
              </w:rPr>
            </w:pPr>
            <w:r>
              <w:rPr>
                <w:b/>
                <w:color w:val="FFFFFF"/>
                <w:spacing w:val="-2"/>
                <w:sz w:val="17"/>
                <w:lang w:eastAsia="zh-TW"/>
              </w:rPr>
              <w:t>調適混合型</w:t>
            </w:r>
          </w:p>
          <w:p w:rsidR="002C50A5" w:rsidRDefault="00A447DA">
            <w:pPr>
              <w:pStyle w:val="TableParagraph"/>
              <w:spacing w:before="9"/>
              <w:ind w:left="691"/>
              <w:rPr>
                <w:b/>
                <w:sz w:val="17"/>
                <w:lang w:eastAsia="zh-TW"/>
              </w:rPr>
            </w:pPr>
            <w:r>
              <w:rPr>
                <w:b/>
                <w:color w:val="FFFFFF"/>
                <w:sz w:val="17"/>
                <w:lang w:eastAsia="zh-TW"/>
              </w:rPr>
              <w:t>（務實情境</w:t>
            </w:r>
            <w:r>
              <w:rPr>
                <w:b/>
                <w:color w:val="FFFFFF"/>
                <w:spacing w:val="-10"/>
                <w:sz w:val="17"/>
                <w:lang w:eastAsia="zh-TW"/>
              </w:rPr>
              <w:t>）</w:t>
            </w:r>
          </w:p>
        </w:tc>
        <w:tc>
          <w:tcPr>
            <w:tcW w:w="2409" w:type="dxa"/>
            <w:shd w:val="clear" w:color="auto" w:fill="C00000"/>
          </w:tcPr>
          <w:p w:rsidR="002C50A5" w:rsidRDefault="00A447DA">
            <w:pPr>
              <w:pStyle w:val="TableParagraph"/>
              <w:spacing w:before="83"/>
              <w:ind w:left="989"/>
              <w:rPr>
                <w:b/>
                <w:sz w:val="17"/>
                <w:lang w:eastAsia="zh-TW"/>
              </w:rPr>
            </w:pPr>
            <w:r>
              <w:rPr>
                <w:b/>
                <w:color w:val="FFFFFF"/>
                <w:spacing w:val="-2"/>
                <w:sz w:val="17"/>
                <w:lang w:eastAsia="zh-TW"/>
              </w:rPr>
              <w:t>權威位移型</w:t>
            </w:r>
          </w:p>
          <w:p w:rsidR="002C50A5" w:rsidRDefault="00A447DA">
            <w:pPr>
              <w:pStyle w:val="TableParagraph"/>
              <w:spacing w:before="9"/>
              <w:ind w:left="694"/>
              <w:rPr>
                <w:b/>
                <w:sz w:val="17"/>
                <w:lang w:eastAsia="zh-TW"/>
              </w:rPr>
            </w:pPr>
            <w:r>
              <w:rPr>
                <w:b/>
                <w:color w:val="FFFFFF"/>
                <w:sz w:val="17"/>
                <w:lang w:eastAsia="zh-TW"/>
              </w:rPr>
              <w:t>（悲觀情境</w:t>
            </w:r>
            <w:r>
              <w:rPr>
                <w:b/>
                <w:color w:val="FFFFFF"/>
                <w:spacing w:val="-10"/>
                <w:sz w:val="17"/>
                <w:lang w:eastAsia="zh-TW"/>
              </w:rPr>
              <w:t>）</w:t>
            </w:r>
          </w:p>
        </w:tc>
      </w:tr>
      <w:tr w:rsidR="002C50A5">
        <w:trPr>
          <w:trHeight w:val="719"/>
        </w:trPr>
        <w:tc>
          <w:tcPr>
            <w:tcW w:w="1531" w:type="dxa"/>
            <w:shd w:val="clear" w:color="auto" w:fill="F1F1F1"/>
          </w:tcPr>
          <w:p w:rsidR="002C50A5" w:rsidRDefault="00A447DA">
            <w:pPr>
              <w:pStyle w:val="TableParagraph"/>
              <w:spacing w:before="207"/>
              <w:ind w:right="223"/>
              <w:jc w:val="right"/>
              <w:rPr>
                <w:b/>
                <w:sz w:val="16"/>
              </w:rPr>
            </w:pPr>
            <w:proofErr w:type="spellStart"/>
            <w:r>
              <w:rPr>
                <w:b/>
                <w:color w:val="1F2937"/>
                <w:spacing w:val="-3"/>
                <w:sz w:val="16"/>
              </w:rPr>
              <w:t>權威配置</w:t>
            </w:r>
            <w:proofErr w:type="spellEnd"/>
          </w:p>
        </w:tc>
        <w:tc>
          <w:tcPr>
            <w:tcW w:w="2409" w:type="dxa"/>
          </w:tcPr>
          <w:p w:rsidR="002C50A5" w:rsidRDefault="00A447DA">
            <w:pPr>
              <w:pStyle w:val="TableParagraph"/>
              <w:spacing w:before="60" w:line="292" w:lineRule="exact"/>
              <w:ind w:left="508"/>
              <w:rPr>
                <w:sz w:val="16"/>
                <w:lang w:eastAsia="zh-TW"/>
              </w:rPr>
            </w:pPr>
            <w:r>
              <w:rPr>
                <w:color w:val="1F2937"/>
                <w:spacing w:val="-3"/>
                <w:sz w:val="16"/>
                <w:lang w:eastAsia="zh-TW"/>
              </w:rPr>
              <w:t>法律授權與人類裁量居主</w:t>
            </w:r>
          </w:p>
          <w:p w:rsidR="002C50A5" w:rsidRDefault="00A447DA">
            <w:pPr>
              <w:pStyle w:val="TableParagraph"/>
              <w:spacing w:line="292" w:lineRule="exact"/>
              <w:ind w:left="88"/>
              <w:rPr>
                <w:sz w:val="16"/>
              </w:rPr>
            </w:pPr>
            <w:r>
              <w:rPr>
                <w:color w:val="1F2937"/>
                <w:spacing w:val="-10"/>
                <w:sz w:val="16"/>
              </w:rPr>
              <w:t>導</w:t>
            </w:r>
          </w:p>
        </w:tc>
        <w:tc>
          <w:tcPr>
            <w:tcW w:w="2407" w:type="dxa"/>
          </w:tcPr>
          <w:p w:rsidR="002C50A5" w:rsidRDefault="00A447DA">
            <w:pPr>
              <w:pStyle w:val="TableParagraph"/>
              <w:spacing w:before="207"/>
              <w:ind w:right="125"/>
              <w:jc w:val="right"/>
              <w:rPr>
                <w:sz w:val="16"/>
                <w:lang w:eastAsia="zh-TW"/>
              </w:rPr>
            </w:pPr>
            <w:r>
              <w:rPr>
                <w:color w:val="1F2937"/>
                <w:spacing w:val="-3"/>
                <w:sz w:val="16"/>
                <w:lang w:eastAsia="zh-TW"/>
              </w:rPr>
              <w:t>法律授權與技術輸出並存</w:t>
            </w:r>
          </w:p>
        </w:tc>
        <w:tc>
          <w:tcPr>
            <w:tcW w:w="2409" w:type="dxa"/>
          </w:tcPr>
          <w:p w:rsidR="002C50A5" w:rsidRDefault="00A447DA">
            <w:pPr>
              <w:pStyle w:val="TableParagraph"/>
              <w:spacing w:before="60" w:line="292" w:lineRule="exact"/>
              <w:ind w:left="512"/>
              <w:rPr>
                <w:sz w:val="16"/>
                <w:lang w:eastAsia="zh-TW"/>
              </w:rPr>
            </w:pPr>
            <w:r>
              <w:rPr>
                <w:color w:val="1F2937"/>
                <w:spacing w:val="-3"/>
                <w:sz w:val="16"/>
                <w:lang w:eastAsia="zh-TW"/>
              </w:rPr>
              <w:t>技術輸出實質壓縮人類</w:t>
            </w:r>
            <w:proofErr w:type="gramStart"/>
            <w:r>
              <w:rPr>
                <w:color w:val="1F2937"/>
                <w:spacing w:val="-3"/>
                <w:sz w:val="16"/>
                <w:lang w:eastAsia="zh-TW"/>
              </w:rPr>
              <w:t>裁</w:t>
            </w:r>
            <w:proofErr w:type="gramEnd"/>
          </w:p>
          <w:p w:rsidR="002C50A5" w:rsidRDefault="00A447DA">
            <w:pPr>
              <w:pStyle w:val="TableParagraph"/>
              <w:spacing w:line="292" w:lineRule="exact"/>
              <w:ind w:left="92"/>
              <w:rPr>
                <w:sz w:val="16"/>
              </w:rPr>
            </w:pPr>
            <w:r>
              <w:rPr>
                <w:color w:val="1F2937"/>
                <w:spacing w:val="-10"/>
                <w:sz w:val="16"/>
              </w:rPr>
              <w:t>量</w:t>
            </w:r>
          </w:p>
        </w:tc>
      </w:tr>
      <w:tr w:rsidR="002C50A5">
        <w:trPr>
          <w:trHeight w:val="722"/>
        </w:trPr>
        <w:tc>
          <w:tcPr>
            <w:tcW w:w="1531" w:type="dxa"/>
            <w:shd w:val="clear" w:color="auto" w:fill="F1F1F1"/>
          </w:tcPr>
          <w:p w:rsidR="002C50A5" w:rsidRDefault="00A447DA">
            <w:pPr>
              <w:pStyle w:val="TableParagraph"/>
              <w:spacing w:before="207"/>
              <w:ind w:right="223"/>
              <w:jc w:val="right"/>
              <w:rPr>
                <w:b/>
                <w:sz w:val="16"/>
              </w:rPr>
            </w:pPr>
            <w:proofErr w:type="spellStart"/>
            <w:r>
              <w:rPr>
                <w:b/>
                <w:color w:val="1F2937"/>
                <w:spacing w:val="-3"/>
                <w:sz w:val="16"/>
              </w:rPr>
              <w:t>主要風險</w:t>
            </w:r>
            <w:proofErr w:type="spellEnd"/>
          </w:p>
        </w:tc>
        <w:tc>
          <w:tcPr>
            <w:tcW w:w="2409" w:type="dxa"/>
          </w:tcPr>
          <w:p w:rsidR="002C50A5" w:rsidRDefault="00A447DA">
            <w:pPr>
              <w:pStyle w:val="TableParagraph"/>
              <w:spacing w:before="207"/>
              <w:ind w:left="508"/>
              <w:rPr>
                <w:sz w:val="16"/>
                <w:lang w:eastAsia="zh-TW"/>
              </w:rPr>
            </w:pPr>
            <w:proofErr w:type="gramStart"/>
            <w:r>
              <w:rPr>
                <w:color w:val="1F2937"/>
                <w:spacing w:val="-3"/>
                <w:sz w:val="16"/>
                <w:lang w:eastAsia="zh-TW"/>
              </w:rPr>
              <w:t>問題框定被</w:t>
            </w:r>
            <w:proofErr w:type="gramEnd"/>
            <w:r>
              <w:rPr>
                <w:color w:val="1F2937"/>
                <w:spacing w:val="-3"/>
                <w:sz w:val="16"/>
                <w:lang w:eastAsia="zh-TW"/>
              </w:rPr>
              <w:t>技術預先窄化</w:t>
            </w:r>
          </w:p>
        </w:tc>
        <w:tc>
          <w:tcPr>
            <w:tcW w:w="2407" w:type="dxa"/>
          </w:tcPr>
          <w:p w:rsidR="002C50A5" w:rsidRDefault="00A447DA">
            <w:pPr>
              <w:pStyle w:val="TableParagraph"/>
              <w:spacing w:before="63" w:line="292" w:lineRule="exact"/>
              <w:ind w:left="509"/>
              <w:rPr>
                <w:sz w:val="16"/>
                <w:lang w:eastAsia="zh-TW"/>
              </w:rPr>
            </w:pPr>
            <w:r>
              <w:rPr>
                <w:color w:val="1F2937"/>
                <w:spacing w:val="-3"/>
                <w:sz w:val="16"/>
                <w:lang w:eastAsia="zh-TW"/>
              </w:rPr>
              <w:t>供應鏈責任模糊與形式</w:t>
            </w:r>
            <w:proofErr w:type="gramStart"/>
            <w:r>
              <w:rPr>
                <w:color w:val="1F2937"/>
                <w:spacing w:val="-3"/>
                <w:sz w:val="16"/>
                <w:lang w:eastAsia="zh-TW"/>
              </w:rPr>
              <w:t>覆</w:t>
            </w:r>
            <w:proofErr w:type="gramEnd"/>
          </w:p>
          <w:p w:rsidR="002C50A5" w:rsidRDefault="00A447DA">
            <w:pPr>
              <w:pStyle w:val="TableParagraph"/>
              <w:spacing w:line="292" w:lineRule="exact"/>
              <w:ind w:left="89"/>
              <w:rPr>
                <w:sz w:val="16"/>
              </w:rPr>
            </w:pPr>
            <w:r>
              <w:rPr>
                <w:color w:val="1F2937"/>
                <w:spacing w:val="-10"/>
                <w:sz w:val="16"/>
              </w:rPr>
              <w:t>核</w:t>
            </w:r>
          </w:p>
        </w:tc>
        <w:tc>
          <w:tcPr>
            <w:tcW w:w="2409" w:type="dxa"/>
          </w:tcPr>
          <w:p w:rsidR="002C50A5" w:rsidRDefault="00A447DA">
            <w:pPr>
              <w:pStyle w:val="TableParagraph"/>
              <w:spacing w:before="63" w:line="292" w:lineRule="exact"/>
              <w:ind w:left="512"/>
              <w:rPr>
                <w:sz w:val="16"/>
                <w:lang w:eastAsia="zh-TW"/>
              </w:rPr>
            </w:pPr>
            <w:r>
              <w:rPr>
                <w:color w:val="1F2937"/>
                <w:spacing w:val="-3"/>
                <w:sz w:val="16"/>
                <w:lang w:eastAsia="zh-TW"/>
              </w:rPr>
              <w:t>理由、責任與權威鏈同時</w:t>
            </w:r>
          </w:p>
          <w:p w:rsidR="002C50A5" w:rsidRDefault="00A447DA">
            <w:pPr>
              <w:pStyle w:val="TableParagraph"/>
              <w:spacing w:line="292" w:lineRule="exact"/>
              <w:ind w:left="92"/>
              <w:rPr>
                <w:sz w:val="16"/>
              </w:rPr>
            </w:pPr>
            <w:proofErr w:type="spellStart"/>
            <w:r>
              <w:rPr>
                <w:color w:val="1F2937"/>
                <w:spacing w:val="-5"/>
                <w:sz w:val="16"/>
              </w:rPr>
              <w:t>斷裂</w:t>
            </w:r>
            <w:proofErr w:type="spellEnd"/>
          </w:p>
        </w:tc>
      </w:tr>
      <w:tr w:rsidR="002C50A5">
        <w:trPr>
          <w:trHeight w:val="721"/>
        </w:trPr>
        <w:tc>
          <w:tcPr>
            <w:tcW w:w="1531" w:type="dxa"/>
            <w:shd w:val="clear" w:color="auto" w:fill="F1F1F1"/>
          </w:tcPr>
          <w:p w:rsidR="002C50A5" w:rsidRDefault="00A447DA">
            <w:pPr>
              <w:pStyle w:val="TableParagraph"/>
              <w:spacing w:before="207"/>
              <w:ind w:right="223"/>
              <w:jc w:val="right"/>
              <w:rPr>
                <w:b/>
                <w:sz w:val="16"/>
              </w:rPr>
            </w:pPr>
            <w:proofErr w:type="spellStart"/>
            <w:r>
              <w:rPr>
                <w:b/>
                <w:color w:val="1F2937"/>
                <w:spacing w:val="-3"/>
                <w:sz w:val="16"/>
              </w:rPr>
              <w:t>理論意涵</w:t>
            </w:r>
            <w:proofErr w:type="spellEnd"/>
          </w:p>
        </w:tc>
        <w:tc>
          <w:tcPr>
            <w:tcW w:w="2409" w:type="dxa"/>
          </w:tcPr>
          <w:p w:rsidR="002C50A5" w:rsidRDefault="00A447DA">
            <w:pPr>
              <w:pStyle w:val="TableParagraph"/>
              <w:spacing w:before="207"/>
              <w:ind w:left="508"/>
              <w:rPr>
                <w:sz w:val="16"/>
              </w:rPr>
            </w:pPr>
            <w:proofErr w:type="spellStart"/>
            <w:r>
              <w:rPr>
                <w:color w:val="1F2937"/>
                <w:spacing w:val="-4"/>
                <w:sz w:val="16"/>
              </w:rPr>
              <w:t>既有理論可調適</w:t>
            </w:r>
            <w:proofErr w:type="spellEnd"/>
          </w:p>
        </w:tc>
        <w:tc>
          <w:tcPr>
            <w:tcW w:w="2407" w:type="dxa"/>
          </w:tcPr>
          <w:p w:rsidR="002C50A5" w:rsidRDefault="00A447DA">
            <w:pPr>
              <w:pStyle w:val="TableParagraph"/>
              <w:spacing w:before="207"/>
              <w:ind w:right="125"/>
              <w:jc w:val="right"/>
              <w:rPr>
                <w:sz w:val="16"/>
                <w:lang w:eastAsia="zh-TW"/>
              </w:rPr>
            </w:pPr>
            <w:r>
              <w:rPr>
                <w:color w:val="1F2937"/>
                <w:spacing w:val="-3"/>
                <w:sz w:val="16"/>
                <w:lang w:eastAsia="zh-TW"/>
              </w:rPr>
              <w:t>需擴充供應鏈</w:t>
            </w:r>
            <w:proofErr w:type="gramStart"/>
            <w:r>
              <w:rPr>
                <w:color w:val="1F2937"/>
                <w:spacing w:val="-3"/>
                <w:sz w:val="16"/>
                <w:lang w:eastAsia="zh-TW"/>
              </w:rPr>
              <w:t>與框定</w:t>
            </w:r>
            <w:proofErr w:type="gramEnd"/>
            <w:r>
              <w:rPr>
                <w:color w:val="1F2937"/>
                <w:spacing w:val="-3"/>
                <w:sz w:val="16"/>
                <w:lang w:eastAsia="zh-TW"/>
              </w:rPr>
              <w:t>權力</w:t>
            </w:r>
          </w:p>
        </w:tc>
        <w:tc>
          <w:tcPr>
            <w:tcW w:w="2409" w:type="dxa"/>
          </w:tcPr>
          <w:p w:rsidR="002C50A5" w:rsidRDefault="00A447DA">
            <w:pPr>
              <w:pStyle w:val="TableParagraph"/>
              <w:spacing w:before="60" w:line="292" w:lineRule="exact"/>
              <w:ind w:left="512"/>
              <w:rPr>
                <w:sz w:val="16"/>
                <w:lang w:eastAsia="zh-TW"/>
              </w:rPr>
            </w:pPr>
            <w:r>
              <w:rPr>
                <w:color w:val="1F2937"/>
                <w:spacing w:val="-3"/>
                <w:sz w:val="16"/>
                <w:lang w:eastAsia="zh-TW"/>
              </w:rPr>
              <w:t>是否</w:t>
            </w:r>
            <w:proofErr w:type="gramStart"/>
            <w:r>
              <w:rPr>
                <w:color w:val="1F2937"/>
                <w:spacing w:val="-3"/>
                <w:sz w:val="16"/>
                <w:lang w:eastAsia="zh-TW"/>
              </w:rPr>
              <w:t>重構須待</w:t>
            </w:r>
            <w:proofErr w:type="gramEnd"/>
            <w:r>
              <w:rPr>
                <w:color w:val="1F2937"/>
                <w:spacing w:val="-3"/>
                <w:sz w:val="16"/>
                <w:lang w:eastAsia="zh-TW"/>
              </w:rPr>
              <w:t>案例壓力測</w:t>
            </w:r>
          </w:p>
          <w:p w:rsidR="002C50A5" w:rsidRDefault="00A447DA">
            <w:pPr>
              <w:pStyle w:val="TableParagraph"/>
              <w:spacing w:line="292" w:lineRule="exact"/>
              <w:ind w:left="92"/>
              <w:rPr>
                <w:sz w:val="16"/>
              </w:rPr>
            </w:pPr>
            <w:r>
              <w:rPr>
                <w:color w:val="1F2937"/>
                <w:spacing w:val="-10"/>
                <w:sz w:val="16"/>
              </w:rPr>
              <w:t>試</w:t>
            </w:r>
          </w:p>
        </w:tc>
      </w:tr>
    </w:tbl>
    <w:p w:rsidR="002C50A5" w:rsidRDefault="00A447DA">
      <w:pPr>
        <w:spacing w:before="14"/>
        <w:ind w:right="284"/>
        <w:jc w:val="center"/>
        <w:rPr>
          <w:sz w:val="18"/>
          <w:lang w:eastAsia="zh-TW"/>
        </w:rPr>
      </w:pPr>
      <w:r>
        <w:rPr>
          <w:color w:val="585858"/>
          <w:spacing w:val="-1"/>
          <w:sz w:val="18"/>
          <w:lang w:eastAsia="zh-TW"/>
        </w:rPr>
        <w:t>資料來源：作者自行建構。</w:t>
      </w:r>
    </w:p>
    <w:p w:rsidR="002C50A5" w:rsidRDefault="00A447DA">
      <w:pPr>
        <w:pStyle w:val="2"/>
        <w:numPr>
          <w:ilvl w:val="1"/>
          <w:numId w:val="9"/>
        </w:numPr>
        <w:tabs>
          <w:tab w:val="left" w:pos="598"/>
        </w:tabs>
        <w:spacing w:before="157" w:line="338" w:lineRule="auto"/>
        <w:ind w:left="23" w:right="304" w:firstLine="0"/>
      </w:pPr>
      <w:bookmarkStart w:id="20" w:name="一、制度吸收型（樂觀情境）：制度調適型人機協同政府（Institutionall"/>
      <w:bookmarkEnd w:id="20"/>
      <w:proofErr w:type="spellStart"/>
      <w:r>
        <w:rPr>
          <w:color w:val="1F2937"/>
          <w:spacing w:val="38"/>
        </w:rPr>
        <w:t>制度吸收型</w:t>
      </w:r>
      <w:proofErr w:type="spellEnd"/>
      <w:r>
        <w:rPr>
          <w:color w:val="1F2937"/>
        </w:rPr>
        <w:t>（</w:t>
      </w:r>
      <w:r>
        <w:rPr>
          <w:color w:val="1F2937"/>
          <w:spacing w:val="25"/>
        </w:rPr>
        <w:t xml:space="preserve"> </w:t>
      </w:r>
      <w:proofErr w:type="spellStart"/>
      <w:r>
        <w:rPr>
          <w:color w:val="1F2937"/>
          <w:spacing w:val="25"/>
        </w:rPr>
        <w:t>樂觀情境</w:t>
      </w:r>
      <w:proofErr w:type="spellEnd"/>
      <w:r>
        <w:rPr>
          <w:color w:val="1F2937"/>
          <w:spacing w:val="19"/>
        </w:rPr>
        <w:t>）</w:t>
      </w:r>
      <w:r>
        <w:rPr>
          <w:color w:val="1F2937"/>
          <w:spacing w:val="29"/>
        </w:rPr>
        <w:t xml:space="preserve">： </w:t>
      </w:r>
      <w:proofErr w:type="spellStart"/>
      <w:r>
        <w:rPr>
          <w:color w:val="1F2937"/>
          <w:spacing w:val="29"/>
        </w:rPr>
        <w:t>制度調適型人機協同政府</w:t>
      </w:r>
      <w:proofErr w:type="spellEnd"/>
      <w:r>
        <w:rPr>
          <w:color w:val="1F2937"/>
        </w:rPr>
        <w:t>（</w:t>
      </w:r>
      <w:r>
        <w:rPr>
          <w:color w:val="1F2937"/>
          <w:spacing w:val="-25"/>
        </w:rPr>
        <w:t xml:space="preserve"> </w:t>
      </w:r>
      <w:r>
        <w:rPr>
          <w:rFonts w:ascii="Times New Roman" w:eastAsia="Times New Roman" w:hAnsi="Times New Roman"/>
          <w:color w:val="1F2937"/>
        </w:rPr>
        <w:t>Institutionally Adaptive Human–AI Governance</w:t>
      </w:r>
      <w:r>
        <w:rPr>
          <w:color w:val="1F2937"/>
        </w:rPr>
        <w:t>）</w:t>
      </w:r>
    </w:p>
    <w:p w:rsidR="002C50A5" w:rsidRDefault="00A447DA">
      <w:pPr>
        <w:pStyle w:val="3"/>
        <w:numPr>
          <w:ilvl w:val="0"/>
          <w:numId w:val="6"/>
        </w:numPr>
        <w:tabs>
          <w:tab w:val="left" w:pos="743"/>
        </w:tabs>
        <w:ind w:left="743" w:hanging="720"/>
      </w:pPr>
      <w:proofErr w:type="spellStart"/>
      <w:r>
        <w:rPr>
          <w:color w:val="1F2937"/>
          <w:spacing w:val="-2"/>
        </w:rPr>
        <w:t>座標定位與強度判斷</w:t>
      </w:r>
      <w:proofErr w:type="spellEnd"/>
    </w:p>
    <w:p w:rsidR="002C50A5" w:rsidRDefault="00A447DA">
      <w:pPr>
        <w:pStyle w:val="a3"/>
        <w:spacing w:before="96" w:line="338" w:lineRule="auto"/>
        <w:ind w:right="297"/>
        <w:rPr>
          <w:lang w:eastAsia="zh-TW"/>
        </w:rPr>
      </w:pPr>
      <w:r>
        <w:rPr>
          <w:color w:val="1F2937"/>
          <w:lang w:eastAsia="zh-TW"/>
        </w:rPr>
        <w:t>在樂觀情境中，</w:t>
      </w:r>
      <w:r>
        <w:rPr>
          <w:rFonts w:ascii="Times New Roman" w:eastAsia="Times New Roman"/>
          <w:color w:val="1F2937"/>
          <w:lang w:eastAsia="zh-TW"/>
        </w:rPr>
        <w:t xml:space="preserve">AI </w:t>
      </w:r>
      <w:r>
        <w:rPr>
          <w:color w:val="1F2937"/>
          <w:lang w:eastAsia="zh-TW"/>
        </w:rPr>
        <w:t>主要集中於管理運作與組織設計層次，影響以個人、團體與組</w:t>
      </w:r>
      <w:r>
        <w:rPr>
          <w:color w:val="1F2937"/>
          <w:spacing w:val="-2"/>
          <w:lang w:eastAsia="zh-TW"/>
        </w:rPr>
        <w:t>織單位為主。</w:t>
      </w:r>
      <w:proofErr w:type="gramStart"/>
      <w:r>
        <w:rPr>
          <w:color w:val="1F2937"/>
          <w:spacing w:val="-2"/>
          <w:lang w:eastAsia="zh-TW"/>
        </w:rPr>
        <w:t>跨格影響</w:t>
      </w:r>
      <w:proofErr w:type="gramEnd"/>
      <w:r>
        <w:rPr>
          <w:color w:val="1F2937"/>
          <w:spacing w:val="-2"/>
          <w:lang w:eastAsia="zh-TW"/>
        </w:rPr>
        <w:t>範圍有限，供應商責任可由契約與權責配置追溯，人工覆核能實質改變結果，決定權威仍以法律授權與人類規範判斷為基礎。</w:t>
      </w:r>
    </w:p>
    <w:p w:rsidR="002C50A5" w:rsidRDefault="00A447DA">
      <w:pPr>
        <w:pStyle w:val="3"/>
        <w:numPr>
          <w:ilvl w:val="0"/>
          <w:numId w:val="6"/>
        </w:numPr>
        <w:tabs>
          <w:tab w:val="left" w:pos="743"/>
        </w:tabs>
        <w:ind w:left="743" w:hanging="720"/>
      </w:pPr>
      <w:proofErr w:type="spellStart"/>
      <w:r>
        <w:rPr>
          <w:color w:val="1F2937"/>
          <w:spacing w:val="-2"/>
        </w:rPr>
        <w:t>制度樣貌的深入分析</w:t>
      </w:r>
      <w:proofErr w:type="spellEnd"/>
    </w:p>
    <w:p w:rsidR="002C50A5" w:rsidRDefault="00A447DA">
      <w:pPr>
        <w:pStyle w:val="a3"/>
        <w:spacing w:before="98" w:line="338" w:lineRule="auto"/>
        <w:ind w:right="297"/>
        <w:rPr>
          <w:lang w:eastAsia="zh-TW"/>
        </w:rPr>
      </w:pPr>
      <w:r>
        <w:rPr>
          <w:color w:val="1F2937"/>
          <w:lang w:eastAsia="zh-TW"/>
        </w:rPr>
        <w:t>此情境的核心是演算法協助行政，而不是取代行政。</w:t>
      </w:r>
      <w:r>
        <w:rPr>
          <w:rFonts w:ascii="Times New Roman" w:eastAsia="Times New Roman"/>
          <w:color w:val="1F2937"/>
          <w:lang w:eastAsia="zh-TW"/>
        </w:rPr>
        <w:t xml:space="preserve">AI </w:t>
      </w:r>
      <w:r>
        <w:rPr>
          <w:color w:val="1F2937"/>
          <w:lang w:eastAsia="zh-TW"/>
        </w:rPr>
        <w:t>可以整理事實、標示風險</w:t>
      </w:r>
      <w:r>
        <w:rPr>
          <w:color w:val="1F2937"/>
          <w:spacing w:val="-2"/>
          <w:lang w:eastAsia="zh-TW"/>
        </w:rPr>
        <w:t>或提出選項，但規範判斷與最終決定由具合法授權的人員負責。制度設計的重點不只</w:t>
      </w:r>
      <w:r>
        <w:rPr>
          <w:color w:val="1F2937"/>
          <w:lang w:eastAsia="zh-TW"/>
        </w:rPr>
        <w:t xml:space="preserve">是把人放在迴路中，而是明確規定何時可使用 </w:t>
      </w:r>
      <w:r>
        <w:rPr>
          <w:rFonts w:ascii="Times New Roman" w:eastAsia="Times New Roman"/>
          <w:color w:val="1F2937"/>
          <w:lang w:eastAsia="zh-TW"/>
        </w:rPr>
        <w:t>AI</w:t>
      </w:r>
      <w:r>
        <w:rPr>
          <w:color w:val="1F2937"/>
          <w:lang w:eastAsia="zh-TW"/>
        </w:rPr>
        <w:t>、何時必須人工處理，以及覆核人員必須取得哪些紀錄</w:t>
      </w:r>
      <w:proofErr w:type="gramStart"/>
      <w:r>
        <w:rPr>
          <w:color w:val="1F2937"/>
          <w:lang w:eastAsia="zh-TW"/>
        </w:rPr>
        <w:t>（</w:t>
      </w:r>
      <w:proofErr w:type="gramEnd"/>
      <w:r>
        <w:rPr>
          <w:rFonts w:ascii="Times New Roman" w:eastAsia="Times New Roman"/>
          <w:color w:val="1F2937"/>
          <w:lang w:eastAsia="zh-TW"/>
        </w:rPr>
        <w:t>Young et al., 2019</w:t>
      </w:r>
      <w:proofErr w:type="gramStart"/>
      <w:r>
        <w:rPr>
          <w:color w:val="1F2937"/>
          <w:lang w:eastAsia="zh-TW"/>
        </w:rPr>
        <w:t>）</w:t>
      </w:r>
      <w:proofErr w:type="gramEnd"/>
      <w:r>
        <w:rPr>
          <w:color w:val="1F2937"/>
          <w:lang w:eastAsia="zh-TW"/>
        </w:rPr>
        <w:t>。</w:t>
      </w:r>
    </w:p>
    <w:p w:rsidR="002C50A5" w:rsidRDefault="00A447DA">
      <w:pPr>
        <w:pStyle w:val="a3"/>
        <w:spacing w:before="120" w:line="338" w:lineRule="auto"/>
        <w:ind w:right="297"/>
        <w:rPr>
          <w:lang w:eastAsia="zh-TW"/>
        </w:rPr>
      </w:pPr>
      <w:r>
        <w:rPr>
          <w:color w:val="1F2937"/>
          <w:lang w:eastAsia="zh-TW"/>
        </w:rPr>
        <w:t xml:space="preserve">組織可設置 </w:t>
      </w:r>
      <w:r>
        <w:rPr>
          <w:rFonts w:ascii="Times New Roman" w:eastAsia="Times New Roman"/>
          <w:color w:val="1F2937"/>
          <w:lang w:eastAsia="zh-TW"/>
        </w:rPr>
        <w:t xml:space="preserve">AI </w:t>
      </w:r>
      <w:r>
        <w:rPr>
          <w:color w:val="1F2937"/>
          <w:lang w:eastAsia="zh-TW"/>
        </w:rPr>
        <w:t>協作職務、例外處理窗口與專責覆核流程，而不是單純刪減基層職</w:t>
      </w:r>
      <w:r>
        <w:rPr>
          <w:color w:val="1F2937"/>
          <w:spacing w:val="-2"/>
          <w:lang w:eastAsia="zh-TW"/>
        </w:rPr>
        <w:t>位。代表性官僚理論在此仍有解釋空間，因為人類裁量及與民眾互動的功能仍被制度</w:t>
      </w:r>
      <w:r>
        <w:rPr>
          <w:color w:val="1F2937"/>
          <w:lang w:eastAsia="zh-TW"/>
        </w:rPr>
        <w:t>性保留（</w:t>
      </w:r>
      <w:r>
        <w:rPr>
          <w:rFonts w:ascii="Times New Roman" w:eastAsia="Times New Roman"/>
          <w:color w:val="1F2937"/>
          <w:lang w:eastAsia="zh-TW"/>
        </w:rPr>
        <w:t>Meier, 2019</w:t>
      </w:r>
      <w:r>
        <w:rPr>
          <w:color w:val="1F2937"/>
          <w:lang w:eastAsia="zh-TW"/>
        </w:rPr>
        <w:t>）。</w:t>
      </w:r>
    </w:p>
    <w:p w:rsidR="002C50A5" w:rsidRDefault="002C50A5">
      <w:pPr>
        <w:pStyle w:val="a3"/>
        <w:spacing w:line="338" w:lineRule="auto"/>
        <w:rPr>
          <w:lang w:eastAsia="zh-TW"/>
        </w:rPr>
        <w:sectPr w:rsidR="002C50A5">
          <w:type w:val="continuous"/>
          <w:pgSz w:w="11906" w:h="16838"/>
          <w:pgMar w:top="1247" w:right="1417" w:bottom="1247" w:left="1417" w:header="0" w:footer="730" w:gutter="0"/>
          <w:cols w:space="720"/>
        </w:sectPr>
      </w:pPr>
    </w:p>
    <w:p w:rsidR="002C50A5" w:rsidRDefault="00A447DA">
      <w:pPr>
        <w:pStyle w:val="a3"/>
        <w:spacing w:before="9" w:line="338" w:lineRule="auto"/>
        <w:ind w:left="22"/>
        <w:rPr>
          <w:lang w:eastAsia="zh-TW"/>
        </w:rPr>
      </w:pPr>
      <w:r>
        <w:rPr>
          <w:lang w:eastAsia="zh-TW"/>
        </w:rPr>
        <w:lastRenderedPageBreak/>
        <w:t>即使三項結構效應強度較低，</w:t>
      </w:r>
      <w:proofErr w:type="gramStart"/>
      <w:r>
        <w:rPr>
          <w:lang w:eastAsia="zh-TW"/>
        </w:rPr>
        <w:t>問題框定仍</w:t>
      </w:r>
      <w:proofErr w:type="gramEnd"/>
      <w:r>
        <w:rPr>
          <w:lang w:eastAsia="zh-TW"/>
        </w:rPr>
        <w:t>可能被資料選擇、預設類別與摘要規則預先窄化。因此，樂觀情境也需要檢視誰設定資料、分類與提示規則，以及這些設定能否被質疑和修正</w:t>
      </w:r>
      <w:proofErr w:type="gramStart"/>
      <w:r>
        <w:rPr>
          <w:lang w:eastAsia="zh-TW"/>
        </w:rPr>
        <w:t>—</w:t>
      </w:r>
      <w:proofErr w:type="gramEnd"/>
      <w:r>
        <w:rPr>
          <w:lang w:eastAsia="zh-TW"/>
        </w:rPr>
        <w:t>—這正是情境</w:t>
      </w:r>
      <w:proofErr w:type="gramStart"/>
      <w:r>
        <w:rPr>
          <w:lang w:eastAsia="zh-TW"/>
        </w:rPr>
        <w:t>建構鏈</w:t>
      </w:r>
      <w:proofErr w:type="gramEnd"/>
      <w:r>
        <w:rPr>
          <w:lang w:eastAsia="zh-TW"/>
        </w:rPr>
        <w:t>之「可追溯、可質疑、可修正」三項最低要求，在樂觀情境下的具體檢驗點。</w:t>
      </w:r>
    </w:p>
    <w:p w:rsidR="002C50A5" w:rsidRDefault="00A447DA">
      <w:pPr>
        <w:pStyle w:val="3"/>
        <w:numPr>
          <w:ilvl w:val="0"/>
          <w:numId w:val="6"/>
        </w:numPr>
        <w:tabs>
          <w:tab w:val="left" w:pos="742"/>
        </w:tabs>
        <w:ind w:left="742" w:hanging="720"/>
      </w:pPr>
      <w:proofErr w:type="spellStart"/>
      <w:r>
        <w:rPr>
          <w:color w:val="1F2937"/>
          <w:spacing w:val="-3"/>
        </w:rPr>
        <w:t>理論診斷</w:t>
      </w:r>
      <w:proofErr w:type="spellEnd"/>
    </w:p>
    <w:p w:rsidR="002C50A5" w:rsidRDefault="00A447DA">
      <w:pPr>
        <w:pStyle w:val="a3"/>
        <w:spacing w:before="96" w:line="338" w:lineRule="auto"/>
        <w:ind w:left="22"/>
        <w:jc w:val="left"/>
        <w:rPr>
          <w:lang w:eastAsia="zh-TW"/>
        </w:rPr>
      </w:pPr>
      <w:r>
        <w:rPr>
          <w:color w:val="1F2937"/>
          <w:spacing w:val="4"/>
          <w:lang w:eastAsia="zh-TW"/>
        </w:rPr>
        <w:t>既有公共行政理論在此情境中大致仍可運作，但須</w:t>
      </w:r>
      <w:proofErr w:type="gramStart"/>
      <w:r>
        <w:rPr>
          <w:color w:val="1F2937"/>
          <w:spacing w:val="4"/>
          <w:lang w:eastAsia="zh-TW"/>
        </w:rPr>
        <w:t>補入演算法框定</w:t>
      </w:r>
      <w:proofErr w:type="gramEnd"/>
      <w:r>
        <w:rPr>
          <w:color w:val="1F2937"/>
          <w:spacing w:val="4"/>
          <w:lang w:eastAsia="zh-TW"/>
        </w:rPr>
        <w:t>及人機權責配</w:t>
      </w:r>
      <w:r>
        <w:rPr>
          <w:color w:val="1F2937"/>
          <w:lang w:eastAsia="zh-TW"/>
        </w:rPr>
        <w:t>置。此時較合理的理論反應是調適，而不是直接宣稱典範重構。</w:t>
      </w:r>
    </w:p>
    <w:p w:rsidR="002C50A5" w:rsidRDefault="00A447DA">
      <w:pPr>
        <w:pStyle w:val="2"/>
        <w:numPr>
          <w:ilvl w:val="1"/>
          <w:numId w:val="9"/>
        </w:numPr>
        <w:tabs>
          <w:tab w:val="left" w:pos="522"/>
        </w:tabs>
        <w:ind w:left="522" w:hanging="499"/>
      </w:pPr>
      <w:bookmarkStart w:id="21" w:name="二、摩擦混合型（務實情境）：混合治理政府（Frictional_Hybrid_G"/>
      <w:bookmarkEnd w:id="21"/>
      <w:proofErr w:type="spellStart"/>
      <w:r>
        <w:rPr>
          <w:color w:val="1F2937"/>
          <w:spacing w:val="-2"/>
        </w:rPr>
        <w:t>調適混合型（務實情境</w:t>
      </w:r>
      <w:proofErr w:type="spellEnd"/>
      <w:r>
        <w:rPr>
          <w:color w:val="1F2937"/>
          <w:spacing w:val="-2"/>
        </w:rPr>
        <w:t>）：</w:t>
      </w:r>
      <w:proofErr w:type="spellStart"/>
      <w:r>
        <w:rPr>
          <w:color w:val="1F2937"/>
          <w:spacing w:val="-2"/>
        </w:rPr>
        <w:t>混合治理政府（Adaptive</w:t>
      </w:r>
      <w:proofErr w:type="spellEnd"/>
      <w:r>
        <w:rPr>
          <w:color w:val="1F2937"/>
          <w:spacing w:val="-2"/>
        </w:rPr>
        <w:t xml:space="preserve"> Hybrid Governance）</w:t>
      </w:r>
    </w:p>
    <w:p w:rsidR="002C50A5" w:rsidRDefault="00A447DA">
      <w:pPr>
        <w:pStyle w:val="3"/>
        <w:numPr>
          <w:ilvl w:val="0"/>
          <w:numId w:val="5"/>
        </w:numPr>
        <w:tabs>
          <w:tab w:val="left" w:pos="743"/>
        </w:tabs>
        <w:spacing w:before="331"/>
        <w:ind w:left="743" w:hanging="720"/>
      </w:pPr>
      <w:proofErr w:type="spellStart"/>
      <w:r>
        <w:rPr>
          <w:color w:val="1F2937"/>
          <w:spacing w:val="-2"/>
        </w:rPr>
        <w:t>座標定位與強度判斷</w:t>
      </w:r>
      <w:proofErr w:type="spellEnd"/>
    </w:p>
    <w:p w:rsidR="002C50A5" w:rsidRDefault="00A447DA">
      <w:pPr>
        <w:pStyle w:val="a3"/>
        <w:spacing w:before="96" w:line="338" w:lineRule="auto"/>
        <w:ind w:right="297"/>
        <w:rPr>
          <w:lang w:eastAsia="zh-TW"/>
        </w:rPr>
      </w:pPr>
      <w:r>
        <w:rPr>
          <w:rFonts w:ascii="Times New Roman" w:eastAsia="Times New Roman"/>
          <w:color w:val="1F2937"/>
          <w:spacing w:val="1"/>
          <w:lang w:eastAsia="zh-TW"/>
        </w:rPr>
        <w:t>AI  同時作用於政策體系與組織設計層次，並跨越個人、組織與社會單位。跨座標移動反覆出現，政府、市場與平台的責任界線部分重疊，法律授權與技術輸出共同影響決策。三項結構效應多處於中強度，制度吸收能力則因機關、政策領域與案件類型而異。</w:t>
      </w:r>
    </w:p>
    <w:p w:rsidR="002C50A5" w:rsidRDefault="00A447DA">
      <w:pPr>
        <w:pStyle w:val="3"/>
        <w:numPr>
          <w:ilvl w:val="0"/>
          <w:numId w:val="5"/>
        </w:numPr>
        <w:tabs>
          <w:tab w:val="left" w:pos="743"/>
        </w:tabs>
        <w:spacing w:before="139"/>
        <w:ind w:left="743" w:hanging="720"/>
      </w:pPr>
      <w:proofErr w:type="spellStart"/>
      <w:r>
        <w:rPr>
          <w:color w:val="1F2937"/>
          <w:spacing w:val="-2"/>
        </w:rPr>
        <w:t>制度樣貌的深入分析</w:t>
      </w:r>
      <w:proofErr w:type="spellEnd"/>
    </w:p>
    <w:p w:rsidR="002C50A5" w:rsidRDefault="00A447DA">
      <w:pPr>
        <w:pStyle w:val="a3"/>
        <w:spacing w:before="99" w:line="338" w:lineRule="auto"/>
        <w:rPr>
          <w:lang w:eastAsia="zh-TW"/>
        </w:rPr>
      </w:pPr>
      <w:r>
        <w:rPr>
          <w:color w:val="1F2937"/>
          <w:spacing w:val="4"/>
          <w:lang w:eastAsia="zh-TW"/>
        </w:rPr>
        <w:t>此情境呈現數位政府轉型中常見的過渡狀態。採購契約與權責表仍存在，但模型</w:t>
      </w:r>
      <w:r>
        <w:rPr>
          <w:color w:val="1F2937"/>
          <w:spacing w:val="2"/>
          <w:lang w:eastAsia="zh-TW"/>
        </w:rPr>
        <w:t>商、雲端服務商、系統整合商與使用機關</w:t>
      </w:r>
      <w:proofErr w:type="gramStart"/>
      <w:r>
        <w:rPr>
          <w:color w:val="1F2937"/>
          <w:spacing w:val="2"/>
          <w:lang w:eastAsia="zh-TW"/>
        </w:rPr>
        <w:t>之間，</w:t>
      </w:r>
      <w:proofErr w:type="gramEnd"/>
      <w:r>
        <w:rPr>
          <w:color w:val="1F2937"/>
          <w:spacing w:val="2"/>
          <w:lang w:eastAsia="zh-TW"/>
        </w:rPr>
        <w:t>可能出現決策紀錄可追溯、責任卻難</w:t>
      </w:r>
      <w:r>
        <w:rPr>
          <w:color w:val="1F2937"/>
          <w:lang w:eastAsia="zh-TW"/>
        </w:rPr>
        <w:t>以實質歸屬的落差（</w:t>
      </w:r>
      <w:r>
        <w:rPr>
          <w:rFonts w:ascii="Times New Roman" w:eastAsia="Times New Roman"/>
          <w:color w:val="1F2937"/>
          <w:lang w:eastAsia="zh-TW"/>
        </w:rPr>
        <w:t>Cobbe</w:t>
      </w:r>
      <w:r>
        <w:rPr>
          <w:rFonts w:ascii="Times New Roman" w:eastAsia="Times New Roman"/>
          <w:color w:val="1F2937"/>
          <w:spacing w:val="-1"/>
          <w:lang w:eastAsia="zh-TW"/>
        </w:rPr>
        <w:t xml:space="preserve"> e</w:t>
      </w:r>
      <w:r>
        <w:rPr>
          <w:rFonts w:ascii="Times New Roman" w:eastAsia="Times New Roman"/>
          <w:color w:val="1F2937"/>
          <w:lang w:eastAsia="zh-TW"/>
        </w:rPr>
        <w:t xml:space="preserve">t </w:t>
      </w:r>
      <w:r>
        <w:rPr>
          <w:rFonts w:ascii="Times New Roman" w:eastAsia="Times New Roman"/>
          <w:color w:val="1F2937"/>
          <w:spacing w:val="-1"/>
          <w:lang w:eastAsia="zh-TW"/>
        </w:rPr>
        <w:t>a</w:t>
      </w:r>
      <w:r>
        <w:rPr>
          <w:rFonts w:ascii="Times New Roman" w:eastAsia="Times New Roman"/>
          <w:color w:val="1F2937"/>
          <w:lang w:eastAsia="zh-TW"/>
        </w:rPr>
        <w:t>l., 2021, 2023</w:t>
      </w:r>
      <w:proofErr w:type="gramStart"/>
      <w:r>
        <w:rPr>
          <w:color w:val="1F2937"/>
          <w:spacing w:val="2"/>
          <w:lang w:eastAsia="zh-TW"/>
        </w:rPr>
        <w:t>）</w:t>
      </w:r>
      <w:proofErr w:type="gramEnd"/>
      <w:r>
        <w:rPr>
          <w:color w:val="1F2937"/>
          <w:spacing w:val="2"/>
          <w:lang w:eastAsia="zh-TW"/>
        </w:rPr>
        <w:t>。</w:t>
      </w:r>
    </w:p>
    <w:p w:rsidR="002C50A5" w:rsidRDefault="00A447DA">
      <w:pPr>
        <w:pStyle w:val="a3"/>
        <w:spacing w:before="120" w:line="338" w:lineRule="auto"/>
        <w:ind w:right="297"/>
        <w:rPr>
          <w:lang w:eastAsia="zh-TW"/>
        </w:rPr>
      </w:pPr>
      <w:r>
        <w:rPr>
          <w:color w:val="1F2937"/>
          <w:lang w:eastAsia="zh-TW"/>
        </w:rPr>
        <w:t xml:space="preserve">當政策形成依賴 </w:t>
      </w:r>
      <w:r>
        <w:rPr>
          <w:rFonts w:ascii="Times New Roman" w:eastAsia="Times New Roman"/>
          <w:color w:val="1F2937"/>
          <w:lang w:eastAsia="zh-TW"/>
        </w:rPr>
        <w:t xml:space="preserve">AI </w:t>
      </w:r>
      <w:r>
        <w:rPr>
          <w:color w:val="1F2937"/>
          <w:lang w:eastAsia="zh-TW"/>
        </w:rPr>
        <w:t>輿情分析、分類與模擬，資料偏差可能從個人案件擴張為社會</w:t>
      </w:r>
      <w:r>
        <w:rPr>
          <w:color w:val="1F2937"/>
          <w:spacing w:val="-2"/>
          <w:lang w:eastAsia="zh-TW"/>
        </w:rPr>
        <w:t>層次的資源分配問題。臺灣研究已指出非意圖歧視與公共價值錯置的風險</w:t>
      </w:r>
      <w:proofErr w:type="gramStart"/>
      <w:r>
        <w:rPr>
          <w:color w:val="1F2937"/>
          <w:spacing w:val="-2"/>
          <w:lang w:eastAsia="zh-TW"/>
        </w:rPr>
        <w:t>（</w:t>
      </w:r>
      <w:proofErr w:type="gramEnd"/>
      <w:r>
        <w:rPr>
          <w:color w:val="1F2937"/>
          <w:spacing w:val="-2"/>
          <w:lang w:eastAsia="zh-TW"/>
        </w:rPr>
        <w:t>李翠萍等人，</w:t>
      </w:r>
      <w:r>
        <w:rPr>
          <w:rFonts w:ascii="Times New Roman" w:eastAsia="Times New Roman"/>
          <w:color w:val="1F2937"/>
          <w:spacing w:val="-2"/>
          <w:lang w:eastAsia="zh-TW"/>
        </w:rPr>
        <w:t>2022</w:t>
      </w:r>
      <w:r>
        <w:rPr>
          <w:color w:val="1F2937"/>
          <w:spacing w:val="-2"/>
          <w:lang w:eastAsia="zh-TW"/>
        </w:rPr>
        <w:t>；黃心怡、陳敦源，</w:t>
      </w:r>
      <w:r>
        <w:rPr>
          <w:rFonts w:ascii="Times New Roman" w:eastAsia="Times New Roman"/>
          <w:color w:val="1F2937"/>
          <w:spacing w:val="-2"/>
          <w:lang w:eastAsia="zh-TW"/>
        </w:rPr>
        <w:t>2023</w:t>
      </w:r>
      <w:proofErr w:type="gramStart"/>
      <w:r>
        <w:rPr>
          <w:color w:val="1F2937"/>
          <w:spacing w:val="-2"/>
          <w:lang w:eastAsia="zh-TW"/>
        </w:rPr>
        <w:t>）</w:t>
      </w:r>
      <w:proofErr w:type="gramEnd"/>
      <w:r>
        <w:rPr>
          <w:color w:val="1F2937"/>
          <w:spacing w:val="-2"/>
          <w:lang w:eastAsia="zh-TW"/>
        </w:rPr>
        <w:t>。</w:t>
      </w:r>
    </w:p>
    <w:p w:rsidR="002C50A5" w:rsidRDefault="00A447DA">
      <w:pPr>
        <w:pStyle w:val="a3"/>
        <w:spacing w:before="121" w:line="338" w:lineRule="auto"/>
        <w:ind w:left="22" w:right="62"/>
        <w:rPr>
          <w:lang w:eastAsia="zh-TW"/>
        </w:rPr>
      </w:pPr>
      <w:r>
        <w:rPr>
          <w:color w:val="1F2937"/>
          <w:lang w:eastAsia="zh-TW"/>
        </w:rPr>
        <w:t xml:space="preserve">本文使用臺灣近期 </w:t>
      </w:r>
      <w:r>
        <w:rPr>
          <w:rFonts w:ascii="Times New Roman" w:eastAsia="Times New Roman"/>
          <w:color w:val="1F2937"/>
          <w:lang w:eastAsia="zh-TW"/>
        </w:rPr>
        <w:t xml:space="preserve">AI </w:t>
      </w:r>
      <w:r>
        <w:rPr>
          <w:color w:val="1F2937"/>
          <w:lang w:eastAsia="zh-TW"/>
        </w:rPr>
        <w:t>治理文件作為說明性材料，而非經驗驗證案例。說明性材料</w:t>
      </w:r>
      <w:r>
        <w:rPr>
          <w:color w:val="1F2937"/>
          <w:spacing w:val="80"/>
          <w:lang w:eastAsia="zh-TW"/>
        </w:rPr>
        <w:t xml:space="preserve"> </w:t>
      </w:r>
      <w:r>
        <w:rPr>
          <w:color w:val="1F2937"/>
          <w:spacing w:val="-1"/>
          <w:lang w:eastAsia="zh-TW"/>
        </w:rPr>
        <w:t>的功能是協助理解情境判</w:t>
      </w:r>
      <w:proofErr w:type="gramStart"/>
      <w:r>
        <w:rPr>
          <w:color w:val="1F2937"/>
          <w:spacing w:val="-1"/>
          <w:lang w:eastAsia="zh-TW"/>
        </w:rPr>
        <w:t>準</w:t>
      </w:r>
      <w:proofErr w:type="gramEnd"/>
      <w:r>
        <w:rPr>
          <w:color w:val="1F2937"/>
          <w:spacing w:val="-1"/>
          <w:lang w:eastAsia="zh-TW"/>
        </w:rPr>
        <w:t>如何運作，以及臺灣制度發展與本文情境之間的對照關係，</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rPr>
          <w:lang w:eastAsia="zh-TW"/>
        </w:rPr>
      </w:pPr>
      <w:r>
        <w:rPr>
          <w:lang w:eastAsia="zh-TW"/>
        </w:rPr>
        <w:lastRenderedPageBreak/>
        <w:t>這也正是情境</w:t>
      </w:r>
      <w:proofErr w:type="gramStart"/>
      <w:r>
        <w:rPr>
          <w:lang w:eastAsia="zh-TW"/>
        </w:rPr>
        <w:t>建構鏈在</w:t>
      </w:r>
      <w:proofErr w:type="gramEnd"/>
      <w:r>
        <w:rPr>
          <w:lang w:eastAsia="zh-TW"/>
        </w:rPr>
        <w:t>務實情境下最常出現的落差：</w:t>
      </w:r>
      <w:proofErr w:type="gramStart"/>
      <w:r>
        <w:rPr>
          <w:lang w:eastAsia="zh-TW"/>
        </w:rPr>
        <w:t>框定過程</w:t>
      </w:r>
      <w:proofErr w:type="gramEnd"/>
      <w:r>
        <w:rPr>
          <w:lang w:eastAsia="zh-TW"/>
        </w:rPr>
        <w:t>有紀錄，但外部檢視與異議管道是否穩定運作，證據仍不充分。其執行效果、判</w:t>
      </w:r>
      <w:proofErr w:type="gramStart"/>
      <w:r>
        <w:rPr>
          <w:lang w:eastAsia="zh-TW"/>
        </w:rPr>
        <w:t>準</w:t>
      </w:r>
      <w:proofErr w:type="gramEnd"/>
      <w:r>
        <w:rPr>
          <w:lang w:eastAsia="zh-TW"/>
        </w:rPr>
        <w:t>一致性及異議程序能否實質改變決策，仍待後續觀察。</w:t>
      </w:r>
    </w:p>
    <w:p w:rsidR="002C50A5" w:rsidRDefault="00A447DA">
      <w:pPr>
        <w:pStyle w:val="a3"/>
        <w:spacing w:before="9" w:line="338" w:lineRule="auto"/>
        <w:ind w:left="22" w:right="306" w:firstLine="0"/>
        <w:rPr>
          <w:lang w:eastAsia="zh-TW"/>
        </w:rPr>
      </w:pPr>
      <w:r>
        <w:rPr>
          <w:color w:val="1F2937"/>
          <w:lang w:eastAsia="zh-TW"/>
        </w:rPr>
        <w:t xml:space="preserve">不構成對臺灣 </w:t>
      </w:r>
      <w:r>
        <w:rPr>
          <w:rFonts w:ascii="Times New Roman" w:eastAsia="Times New Roman"/>
          <w:color w:val="1F2937"/>
          <w:lang w:eastAsia="zh-TW"/>
        </w:rPr>
        <w:t xml:space="preserve">AI </w:t>
      </w:r>
      <w:r>
        <w:rPr>
          <w:color w:val="1F2937"/>
          <w:lang w:eastAsia="zh-TW"/>
        </w:rPr>
        <w:t xml:space="preserve">治理成效的整體評價。就制度形成而言，新北市政府於 </w:t>
      </w:r>
      <w:r>
        <w:rPr>
          <w:rFonts w:ascii="Times New Roman" w:eastAsia="Times New Roman"/>
          <w:color w:val="1F2937"/>
          <w:lang w:eastAsia="zh-TW"/>
        </w:rPr>
        <w:t xml:space="preserve">2025 </w:t>
      </w:r>
      <w:r>
        <w:rPr>
          <w:color w:val="1F2937"/>
          <w:lang w:eastAsia="zh-TW"/>
        </w:rPr>
        <w:t xml:space="preserve">年公布 </w:t>
      </w:r>
      <w:r>
        <w:rPr>
          <w:rFonts w:ascii="Times New Roman" w:eastAsia="Times New Roman"/>
          <w:color w:val="1F2937"/>
          <w:lang w:eastAsia="zh-TW"/>
        </w:rPr>
        <w:t>AI</w:t>
      </w:r>
      <w:r>
        <w:rPr>
          <w:rFonts w:ascii="Times New Roman" w:eastAsia="Times New Roman"/>
          <w:color w:val="1F2937"/>
          <w:spacing w:val="-6"/>
          <w:lang w:eastAsia="zh-TW"/>
        </w:rPr>
        <w:t xml:space="preserve"> </w:t>
      </w:r>
      <w:r>
        <w:rPr>
          <w:color w:val="1F2937"/>
          <w:lang w:eastAsia="zh-TW"/>
        </w:rPr>
        <w:t>作業指引；數位</w:t>
      </w:r>
      <w:proofErr w:type="gramStart"/>
      <w:r>
        <w:rPr>
          <w:color w:val="1F2937"/>
          <w:lang w:eastAsia="zh-TW"/>
        </w:rPr>
        <w:t>發展部於</w:t>
      </w:r>
      <w:proofErr w:type="gramEnd"/>
      <w:r>
        <w:rPr>
          <w:color w:val="1F2937"/>
          <w:lang w:eastAsia="zh-TW"/>
        </w:rPr>
        <w:t xml:space="preserve"> </w:t>
      </w:r>
      <w:r>
        <w:rPr>
          <w:rFonts w:ascii="Times New Roman" w:eastAsia="Times New Roman"/>
          <w:color w:val="1F2937"/>
          <w:lang w:eastAsia="zh-TW"/>
        </w:rPr>
        <w:t>2026</w:t>
      </w:r>
      <w:r>
        <w:rPr>
          <w:rFonts w:ascii="Times New Roman" w:eastAsia="Times New Roman"/>
          <w:color w:val="1F2937"/>
          <w:spacing w:val="-3"/>
          <w:lang w:eastAsia="zh-TW"/>
        </w:rPr>
        <w:t xml:space="preserve"> </w:t>
      </w:r>
      <w:r>
        <w:rPr>
          <w:color w:val="1F2937"/>
          <w:lang w:eastAsia="zh-TW"/>
        </w:rPr>
        <w:t xml:space="preserve">年公布 </w:t>
      </w:r>
      <w:r>
        <w:rPr>
          <w:rFonts w:ascii="Times New Roman" w:eastAsia="Times New Roman"/>
          <w:color w:val="1F2937"/>
          <w:lang w:eastAsia="zh-TW"/>
        </w:rPr>
        <w:t>AI</w:t>
      </w:r>
      <w:r>
        <w:rPr>
          <w:rFonts w:ascii="Times New Roman" w:eastAsia="Times New Roman"/>
          <w:color w:val="1F2937"/>
          <w:spacing w:val="-6"/>
          <w:lang w:eastAsia="zh-TW"/>
        </w:rPr>
        <w:t xml:space="preserve"> </w:t>
      </w:r>
      <w:r>
        <w:rPr>
          <w:color w:val="1F2937"/>
          <w:lang w:eastAsia="zh-TW"/>
        </w:rPr>
        <w:t>風險分類框架及應用影響評估資料（新北市政府，</w:t>
      </w:r>
      <w:r>
        <w:rPr>
          <w:rFonts w:ascii="Times New Roman" w:eastAsia="Times New Roman"/>
          <w:color w:val="1F2937"/>
          <w:lang w:eastAsia="zh-TW"/>
        </w:rPr>
        <w:t>2025</w:t>
      </w:r>
      <w:r>
        <w:rPr>
          <w:color w:val="1F2937"/>
          <w:lang w:eastAsia="zh-TW"/>
        </w:rPr>
        <w:t>；數位發展部，</w:t>
      </w:r>
      <w:r>
        <w:rPr>
          <w:rFonts w:ascii="Times New Roman" w:eastAsia="Times New Roman"/>
          <w:color w:val="1F2937"/>
          <w:lang w:eastAsia="zh-TW"/>
        </w:rPr>
        <w:t>2026a, 2026b</w:t>
      </w:r>
      <w:proofErr w:type="gramStart"/>
      <w:r>
        <w:rPr>
          <w:color w:val="1F2937"/>
          <w:lang w:eastAsia="zh-TW"/>
        </w:rPr>
        <w:t>）</w:t>
      </w:r>
      <w:proofErr w:type="gramEnd"/>
      <w:r>
        <w:rPr>
          <w:color w:val="1F2937"/>
          <w:lang w:eastAsia="zh-TW"/>
        </w:rPr>
        <w:t>。由於地方文件早於中央框架，這些材料</w:t>
      </w:r>
      <w:r>
        <w:rPr>
          <w:color w:val="1F2937"/>
          <w:spacing w:val="-1"/>
          <w:lang w:eastAsia="zh-TW"/>
        </w:rPr>
        <w:t xml:space="preserve">不能證明中央制度已向地方擴散；較適當的解讀是中央與地方陸續形成 </w:t>
      </w:r>
      <w:r>
        <w:rPr>
          <w:rFonts w:ascii="Times New Roman" w:eastAsia="Times New Roman"/>
          <w:color w:val="1F2937"/>
          <w:lang w:eastAsia="zh-TW"/>
        </w:rPr>
        <w:t>AI</w:t>
      </w:r>
      <w:r>
        <w:rPr>
          <w:rFonts w:ascii="Times New Roman" w:eastAsia="Times New Roman"/>
          <w:color w:val="1F2937"/>
          <w:spacing w:val="-15"/>
          <w:lang w:eastAsia="zh-TW"/>
        </w:rPr>
        <w:t xml:space="preserve"> </w:t>
      </w:r>
      <w:r>
        <w:rPr>
          <w:color w:val="1F2937"/>
          <w:lang w:eastAsia="zh-TW"/>
        </w:rPr>
        <w:t>風險治理工</w:t>
      </w:r>
      <w:r>
        <w:rPr>
          <w:color w:val="1F2937"/>
          <w:spacing w:val="-2"/>
          <w:lang w:eastAsia="zh-TW"/>
        </w:rPr>
        <w:t>具。其執行效果、判</w:t>
      </w:r>
      <w:proofErr w:type="gramStart"/>
      <w:r>
        <w:rPr>
          <w:color w:val="1F2937"/>
          <w:spacing w:val="-2"/>
          <w:lang w:eastAsia="zh-TW"/>
        </w:rPr>
        <w:t>準</w:t>
      </w:r>
      <w:proofErr w:type="gramEnd"/>
      <w:r>
        <w:rPr>
          <w:color w:val="1F2937"/>
          <w:spacing w:val="-2"/>
          <w:lang w:eastAsia="zh-TW"/>
        </w:rPr>
        <w:t>一致性及異議程序能否實質改變決策，仍待後續觀察。</w:t>
      </w:r>
    </w:p>
    <w:p w:rsidR="002C50A5" w:rsidRDefault="00A447DA">
      <w:pPr>
        <w:pStyle w:val="a3"/>
        <w:spacing w:before="122" w:line="338" w:lineRule="auto"/>
        <w:ind w:left="22"/>
        <w:rPr>
          <w:lang w:eastAsia="zh-TW"/>
        </w:rPr>
      </w:pPr>
      <w:r>
        <w:rPr>
          <w:color w:val="1F2937"/>
          <w:spacing w:val="4"/>
          <w:lang w:eastAsia="zh-TW"/>
        </w:rPr>
        <w:t>組織層次可能長期並存高度自動化流程與人工例外處理。此時需要評估機關是否</w:t>
      </w:r>
      <w:r>
        <w:rPr>
          <w:color w:val="1F2937"/>
          <w:spacing w:val="2"/>
          <w:lang w:eastAsia="zh-TW"/>
        </w:rPr>
        <w:t>具備辨識模型限制、挑戰輸出、調整資料及啟動補救程序的能力。若只公布影響評估</w:t>
      </w:r>
      <w:r>
        <w:rPr>
          <w:color w:val="1F2937"/>
          <w:lang w:eastAsia="zh-TW"/>
        </w:rPr>
        <w:t>或設置申訴窗口，卻缺乏實質修正能力，</w:t>
      </w:r>
      <w:proofErr w:type="gramStart"/>
      <w:r>
        <w:rPr>
          <w:color w:val="1F2937"/>
          <w:lang w:eastAsia="zh-TW"/>
        </w:rPr>
        <w:t>課責程序</w:t>
      </w:r>
      <w:proofErr w:type="gramEnd"/>
      <w:r>
        <w:rPr>
          <w:color w:val="1F2937"/>
          <w:lang w:eastAsia="zh-TW"/>
        </w:rPr>
        <w:t>仍可能形式化。</w:t>
      </w:r>
    </w:p>
    <w:p w:rsidR="002C50A5" w:rsidRDefault="00A447DA">
      <w:pPr>
        <w:pStyle w:val="3"/>
        <w:numPr>
          <w:ilvl w:val="0"/>
          <w:numId w:val="5"/>
        </w:numPr>
        <w:tabs>
          <w:tab w:val="left" w:pos="742"/>
        </w:tabs>
        <w:spacing w:before="139"/>
        <w:ind w:left="742" w:hanging="720"/>
      </w:pPr>
      <w:proofErr w:type="spellStart"/>
      <w:r>
        <w:rPr>
          <w:color w:val="1F2937"/>
          <w:spacing w:val="-3"/>
        </w:rPr>
        <w:t>理論診斷</w:t>
      </w:r>
      <w:proofErr w:type="spellEnd"/>
    </w:p>
    <w:p w:rsidR="002C50A5" w:rsidRDefault="00A447DA">
      <w:pPr>
        <w:pStyle w:val="a3"/>
        <w:spacing w:before="99" w:line="338" w:lineRule="auto"/>
        <w:ind w:left="22"/>
        <w:rPr>
          <w:lang w:eastAsia="zh-TW"/>
        </w:rPr>
      </w:pPr>
      <w:r>
        <w:rPr>
          <w:color w:val="1F2937"/>
          <w:spacing w:val="4"/>
          <w:lang w:eastAsia="zh-TW"/>
        </w:rPr>
        <w:t>務實情境並非制度崩解，而是既有理論的解釋範圍逐步受限。層次與分析單位仍</w:t>
      </w:r>
      <w:r>
        <w:rPr>
          <w:color w:val="1F2937"/>
          <w:spacing w:val="2"/>
          <w:lang w:eastAsia="zh-TW"/>
        </w:rPr>
        <w:t>可作為定位工具，但若忽略供應鏈中的實質決定者、</w:t>
      </w:r>
      <w:proofErr w:type="gramStart"/>
      <w:r>
        <w:rPr>
          <w:color w:val="1F2937"/>
          <w:spacing w:val="2"/>
          <w:lang w:eastAsia="zh-TW"/>
        </w:rPr>
        <w:t>資料框定及</w:t>
      </w:r>
      <w:proofErr w:type="gramEnd"/>
      <w:r>
        <w:rPr>
          <w:color w:val="1F2937"/>
          <w:spacing w:val="2"/>
          <w:lang w:eastAsia="zh-TW"/>
        </w:rPr>
        <w:t>跨格外部效果，就難</w:t>
      </w:r>
      <w:r>
        <w:rPr>
          <w:color w:val="1F2937"/>
          <w:lang w:eastAsia="zh-TW"/>
        </w:rPr>
        <w:t>以說明責任與權威的流動。</w:t>
      </w:r>
    </w:p>
    <w:p w:rsidR="002C50A5" w:rsidRDefault="00A447DA">
      <w:pPr>
        <w:pStyle w:val="2"/>
        <w:spacing w:before="179" w:line="338" w:lineRule="auto"/>
        <w:ind w:left="23" w:firstLine="0"/>
      </w:pPr>
      <w:bookmarkStart w:id="22" w:name="三、權威位移型（悲觀情境）：AI權威位移治理（Algorithmic_Autho"/>
      <w:bookmarkEnd w:id="22"/>
      <w:proofErr w:type="spellStart"/>
      <w:r>
        <w:rPr>
          <w:color w:val="1F2937"/>
          <w:spacing w:val="40"/>
        </w:rPr>
        <w:t>三、權威位移型</w:t>
      </w:r>
      <w:proofErr w:type="spellEnd"/>
      <w:r>
        <w:rPr>
          <w:color w:val="1F2937"/>
        </w:rPr>
        <w:t>（</w:t>
      </w:r>
      <w:r>
        <w:rPr>
          <w:color w:val="1F2937"/>
          <w:spacing w:val="28"/>
        </w:rPr>
        <w:t xml:space="preserve"> </w:t>
      </w:r>
      <w:proofErr w:type="spellStart"/>
      <w:r>
        <w:rPr>
          <w:color w:val="1F2937"/>
          <w:spacing w:val="28"/>
        </w:rPr>
        <w:t>悲觀情境</w:t>
      </w:r>
      <w:proofErr w:type="spellEnd"/>
      <w:r>
        <w:rPr>
          <w:color w:val="1F2937"/>
        </w:rPr>
        <w:t>）</w:t>
      </w:r>
      <w:r>
        <w:rPr>
          <w:color w:val="1F2937"/>
          <w:spacing w:val="-15"/>
        </w:rPr>
        <w:t xml:space="preserve"> ： </w:t>
      </w:r>
      <w:r>
        <w:rPr>
          <w:rFonts w:ascii="Times New Roman" w:eastAsia="Times New Roman"/>
          <w:color w:val="1F2937"/>
        </w:rPr>
        <w:t>AI</w:t>
      </w:r>
      <w:r>
        <w:rPr>
          <w:rFonts w:ascii="Times New Roman" w:eastAsia="Times New Roman"/>
          <w:color w:val="1F2937"/>
          <w:spacing w:val="68"/>
        </w:rPr>
        <w:t xml:space="preserve"> </w:t>
      </w:r>
      <w:proofErr w:type="spellStart"/>
      <w:r>
        <w:rPr>
          <w:color w:val="1F2937"/>
          <w:spacing w:val="40"/>
        </w:rPr>
        <w:t>權威位移治理</w:t>
      </w:r>
      <w:proofErr w:type="spellEnd"/>
      <w:r>
        <w:rPr>
          <w:color w:val="1F2937"/>
        </w:rPr>
        <w:t>（</w:t>
      </w:r>
      <w:r>
        <w:rPr>
          <w:color w:val="1F2937"/>
          <w:spacing w:val="-22"/>
        </w:rPr>
        <w:t xml:space="preserve"> </w:t>
      </w:r>
      <w:r>
        <w:rPr>
          <w:rFonts w:ascii="Times New Roman" w:eastAsia="Times New Roman"/>
          <w:color w:val="1F2937"/>
        </w:rPr>
        <w:t>Algorithmic</w:t>
      </w:r>
      <w:r>
        <w:rPr>
          <w:rFonts w:ascii="Times New Roman" w:eastAsia="Times New Roman"/>
          <w:color w:val="1F2937"/>
          <w:spacing w:val="77"/>
        </w:rPr>
        <w:t xml:space="preserve"> </w:t>
      </w:r>
      <w:r>
        <w:rPr>
          <w:rFonts w:ascii="Times New Roman" w:eastAsia="Times New Roman"/>
          <w:color w:val="1F2937"/>
        </w:rPr>
        <w:t xml:space="preserve">Authority </w:t>
      </w:r>
      <w:r>
        <w:rPr>
          <w:rFonts w:ascii="Times New Roman" w:eastAsia="Times New Roman"/>
          <w:color w:val="1F2937"/>
          <w:spacing w:val="-2"/>
        </w:rPr>
        <w:t>Displacement</w:t>
      </w:r>
      <w:r>
        <w:rPr>
          <w:color w:val="1F2937"/>
          <w:spacing w:val="-2"/>
        </w:rPr>
        <w:t>）</w:t>
      </w:r>
    </w:p>
    <w:p w:rsidR="002C50A5" w:rsidRDefault="00A447DA">
      <w:pPr>
        <w:pStyle w:val="3"/>
        <w:numPr>
          <w:ilvl w:val="0"/>
          <w:numId w:val="4"/>
        </w:numPr>
        <w:tabs>
          <w:tab w:val="left" w:pos="743"/>
        </w:tabs>
        <w:ind w:left="743" w:hanging="720"/>
      </w:pPr>
      <w:proofErr w:type="spellStart"/>
      <w:r>
        <w:rPr>
          <w:color w:val="1F2937"/>
          <w:spacing w:val="-2"/>
        </w:rPr>
        <w:t>座標定位與強度判斷</w:t>
      </w:r>
      <w:proofErr w:type="spellEnd"/>
    </w:p>
    <w:p w:rsidR="002C50A5" w:rsidRDefault="00A447DA">
      <w:pPr>
        <w:pStyle w:val="a3"/>
        <w:spacing w:before="99" w:line="338" w:lineRule="auto"/>
        <w:ind w:right="297"/>
        <w:rPr>
          <w:lang w:eastAsia="zh-TW"/>
        </w:rPr>
      </w:pPr>
      <w:r>
        <w:rPr>
          <w:rFonts w:ascii="Times New Roman" w:eastAsia="Times New Roman"/>
          <w:color w:val="1F2937"/>
          <w:lang w:eastAsia="zh-TW"/>
        </w:rPr>
        <w:t xml:space="preserve">AI </w:t>
      </w:r>
      <w:r>
        <w:rPr>
          <w:color w:val="1F2937"/>
          <w:lang w:eastAsia="zh-TW"/>
        </w:rPr>
        <w:t>介入擴及哲學與價值、制度分工與政策體系等上位層次，並同時影響社會與國</w:t>
      </w:r>
      <w:r>
        <w:rPr>
          <w:color w:val="1F2937"/>
          <w:spacing w:val="-2"/>
          <w:lang w:eastAsia="zh-TW"/>
        </w:rPr>
        <w:t>際單位。跨座標移動、邊界消解及權威重構在多個格位持續耦合；人工覆核、申訴與救濟難以改變模型所設定的分類、資料或選項。</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pStyle w:val="3"/>
        <w:numPr>
          <w:ilvl w:val="0"/>
          <w:numId w:val="4"/>
        </w:numPr>
        <w:tabs>
          <w:tab w:val="left" w:pos="742"/>
        </w:tabs>
        <w:spacing w:before="9"/>
        <w:ind w:left="742" w:hanging="720"/>
      </w:pPr>
      <w:proofErr w:type="spellStart"/>
      <w:r>
        <w:rPr>
          <w:color w:val="1F2937"/>
          <w:spacing w:val="-2"/>
        </w:rPr>
        <w:lastRenderedPageBreak/>
        <w:t>制度樣貌的深入分析</w:t>
      </w:r>
      <w:proofErr w:type="spellEnd"/>
    </w:p>
    <w:p w:rsidR="002C50A5" w:rsidRDefault="00A447DA">
      <w:pPr>
        <w:pStyle w:val="a3"/>
        <w:spacing w:before="97" w:line="338" w:lineRule="auto"/>
        <w:ind w:left="22"/>
        <w:rPr>
          <w:lang w:eastAsia="zh-TW"/>
        </w:rPr>
      </w:pPr>
      <w:r>
        <w:rPr>
          <w:color w:val="1F2937"/>
          <w:spacing w:val="4"/>
          <w:lang w:eastAsia="zh-TW"/>
        </w:rPr>
        <w:t>本文以「無人行政」描述一種分析上的極端狀態：組織仍有公務員，但其裁量空</w:t>
      </w:r>
      <w:r>
        <w:rPr>
          <w:color w:val="1F2937"/>
          <w:spacing w:val="2"/>
          <w:lang w:eastAsia="zh-TW"/>
        </w:rPr>
        <w:t>間被系統參數、預設類別與流程設計大幅壓縮，基層人員主要確認系統輸出，而難以</w:t>
      </w:r>
      <w:r>
        <w:rPr>
          <w:color w:val="1F2937"/>
          <w:lang w:eastAsia="zh-TW"/>
        </w:rPr>
        <w:t>進行獨立判斷。此名稱不是對現況的事實判定。</w:t>
      </w:r>
    </w:p>
    <w:p w:rsidR="002C50A5" w:rsidRDefault="00A447DA">
      <w:pPr>
        <w:pStyle w:val="a3"/>
        <w:spacing w:before="120" w:line="338" w:lineRule="auto"/>
        <w:ind w:left="22"/>
        <w:rPr>
          <w:lang w:eastAsia="zh-TW"/>
        </w:rPr>
      </w:pPr>
      <w:r>
        <w:rPr>
          <w:lang w:eastAsia="zh-TW"/>
        </w:rPr>
        <w:t>在此情境中，情境</w:t>
      </w:r>
      <w:proofErr w:type="gramStart"/>
      <w:r>
        <w:rPr>
          <w:lang w:eastAsia="zh-TW"/>
        </w:rPr>
        <w:t>建構鏈率先</w:t>
      </w:r>
      <w:proofErr w:type="gramEnd"/>
      <w:r>
        <w:rPr>
          <w:lang w:eastAsia="zh-TW"/>
        </w:rPr>
        <w:t>斷裂：</w:t>
      </w:r>
      <w:proofErr w:type="gramStart"/>
      <w:r>
        <w:rPr>
          <w:lang w:eastAsia="zh-TW"/>
        </w:rPr>
        <w:t>問題框定完全</w:t>
      </w:r>
      <w:proofErr w:type="gramEnd"/>
      <w:r>
        <w:rPr>
          <w:lang w:eastAsia="zh-TW"/>
        </w:rPr>
        <w:t>由技術系統決定，且無對應之人類論辯紀錄或具名決策節點可供追溯或異議。理由鏈的困難不只來自模型內部推論不透明，也來自機關無法把結果重新連回可理解的事實、法律與規範判斷。技術不透明</w:t>
      </w:r>
      <w:proofErr w:type="gramStart"/>
      <w:r>
        <w:rPr>
          <w:lang w:eastAsia="zh-TW"/>
        </w:rPr>
        <w:t>不</w:t>
      </w:r>
      <w:proofErr w:type="gramEnd"/>
      <w:r>
        <w:rPr>
          <w:lang w:eastAsia="zh-TW"/>
        </w:rPr>
        <w:t>必然排除行政理由；真正的斷裂發生在制度無法提出可審查理由、保留異議紀錄，或依申訴結果修正資料與模型時</w:t>
      </w:r>
      <w:proofErr w:type="gramStart"/>
      <w:r>
        <w:rPr>
          <w:lang w:eastAsia="zh-TW"/>
        </w:rPr>
        <w:t>（</w:t>
      </w:r>
      <w:proofErr w:type="spellStart"/>
      <w:proofErr w:type="gramEnd"/>
      <w:r>
        <w:rPr>
          <w:lang w:eastAsia="zh-TW"/>
        </w:rPr>
        <w:t>Busuioc</w:t>
      </w:r>
      <w:proofErr w:type="spellEnd"/>
      <w:r>
        <w:rPr>
          <w:lang w:eastAsia="zh-TW"/>
        </w:rPr>
        <w:t>, 2021；</w:t>
      </w:r>
      <w:proofErr w:type="spellStart"/>
      <w:r>
        <w:rPr>
          <w:lang w:eastAsia="zh-TW"/>
        </w:rPr>
        <w:t>Grimmelikhuijsen</w:t>
      </w:r>
      <w:proofErr w:type="spellEnd"/>
      <w:r>
        <w:rPr>
          <w:lang w:eastAsia="zh-TW"/>
        </w:rPr>
        <w:t xml:space="preserve"> &amp; Meijer, 2022</w:t>
      </w:r>
      <w:proofErr w:type="gramStart"/>
      <w:r>
        <w:rPr>
          <w:lang w:eastAsia="zh-TW"/>
        </w:rPr>
        <w:t>）</w:t>
      </w:r>
      <w:proofErr w:type="gramEnd"/>
      <w:r>
        <w:rPr>
          <w:lang w:eastAsia="zh-TW"/>
        </w:rPr>
        <w:t>。情境</w:t>
      </w:r>
      <w:proofErr w:type="gramStart"/>
      <w:r>
        <w:rPr>
          <w:lang w:eastAsia="zh-TW"/>
        </w:rPr>
        <w:t>建構鏈與</w:t>
      </w:r>
      <w:proofErr w:type="gramEnd"/>
      <w:r>
        <w:rPr>
          <w:lang w:eastAsia="zh-TW"/>
        </w:rPr>
        <w:t>理由鏈同時斷裂，正是本文所稱「解釋力臨界」候選狀態最明確的早期訊號，不必等到權威鏈也斷裂才能判斷。</w:t>
      </w:r>
    </w:p>
    <w:p w:rsidR="002C50A5" w:rsidRDefault="00A447DA">
      <w:pPr>
        <w:pStyle w:val="a3"/>
        <w:spacing w:before="122" w:line="338" w:lineRule="auto"/>
        <w:ind w:left="22" w:right="62"/>
        <w:jc w:val="left"/>
        <w:rPr>
          <w:lang w:eastAsia="zh-TW"/>
        </w:rPr>
      </w:pPr>
      <w:r>
        <w:rPr>
          <w:color w:val="1F2937"/>
          <w:spacing w:val="4"/>
          <w:lang w:eastAsia="zh-TW"/>
        </w:rPr>
        <w:t>跨國模型、雲端服務及技術標準若由少數供應商控制，可能同時削弱國家對資料、</w:t>
      </w:r>
      <w:r>
        <w:rPr>
          <w:color w:val="1F2937"/>
          <w:spacing w:val="2"/>
          <w:lang w:eastAsia="zh-TW"/>
        </w:rPr>
        <w:t xml:space="preserve">模型與制度選項的掌握。此時，國內制度分工與國際規範協調相互交疊，使單一機關 </w:t>
      </w:r>
      <w:r>
        <w:rPr>
          <w:color w:val="1F2937"/>
          <w:lang w:eastAsia="zh-TW"/>
        </w:rPr>
        <w:t>難以獨立處理責任與救濟。</w:t>
      </w:r>
    </w:p>
    <w:p w:rsidR="002C50A5" w:rsidRDefault="00A447DA">
      <w:pPr>
        <w:pStyle w:val="a3"/>
        <w:spacing w:before="120" w:line="338" w:lineRule="auto"/>
        <w:ind w:left="22"/>
        <w:rPr>
          <w:lang w:eastAsia="zh-TW"/>
        </w:rPr>
      </w:pPr>
      <w:r>
        <w:rPr>
          <w:color w:val="1F2937"/>
          <w:spacing w:val="4"/>
          <w:lang w:eastAsia="zh-TW"/>
        </w:rPr>
        <w:t>形式簽署者與實質影響者可能因此分離。</w:t>
      </w:r>
      <w:proofErr w:type="gramStart"/>
      <w:r>
        <w:rPr>
          <w:color w:val="1F2937"/>
          <w:spacing w:val="4"/>
          <w:lang w:eastAsia="zh-TW"/>
        </w:rPr>
        <w:t>自動化偏誤研究</w:t>
      </w:r>
      <w:proofErr w:type="gramEnd"/>
      <w:r>
        <w:rPr>
          <w:color w:val="1F2937"/>
          <w:spacing w:val="4"/>
          <w:lang w:eastAsia="zh-TW"/>
        </w:rPr>
        <w:t>顯示，決策者可能過度</w:t>
      </w:r>
      <w:r>
        <w:rPr>
          <w:color w:val="1F2937"/>
          <w:lang w:eastAsia="zh-TW"/>
        </w:rPr>
        <w:t>採信系統輸出，即使輸出與其專業判斷不一致（</w:t>
      </w:r>
      <w:proofErr w:type="spellStart"/>
      <w:r>
        <w:rPr>
          <w:rFonts w:ascii="Times New Roman" w:eastAsia="Times New Roman"/>
          <w:color w:val="1F2937"/>
          <w:lang w:eastAsia="zh-TW"/>
        </w:rPr>
        <w:t>Skitka</w:t>
      </w:r>
      <w:proofErr w:type="spellEnd"/>
      <w:r>
        <w:rPr>
          <w:rFonts w:ascii="Times New Roman" w:eastAsia="Times New Roman"/>
          <w:color w:val="1F2937"/>
          <w:spacing w:val="27"/>
          <w:lang w:eastAsia="zh-TW"/>
        </w:rPr>
        <w:t xml:space="preserve"> </w:t>
      </w:r>
      <w:r>
        <w:rPr>
          <w:rFonts w:ascii="Times New Roman" w:eastAsia="Times New Roman"/>
          <w:color w:val="1F2937"/>
          <w:spacing w:val="-1"/>
          <w:lang w:eastAsia="zh-TW"/>
        </w:rPr>
        <w:t>e</w:t>
      </w:r>
      <w:r>
        <w:rPr>
          <w:rFonts w:ascii="Times New Roman" w:eastAsia="Times New Roman"/>
          <w:color w:val="1F2937"/>
          <w:lang w:eastAsia="zh-TW"/>
        </w:rPr>
        <w:t>t</w:t>
      </w:r>
      <w:r>
        <w:rPr>
          <w:rFonts w:ascii="Times New Roman" w:eastAsia="Times New Roman"/>
          <w:color w:val="1F2937"/>
          <w:spacing w:val="29"/>
          <w:lang w:eastAsia="zh-TW"/>
        </w:rPr>
        <w:t xml:space="preserve"> </w:t>
      </w:r>
      <w:r>
        <w:rPr>
          <w:rFonts w:ascii="Times New Roman" w:eastAsia="Times New Roman"/>
          <w:color w:val="1F2937"/>
          <w:spacing w:val="-1"/>
          <w:lang w:eastAsia="zh-TW"/>
        </w:rPr>
        <w:t>a</w:t>
      </w:r>
      <w:r>
        <w:rPr>
          <w:rFonts w:ascii="Times New Roman" w:eastAsia="Times New Roman"/>
          <w:color w:val="1F2937"/>
          <w:lang w:eastAsia="zh-TW"/>
        </w:rPr>
        <w:t>l.,</w:t>
      </w:r>
      <w:r>
        <w:rPr>
          <w:rFonts w:ascii="Times New Roman" w:eastAsia="Times New Roman"/>
          <w:color w:val="1F2937"/>
          <w:spacing w:val="28"/>
          <w:lang w:eastAsia="zh-TW"/>
        </w:rPr>
        <w:t xml:space="preserve"> </w:t>
      </w:r>
      <w:r>
        <w:rPr>
          <w:rFonts w:ascii="Times New Roman" w:eastAsia="Times New Roman"/>
          <w:color w:val="1F2937"/>
          <w:lang w:eastAsia="zh-TW"/>
        </w:rPr>
        <w:t>1999</w:t>
      </w:r>
      <w:proofErr w:type="gramStart"/>
      <w:r>
        <w:rPr>
          <w:color w:val="1F2937"/>
          <w:lang w:eastAsia="zh-TW"/>
        </w:rPr>
        <w:t>）</w:t>
      </w:r>
      <w:proofErr w:type="gramEnd"/>
      <w:r>
        <w:rPr>
          <w:color w:val="1F2937"/>
          <w:lang w:eastAsia="zh-TW"/>
        </w:rPr>
        <w:t xml:space="preserve">。就臺灣行政法而言，《行政程序法》第  </w:t>
      </w:r>
      <w:r>
        <w:rPr>
          <w:rFonts w:ascii="Times New Roman" w:eastAsia="Times New Roman"/>
          <w:color w:val="1F2937"/>
          <w:lang w:eastAsia="zh-TW"/>
        </w:rPr>
        <w:t>5</w:t>
      </w:r>
      <w:r>
        <w:rPr>
          <w:rFonts w:ascii="Times New Roman" w:eastAsia="Times New Roman"/>
          <w:color w:val="1F2937"/>
          <w:spacing w:val="-11"/>
          <w:lang w:eastAsia="zh-TW"/>
        </w:rPr>
        <w:t xml:space="preserve">  </w:t>
      </w:r>
      <w:r>
        <w:rPr>
          <w:color w:val="1F2937"/>
          <w:lang w:eastAsia="zh-TW"/>
        </w:rPr>
        <w:t>條要求行政行為內容明確</w:t>
      </w:r>
      <w:r>
        <w:rPr>
          <w:color w:val="1F2937"/>
          <w:spacing w:val="2"/>
          <w:lang w:eastAsia="zh-TW"/>
        </w:rPr>
        <w:t>（</w:t>
      </w:r>
      <w:r>
        <w:rPr>
          <w:color w:val="1F2937"/>
          <w:lang w:eastAsia="zh-TW"/>
        </w:rPr>
        <w:t>法務部，無日期）</w:t>
      </w:r>
      <w:r>
        <w:rPr>
          <w:color w:val="1F2937"/>
          <w:spacing w:val="1"/>
          <w:lang w:eastAsia="zh-TW"/>
        </w:rPr>
        <w:t>；司法院釋字</w:t>
      </w:r>
    </w:p>
    <w:p w:rsidR="002C50A5" w:rsidRDefault="00A447DA">
      <w:pPr>
        <w:pStyle w:val="a3"/>
        <w:spacing w:before="1" w:line="338" w:lineRule="auto"/>
        <w:ind w:left="22" w:right="297" w:firstLine="0"/>
      </w:pPr>
      <w:r>
        <w:rPr>
          <w:color w:val="1F2937"/>
          <w:lang w:eastAsia="zh-TW"/>
        </w:rPr>
        <w:t xml:space="preserve">第 </w:t>
      </w:r>
      <w:r>
        <w:rPr>
          <w:rFonts w:ascii="Times New Roman" w:eastAsia="Times New Roman"/>
          <w:color w:val="1F2937"/>
          <w:lang w:eastAsia="zh-TW"/>
        </w:rPr>
        <w:t xml:space="preserve">443 </w:t>
      </w:r>
      <w:r>
        <w:rPr>
          <w:color w:val="1F2937"/>
          <w:lang w:eastAsia="zh-TW"/>
        </w:rPr>
        <w:t xml:space="preserve">號解釋並指出，限制人民權利或涉及重大公共利益的行政措施，原則上須有法律或法律明確授權。若 </w:t>
      </w:r>
      <w:r>
        <w:rPr>
          <w:rFonts w:ascii="Times New Roman" w:eastAsia="Times New Roman"/>
          <w:color w:val="1F2937"/>
          <w:lang w:eastAsia="zh-TW"/>
        </w:rPr>
        <w:t>AI</w:t>
      </w:r>
      <w:r>
        <w:rPr>
          <w:rFonts w:ascii="Times New Roman" w:eastAsia="Times New Roman"/>
          <w:color w:val="1F2937"/>
          <w:spacing w:val="-15"/>
          <w:lang w:eastAsia="zh-TW"/>
        </w:rPr>
        <w:t xml:space="preserve"> </w:t>
      </w:r>
      <w:r>
        <w:rPr>
          <w:color w:val="1F2937"/>
          <w:lang w:eastAsia="zh-TW"/>
        </w:rPr>
        <w:t>實質形塑資格認定、權利限制或重大資源分配，制度即須確</w:t>
      </w:r>
      <w:r>
        <w:rPr>
          <w:color w:val="1F2937"/>
          <w:spacing w:val="-1"/>
          <w:lang w:eastAsia="zh-TW"/>
        </w:rPr>
        <w:t>認法律授權是否涵蓋該種資料使用、模型作用與裁量配置。</w:t>
      </w:r>
      <w:proofErr w:type="spellStart"/>
      <w:r>
        <w:rPr>
          <w:color w:val="1F2937"/>
          <w:spacing w:val="-1"/>
        </w:rPr>
        <w:t>美國</w:t>
      </w:r>
      <w:proofErr w:type="spellEnd"/>
      <w:r>
        <w:rPr>
          <w:color w:val="1F2937"/>
          <w:spacing w:val="-1"/>
        </w:rPr>
        <w:t xml:space="preserve"> </w:t>
      </w:r>
      <w:r>
        <w:rPr>
          <w:rFonts w:ascii="Times New Roman" w:eastAsia="Times New Roman"/>
          <w:color w:val="1F2937"/>
        </w:rPr>
        <w:t xml:space="preserve">nondelegation </w:t>
      </w:r>
      <w:proofErr w:type="spellStart"/>
      <w:r>
        <w:rPr>
          <w:rFonts w:ascii="Times New Roman" w:eastAsia="Times New Roman"/>
          <w:color w:val="1F2937"/>
        </w:rPr>
        <w:t>doctrine</w:t>
      </w:r>
      <w:r>
        <w:rPr>
          <w:color w:val="1F2937"/>
        </w:rPr>
        <w:t>在本文僅作規範性類比（</w:t>
      </w:r>
      <w:r>
        <w:rPr>
          <w:rFonts w:ascii="Times New Roman" w:eastAsia="Times New Roman"/>
          <w:color w:val="1F2937"/>
        </w:rPr>
        <w:t>Sunstein</w:t>
      </w:r>
      <w:proofErr w:type="spellEnd"/>
      <w:r>
        <w:rPr>
          <w:rFonts w:ascii="Times New Roman" w:eastAsia="Times New Roman"/>
          <w:color w:val="1F2937"/>
        </w:rPr>
        <w:t>, 2000</w:t>
      </w:r>
      <w:r>
        <w:rPr>
          <w:color w:val="1F2937"/>
        </w:rPr>
        <w:t>），</w:t>
      </w:r>
      <w:proofErr w:type="spellStart"/>
      <w:r>
        <w:rPr>
          <w:color w:val="1F2937"/>
        </w:rPr>
        <w:t>不主張可直接移植至臺灣；真正需要檢驗的是，</w:t>
      </w:r>
      <w:r>
        <w:rPr>
          <w:rFonts w:ascii="Times New Roman" w:eastAsia="Times New Roman"/>
          <w:color w:val="1F2937"/>
        </w:rPr>
        <w:t>AI</w:t>
      </w:r>
      <w:proofErr w:type="spellEnd"/>
      <w:r>
        <w:rPr>
          <w:rFonts w:ascii="Times New Roman" w:eastAsia="Times New Roman"/>
          <w:color w:val="1F2937"/>
          <w:spacing w:val="-13"/>
        </w:rPr>
        <w:t xml:space="preserve"> </w:t>
      </w:r>
      <w:proofErr w:type="spellStart"/>
      <w:r>
        <w:rPr>
          <w:color w:val="1F2937"/>
        </w:rPr>
        <w:t>是否使具法律效果的實質裁量移出原有權威鏈，而人類只保留形式簽核</w:t>
      </w:r>
      <w:proofErr w:type="spellEnd"/>
      <w:r>
        <w:rPr>
          <w:color w:val="1F2937"/>
        </w:rPr>
        <w:t>。</w:t>
      </w:r>
    </w:p>
    <w:p w:rsidR="002C50A5" w:rsidRDefault="002C50A5">
      <w:pPr>
        <w:pStyle w:val="a3"/>
        <w:spacing w:line="338" w:lineRule="auto"/>
        <w:sectPr w:rsidR="002C50A5">
          <w:pgSz w:w="11906" w:h="16838"/>
          <w:pgMar w:top="1247" w:right="1417" w:bottom="1247" w:left="1417" w:header="0" w:footer="730" w:gutter="0"/>
          <w:cols w:space="720"/>
        </w:sectPr>
      </w:pPr>
    </w:p>
    <w:p w:rsidR="002C50A5" w:rsidRDefault="00A447DA">
      <w:pPr>
        <w:pStyle w:val="3"/>
        <w:numPr>
          <w:ilvl w:val="0"/>
          <w:numId w:val="4"/>
        </w:numPr>
        <w:tabs>
          <w:tab w:val="left" w:pos="742"/>
        </w:tabs>
        <w:spacing w:before="9"/>
        <w:ind w:left="742" w:hanging="720"/>
      </w:pPr>
      <w:proofErr w:type="spellStart"/>
      <w:r>
        <w:rPr>
          <w:color w:val="1F2937"/>
          <w:spacing w:val="-3"/>
        </w:rPr>
        <w:lastRenderedPageBreak/>
        <w:t>理論診斷</w:t>
      </w:r>
      <w:proofErr w:type="spellEnd"/>
    </w:p>
    <w:p w:rsidR="002C50A5" w:rsidRDefault="00A447DA">
      <w:pPr>
        <w:pStyle w:val="a3"/>
        <w:spacing w:before="97" w:line="338" w:lineRule="auto"/>
        <w:ind w:left="22"/>
        <w:rPr>
          <w:lang w:eastAsia="zh-TW"/>
        </w:rPr>
      </w:pPr>
      <w:r>
        <w:rPr>
          <w:color w:val="1F2937"/>
          <w:spacing w:val="4"/>
          <w:lang w:eastAsia="zh-TW"/>
        </w:rPr>
        <w:t>此情境對既有公共行政理論提出最強的解釋壓力，但仍不能僅憑情境推演宣告典</w:t>
      </w:r>
      <w:r>
        <w:rPr>
          <w:color w:val="1F2937"/>
          <w:spacing w:val="2"/>
          <w:lang w:eastAsia="zh-TW"/>
        </w:rPr>
        <w:t>範已經轉移。只有當不同政策領域的案例反覆顯示二十五治理座標無法追蹤責任、理</w:t>
      </w:r>
      <w:r>
        <w:rPr>
          <w:color w:val="1F2937"/>
          <w:lang w:eastAsia="zh-TW"/>
        </w:rPr>
        <w:t>由與權威，而且既有理論經調適後仍不足，理論</w:t>
      </w:r>
      <w:proofErr w:type="gramStart"/>
      <w:r>
        <w:rPr>
          <w:color w:val="1F2937"/>
          <w:lang w:eastAsia="zh-TW"/>
        </w:rPr>
        <w:t>重構才可能</w:t>
      </w:r>
      <w:proofErr w:type="gramEnd"/>
      <w:r>
        <w:rPr>
          <w:color w:val="1F2937"/>
          <w:lang w:eastAsia="zh-TW"/>
        </w:rPr>
        <w:t>成為合理結論。</w:t>
      </w:r>
    </w:p>
    <w:p w:rsidR="002C50A5" w:rsidRDefault="00A447DA">
      <w:pPr>
        <w:pStyle w:val="a3"/>
        <w:spacing w:before="120" w:line="338" w:lineRule="auto"/>
        <w:ind w:right="297"/>
        <w:rPr>
          <w:lang w:eastAsia="zh-TW"/>
        </w:rPr>
      </w:pPr>
      <w:r>
        <w:rPr>
          <w:color w:val="1F2937"/>
          <w:lang w:eastAsia="zh-TW"/>
        </w:rPr>
        <w:t>三種情境是兩項判</w:t>
      </w:r>
      <w:proofErr w:type="gramStart"/>
      <w:r>
        <w:rPr>
          <w:color w:val="1F2937"/>
          <w:lang w:eastAsia="zh-TW"/>
        </w:rPr>
        <w:t>準</w:t>
      </w:r>
      <w:proofErr w:type="gramEnd"/>
      <w:r>
        <w:rPr>
          <w:color w:val="1F2937"/>
          <w:lang w:eastAsia="zh-TW"/>
        </w:rPr>
        <w:t>共同變化下的理想型位置，不代表完整的組合空間。圖 3 以制度吸收能力由高至低、三項結構效應由低至高，呈現最典型</w:t>
      </w:r>
      <w:proofErr w:type="gramStart"/>
      <w:r>
        <w:rPr>
          <w:color w:val="1F2937"/>
          <w:lang w:eastAsia="zh-TW"/>
        </w:rPr>
        <w:t>的共變方向</w:t>
      </w:r>
      <w:proofErr w:type="gramEnd"/>
      <w:r>
        <w:rPr>
          <w:color w:val="1F2937"/>
          <w:lang w:eastAsia="zh-TW"/>
        </w:rPr>
        <w:t>；它不是時間必然由左向右推進的階段論，也不排除實際案例偏離此一軸線。</w:t>
      </w:r>
    </w:p>
    <w:p w:rsidR="002C50A5" w:rsidRDefault="00A447DA">
      <w:pPr>
        <w:pStyle w:val="a3"/>
        <w:spacing w:before="120"/>
        <w:ind w:left="0" w:right="284" w:firstLine="0"/>
        <w:jc w:val="center"/>
        <w:rPr>
          <w:lang w:eastAsia="zh-TW"/>
        </w:rPr>
      </w:pPr>
      <w:r>
        <w:rPr>
          <w:color w:val="1F2937"/>
          <w:spacing w:val="-1"/>
          <w:lang w:eastAsia="zh-TW"/>
        </w:rPr>
        <w:t>理想型</w:t>
      </w:r>
      <w:proofErr w:type="gramStart"/>
      <w:r>
        <w:rPr>
          <w:color w:val="1F2937"/>
          <w:spacing w:val="-1"/>
          <w:lang w:eastAsia="zh-TW"/>
        </w:rPr>
        <w:t>共變軸</w:t>
      </w:r>
      <w:proofErr w:type="gramEnd"/>
      <w:r>
        <w:rPr>
          <w:color w:val="1F2937"/>
          <w:spacing w:val="-1"/>
          <w:lang w:eastAsia="zh-TW"/>
        </w:rPr>
        <w:t>：制度吸收能力由高至低</w:t>
      </w:r>
    </w:p>
    <w:p w:rsidR="002C50A5" w:rsidRDefault="002C50A5">
      <w:pPr>
        <w:pStyle w:val="a3"/>
        <w:spacing w:before="16"/>
        <w:ind w:left="0" w:right="0" w:firstLine="0"/>
        <w:jc w:val="left"/>
        <w:rPr>
          <w:sz w:val="13"/>
          <w:lang w:eastAsia="zh-TW"/>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1"/>
        <w:gridCol w:w="2921"/>
        <w:gridCol w:w="2919"/>
      </w:tblGrid>
      <w:tr w:rsidR="002C50A5">
        <w:trPr>
          <w:trHeight w:val="1206"/>
        </w:trPr>
        <w:tc>
          <w:tcPr>
            <w:tcW w:w="2921" w:type="dxa"/>
            <w:shd w:val="clear" w:color="auto" w:fill="538235"/>
          </w:tcPr>
          <w:p w:rsidR="002C50A5" w:rsidRDefault="00A447DA">
            <w:pPr>
              <w:pStyle w:val="TableParagraph"/>
              <w:spacing w:before="82" w:line="247" w:lineRule="auto"/>
              <w:ind w:left="470" w:right="429" w:firstLine="388"/>
              <w:rPr>
                <w:b/>
                <w:sz w:val="18"/>
                <w:lang w:eastAsia="zh-TW"/>
              </w:rPr>
            </w:pPr>
            <w:r>
              <w:rPr>
                <w:b/>
                <w:color w:val="FFFFFF"/>
                <w:spacing w:val="-2"/>
                <w:sz w:val="18"/>
                <w:lang w:eastAsia="zh-TW"/>
              </w:rPr>
              <w:t>制度吸收型（樂觀）</w:t>
            </w:r>
            <w:r>
              <w:rPr>
                <w:b/>
                <w:color w:val="FFFFFF"/>
                <w:spacing w:val="-1"/>
                <w:sz w:val="18"/>
                <w:lang w:eastAsia="zh-TW"/>
              </w:rPr>
              <w:t>制度調適型人機協同政府</w:t>
            </w:r>
          </w:p>
          <w:p w:rsidR="002C50A5" w:rsidRDefault="00A447DA">
            <w:pPr>
              <w:pStyle w:val="TableParagraph"/>
              <w:spacing w:before="2"/>
              <w:ind w:left="830"/>
              <w:rPr>
                <w:b/>
                <w:sz w:val="18"/>
              </w:rPr>
            </w:pPr>
            <w:proofErr w:type="spellStart"/>
            <w:r>
              <w:rPr>
                <w:b/>
                <w:color w:val="FFFFFF"/>
                <w:spacing w:val="-2"/>
                <w:sz w:val="18"/>
              </w:rPr>
              <w:t>低強度／高吸收</w:t>
            </w:r>
            <w:proofErr w:type="spellEnd"/>
          </w:p>
        </w:tc>
        <w:tc>
          <w:tcPr>
            <w:tcW w:w="2921" w:type="dxa"/>
            <w:shd w:val="clear" w:color="auto" w:fill="BE7700"/>
          </w:tcPr>
          <w:p w:rsidR="002C50A5" w:rsidRDefault="00A447DA">
            <w:pPr>
              <w:pStyle w:val="TableParagraph"/>
              <w:spacing w:before="82" w:line="247" w:lineRule="auto"/>
              <w:ind w:left="918" w:right="430" w:hanging="60"/>
              <w:rPr>
                <w:b/>
                <w:sz w:val="18"/>
                <w:lang w:eastAsia="zh-TW"/>
              </w:rPr>
            </w:pPr>
            <w:r>
              <w:rPr>
                <w:b/>
                <w:color w:val="FFFFFF"/>
                <w:spacing w:val="-2"/>
                <w:sz w:val="18"/>
                <w:lang w:eastAsia="zh-TW"/>
              </w:rPr>
              <w:t>調適混合型（務實）混合治理政府</w:t>
            </w:r>
          </w:p>
          <w:p w:rsidR="002C50A5" w:rsidRDefault="00A447DA">
            <w:pPr>
              <w:pStyle w:val="TableParagraph"/>
              <w:spacing w:before="2"/>
              <w:ind w:left="738"/>
              <w:rPr>
                <w:b/>
                <w:sz w:val="18"/>
              </w:rPr>
            </w:pPr>
            <w:proofErr w:type="spellStart"/>
            <w:r>
              <w:rPr>
                <w:b/>
                <w:color w:val="FFFFFF"/>
                <w:spacing w:val="-2"/>
                <w:sz w:val="18"/>
              </w:rPr>
              <w:t>中強度／部分吸收</w:t>
            </w:r>
            <w:proofErr w:type="spellEnd"/>
          </w:p>
        </w:tc>
        <w:tc>
          <w:tcPr>
            <w:tcW w:w="2919" w:type="dxa"/>
            <w:shd w:val="clear" w:color="auto" w:fill="C00000"/>
          </w:tcPr>
          <w:p w:rsidR="002C50A5" w:rsidRDefault="00A447DA">
            <w:pPr>
              <w:pStyle w:val="TableParagraph"/>
              <w:spacing w:before="82"/>
              <w:ind w:left="858"/>
              <w:rPr>
                <w:b/>
                <w:sz w:val="18"/>
                <w:lang w:eastAsia="zh-TW"/>
              </w:rPr>
            </w:pPr>
            <w:r>
              <w:rPr>
                <w:b/>
                <w:color w:val="FFFFFF"/>
                <w:sz w:val="18"/>
                <w:lang w:eastAsia="zh-TW"/>
              </w:rPr>
              <w:t>權威位移型（悲觀</w:t>
            </w:r>
            <w:r>
              <w:rPr>
                <w:b/>
                <w:color w:val="FFFFFF"/>
                <w:spacing w:val="-10"/>
                <w:sz w:val="18"/>
                <w:lang w:eastAsia="zh-TW"/>
              </w:rPr>
              <w:t>）</w:t>
            </w:r>
          </w:p>
          <w:p w:rsidR="002C50A5" w:rsidRDefault="00A447DA">
            <w:pPr>
              <w:pStyle w:val="TableParagraph"/>
              <w:spacing w:before="9"/>
              <w:ind w:left="801"/>
              <w:rPr>
                <w:b/>
                <w:sz w:val="18"/>
                <w:lang w:eastAsia="zh-TW"/>
              </w:rPr>
            </w:pPr>
            <w:r>
              <w:rPr>
                <w:rFonts w:ascii="Times New Roman" w:eastAsia="Times New Roman"/>
                <w:b/>
                <w:color w:val="FFFFFF"/>
                <w:sz w:val="18"/>
                <w:lang w:eastAsia="zh-TW"/>
              </w:rPr>
              <w:t>AI</w:t>
            </w:r>
            <w:r>
              <w:rPr>
                <w:rFonts w:ascii="Times New Roman" w:eastAsia="Times New Roman"/>
                <w:b/>
                <w:color w:val="FFFFFF"/>
                <w:spacing w:val="-9"/>
                <w:sz w:val="18"/>
                <w:lang w:eastAsia="zh-TW"/>
              </w:rPr>
              <w:t xml:space="preserve"> </w:t>
            </w:r>
            <w:r>
              <w:rPr>
                <w:b/>
                <w:color w:val="FFFFFF"/>
                <w:spacing w:val="-2"/>
                <w:sz w:val="18"/>
                <w:lang w:eastAsia="zh-TW"/>
              </w:rPr>
              <w:t>權威位移治理</w:t>
            </w:r>
          </w:p>
          <w:p w:rsidR="002C50A5" w:rsidRDefault="00A447DA">
            <w:pPr>
              <w:pStyle w:val="TableParagraph"/>
              <w:spacing w:before="13"/>
              <w:ind w:left="558"/>
              <w:rPr>
                <w:b/>
                <w:sz w:val="18"/>
                <w:lang w:eastAsia="zh-TW"/>
              </w:rPr>
            </w:pPr>
            <w:r>
              <w:rPr>
                <w:b/>
                <w:color w:val="FFFFFF"/>
                <w:spacing w:val="-1"/>
                <w:sz w:val="18"/>
                <w:lang w:eastAsia="zh-TW"/>
              </w:rPr>
              <w:t>高強度耦合／吸收失靈</w:t>
            </w:r>
          </w:p>
        </w:tc>
      </w:tr>
    </w:tbl>
    <w:p w:rsidR="002C50A5" w:rsidRDefault="00A447DA">
      <w:pPr>
        <w:pStyle w:val="a3"/>
        <w:tabs>
          <w:tab w:val="left" w:pos="4079"/>
          <w:tab w:val="left" w:pos="4730"/>
        </w:tabs>
        <w:spacing w:before="48"/>
        <w:ind w:left="0" w:right="282" w:firstLine="0"/>
        <w:jc w:val="center"/>
        <w:rPr>
          <w:lang w:eastAsia="zh-TW"/>
        </w:rPr>
      </w:pPr>
      <w:r>
        <w:rPr>
          <w:color w:val="1F2937"/>
          <w:lang w:eastAsia="zh-TW"/>
        </w:rPr>
        <w:t>三項結構效應由低強度至高強度耦合</w:t>
      </w:r>
      <w:r>
        <w:rPr>
          <w:color w:val="1F2937"/>
          <w:lang w:eastAsia="zh-TW"/>
        </w:rPr>
        <w:tab/>
        <w:t>⋯⋯</w:t>
      </w:r>
      <w:r>
        <w:rPr>
          <w:color w:val="1F2937"/>
          <w:lang w:eastAsia="zh-TW"/>
        </w:rPr>
        <w:tab/>
        <w:t>實際組合可能偏離此軸線</w:t>
      </w:r>
    </w:p>
    <w:p w:rsidR="002C50A5" w:rsidRDefault="00A447DA">
      <w:pPr>
        <w:tabs>
          <w:tab w:val="left" w:pos="578"/>
        </w:tabs>
        <w:spacing w:before="285"/>
        <w:ind w:right="283"/>
        <w:jc w:val="center"/>
        <w:rPr>
          <w:b/>
          <w:sz w:val="21"/>
          <w:lang w:eastAsia="zh-TW"/>
        </w:rPr>
      </w:pPr>
      <w:r>
        <w:rPr>
          <w:b/>
          <w:color w:val="1F2937"/>
          <w:sz w:val="21"/>
          <w:lang w:eastAsia="zh-TW"/>
        </w:rPr>
        <w:t xml:space="preserve">圖 </w:t>
      </w:r>
      <w:r>
        <w:rPr>
          <w:rFonts w:ascii="Times New Roman" w:eastAsia="Times New Roman"/>
          <w:b/>
          <w:color w:val="1F2937"/>
          <w:spacing w:val="-10"/>
          <w:sz w:val="21"/>
          <w:lang w:eastAsia="zh-TW"/>
        </w:rPr>
        <w:t>3</w:t>
      </w:r>
      <w:r>
        <w:rPr>
          <w:rFonts w:ascii="Times New Roman" w:eastAsia="Times New Roman"/>
          <w:b/>
          <w:color w:val="1F2937"/>
          <w:sz w:val="21"/>
          <w:lang w:eastAsia="zh-TW"/>
        </w:rPr>
        <w:tab/>
      </w:r>
      <w:r>
        <w:rPr>
          <w:rFonts w:ascii="Times New Roman" w:eastAsia="Times New Roman"/>
          <w:b/>
          <w:color w:val="1F2937"/>
          <w:spacing w:val="-2"/>
          <w:sz w:val="21"/>
          <w:lang w:eastAsia="zh-TW"/>
        </w:rPr>
        <w:t>AI</w:t>
      </w:r>
      <w:r>
        <w:rPr>
          <w:rFonts w:ascii="Times New Roman" w:eastAsia="Times New Roman"/>
          <w:b/>
          <w:color w:val="1F2937"/>
          <w:sz w:val="21"/>
          <w:lang w:eastAsia="zh-TW"/>
        </w:rPr>
        <w:t xml:space="preserve"> </w:t>
      </w:r>
      <w:r>
        <w:rPr>
          <w:b/>
          <w:color w:val="1F2937"/>
          <w:spacing w:val="-2"/>
          <w:sz w:val="21"/>
          <w:lang w:eastAsia="zh-TW"/>
        </w:rPr>
        <w:t>治理下未來政府的理想型制度吸收光</w:t>
      </w:r>
      <w:r>
        <w:rPr>
          <w:b/>
          <w:color w:val="1F2937"/>
          <w:spacing w:val="-10"/>
          <w:sz w:val="21"/>
          <w:lang w:eastAsia="zh-TW"/>
        </w:rPr>
        <w:t>譜</w:t>
      </w:r>
    </w:p>
    <w:p w:rsidR="002C50A5" w:rsidRDefault="00A447DA">
      <w:pPr>
        <w:spacing w:before="16"/>
        <w:ind w:right="284"/>
        <w:jc w:val="center"/>
        <w:rPr>
          <w:sz w:val="18"/>
          <w:lang w:eastAsia="zh-TW"/>
        </w:rPr>
      </w:pPr>
      <w:r>
        <w:rPr>
          <w:color w:val="585858"/>
          <w:spacing w:val="-1"/>
          <w:sz w:val="18"/>
          <w:lang w:eastAsia="zh-TW"/>
        </w:rPr>
        <w:t xml:space="preserve">資料來源：作者建構；三分命名參考 </w:t>
      </w:r>
      <w:r>
        <w:rPr>
          <w:rFonts w:ascii="Times New Roman" w:eastAsia="Times New Roman"/>
          <w:color w:val="585858"/>
          <w:sz w:val="18"/>
          <w:lang w:eastAsia="zh-TW"/>
        </w:rPr>
        <w:t>Webb</w:t>
      </w:r>
      <w:r>
        <w:rPr>
          <w:color w:val="585858"/>
          <w:sz w:val="18"/>
          <w:lang w:eastAsia="zh-TW"/>
        </w:rPr>
        <w:t>（</w:t>
      </w:r>
      <w:r>
        <w:rPr>
          <w:rFonts w:ascii="Times New Roman" w:eastAsia="Times New Roman"/>
          <w:color w:val="585858"/>
          <w:sz w:val="18"/>
          <w:lang w:eastAsia="zh-TW"/>
        </w:rPr>
        <w:t>2019</w:t>
      </w:r>
      <w:r>
        <w:rPr>
          <w:color w:val="585858"/>
          <w:sz w:val="18"/>
          <w:lang w:eastAsia="zh-TW"/>
        </w:rPr>
        <w:t>）</w:t>
      </w:r>
      <w:r>
        <w:rPr>
          <w:color w:val="585858"/>
          <w:spacing w:val="-1"/>
          <w:sz w:val="18"/>
          <w:lang w:eastAsia="zh-TW"/>
        </w:rPr>
        <w:t>後調整。圖</w:t>
      </w:r>
      <w:proofErr w:type="gramStart"/>
      <w:r>
        <w:rPr>
          <w:color w:val="585858"/>
          <w:spacing w:val="-1"/>
          <w:sz w:val="18"/>
          <w:lang w:eastAsia="zh-TW"/>
        </w:rPr>
        <w:t>中虛點文字</w:t>
      </w:r>
      <w:proofErr w:type="gramEnd"/>
      <w:r>
        <w:rPr>
          <w:color w:val="585858"/>
          <w:spacing w:val="-1"/>
          <w:sz w:val="18"/>
          <w:lang w:eastAsia="zh-TW"/>
        </w:rPr>
        <w:t>表示理想型軸線</w:t>
      </w:r>
      <w:proofErr w:type="gramStart"/>
      <w:r>
        <w:rPr>
          <w:color w:val="585858"/>
          <w:spacing w:val="-1"/>
          <w:sz w:val="18"/>
          <w:lang w:eastAsia="zh-TW"/>
        </w:rPr>
        <w:t>並未窮舉所</w:t>
      </w:r>
      <w:proofErr w:type="gramEnd"/>
      <w:r>
        <w:rPr>
          <w:color w:val="585858"/>
          <w:spacing w:val="-1"/>
          <w:sz w:val="18"/>
          <w:lang w:eastAsia="zh-TW"/>
        </w:rPr>
        <w:t>有組合。</w:t>
      </w:r>
    </w:p>
    <w:p w:rsidR="002C50A5" w:rsidRDefault="00A447DA">
      <w:pPr>
        <w:pStyle w:val="a3"/>
        <w:spacing w:before="139"/>
        <w:ind w:left="443" w:right="0" w:firstLine="0"/>
        <w:jc w:val="left"/>
        <w:rPr>
          <w:rFonts w:ascii="Times New Roman" w:eastAsia="Times New Roman"/>
          <w:lang w:eastAsia="zh-TW"/>
        </w:rPr>
      </w:pPr>
      <w:r>
        <w:rPr>
          <w:color w:val="1F2937"/>
          <w:spacing w:val="5"/>
          <w:lang w:eastAsia="zh-TW"/>
        </w:rPr>
        <w:t>光譜只呈現兩組判</w:t>
      </w:r>
      <w:proofErr w:type="gramStart"/>
      <w:r>
        <w:rPr>
          <w:color w:val="1F2937"/>
          <w:spacing w:val="5"/>
          <w:lang w:eastAsia="zh-TW"/>
        </w:rPr>
        <w:t>準</w:t>
      </w:r>
      <w:proofErr w:type="gramEnd"/>
      <w:r>
        <w:rPr>
          <w:color w:val="1F2937"/>
          <w:spacing w:val="5"/>
          <w:lang w:eastAsia="zh-TW"/>
        </w:rPr>
        <w:t>最典型</w:t>
      </w:r>
      <w:proofErr w:type="gramStart"/>
      <w:r>
        <w:rPr>
          <w:color w:val="1F2937"/>
          <w:spacing w:val="5"/>
          <w:lang w:eastAsia="zh-TW"/>
        </w:rPr>
        <w:t>的共變方</w:t>
      </w:r>
      <w:proofErr w:type="gramEnd"/>
      <w:r>
        <w:rPr>
          <w:color w:val="1F2937"/>
          <w:spacing w:val="5"/>
          <w:lang w:eastAsia="zh-TW"/>
        </w:rPr>
        <w:t xml:space="preserve">向。為避免將相關性誤寫成必然關係，表  </w:t>
      </w:r>
      <w:r>
        <w:rPr>
          <w:rFonts w:ascii="Times New Roman" w:eastAsia="Times New Roman"/>
          <w:color w:val="1F2937"/>
          <w:spacing w:val="-10"/>
          <w:lang w:eastAsia="zh-TW"/>
        </w:rPr>
        <w:t>3</w:t>
      </w:r>
    </w:p>
    <w:p w:rsidR="002C50A5" w:rsidRDefault="00A447DA">
      <w:pPr>
        <w:pStyle w:val="a3"/>
        <w:spacing w:before="180"/>
        <w:ind w:right="0" w:firstLine="0"/>
        <w:jc w:val="left"/>
        <w:rPr>
          <w:lang w:eastAsia="zh-TW"/>
        </w:rPr>
      </w:pPr>
      <w:r>
        <w:rPr>
          <w:color w:val="1F2937"/>
          <w:spacing w:val="-1"/>
          <w:lang w:eastAsia="zh-TW"/>
        </w:rPr>
        <w:t>列出兩種偏離理想型軸線的非典型組合。</w:t>
      </w:r>
    </w:p>
    <w:p w:rsidR="002C50A5" w:rsidRDefault="00A447DA">
      <w:pPr>
        <w:tabs>
          <w:tab w:val="left" w:pos="578"/>
        </w:tabs>
        <w:spacing w:before="304" w:after="28"/>
        <w:ind w:right="279"/>
        <w:jc w:val="center"/>
        <w:rPr>
          <w:b/>
          <w:sz w:val="21"/>
          <w:lang w:eastAsia="zh-TW"/>
        </w:rPr>
      </w:pPr>
      <w:r>
        <w:rPr>
          <w:b/>
          <w:color w:val="1F2937"/>
          <w:sz w:val="21"/>
          <w:lang w:eastAsia="zh-TW"/>
        </w:rPr>
        <w:t xml:space="preserve">表 </w:t>
      </w:r>
      <w:r>
        <w:rPr>
          <w:rFonts w:ascii="Times New Roman" w:eastAsia="Times New Roman"/>
          <w:b/>
          <w:color w:val="1F2937"/>
          <w:spacing w:val="-10"/>
          <w:sz w:val="21"/>
          <w:lang w:eastAsia="zh-TW"/>
        </w:rPr>
        <w:t>3</w:t>
      </w:r>
      <w:r>
        <w:rPr>
          <w:rFonts w:ascii="Times New Roman" w:eastAsia="Times New Roman"/>
          <w:b/>
          <w:color w:val="1F2937"/>
          <w:sz w:val="21"/>
          <w:lang w:eastAsia="zh-TW"/>
        </w:rPr>
        <w:tab/>
      </w:r>
      <w:proofErr w:type="gramStart"/>
      <w:r>
        <w:rPr>
          <w:b/>
          <w:color w:val="1F2937"/>
          <w:spacing w:val="-2"/>
          <w:sz w:val="21"/>
          <w:lang w:eastAsia="zh-TW"/>
        </w:rPr>
        <w:t>典型共變模式</w:t>
      </w:r>
      <w:proofErr w:type="gramEnd"/>
      <w:r>
        <w:rPr>
          <w:b/>
          <w:color w:val="1F2937"/>
          <w:spacing w:val="-2"/>
          <w:sz w:val="21"/>
          <w:lang w:eastAsia="zh-TW"/>
        </w:rPr>
        <w:t>與非典型組</w:t>
      </w:r>
      <w:r>
        <w:rPr>
          <w:b/>
          <w:color w:val="1F2937"/>
          <w:spacing w:val="-10"/>
          <w:sz w:val="21"/>
          <w:lang w:eastAsia="zh-TW"/>
        </w:rPr>
        <w:t>合</w:t>
      </w: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1756"/>
        <w:gridCol w:w="2042"/>
        <w:gridCol w:w="3372"/>
      </w:tblGrid>
      <w:tr w:rsidR="002C50A5">
        <w:trPr>
          <w:trHeight w:val="825"/>
        </w:trPr>
        <w:tc>
          <w:tcPr>
            <w:tcW w:w="1586" w:type="dxa"/>
            <w:shd w:val="clear" w:color="auto" w:fill="1F4E78"/>
          </w:tcPr>
          <w:p w:rsidR="002C50A5" w:rsidRDefault="00A447DA">
            <w:pPr>
              <w:pStyle w:val="TableParagraph"/>
              <w:spacing w:before="81" w:line="249" w:lineRule="auto"/>
              <w:ind w:left="707" w:right="143" w:hanging="130"/>
              <w:rPr>
                <w:b/>
                <w:sz w:val="17"/>
              </w:rPr>
            </w:pPr>
            <w:proofErr w:type="spellStart"/>
            <w:r>
              <w:rPr>
                <w:b/>
                <w:color w:val="FFFFFF"/>
                <w:spacing w:val="-2"/>
                <w:sz w:val="17"/>
              </w:rPr>
              <w:t>結構結構效應強度</w:t>
            </w:r>
            <w:proofErr w:type="spellEnd"/>
          </w:p>
        </w:tc>
        <w:tc>
          <w:tcPr>
            <w:tcW w:w="1756" w:type="dxa"/>
            <w:shd w:val="clear" w:color="auto" w:fill="1F4E78"/>
          </w:tcPr>
          <w:p w:rsidR="002C50A5" w:rsidRDefault="00A447DA">
            <w:pPr>
              <w:pStyle w:val="TableParagraph"/>
              <w:spacing w:before="244"/>
              <w:ind w:left="578"/>
              <w:rPr>
                <w:b/>
                <w:sz w:val="17"/>
              </w:rPr>
            </w:pPr>
            <w:proofErr w:type="spellStart"/>
            <w:r>
              <w:rPr>
                <w:b/>
                <w:color w:val="FFFFFF"/>
                <w:spacing w:val="-2"/>
                <w:sz w:val="17"/>
              </w:rPr>
              <w:t>制度吸收能力</w:t>
            </w:r>
            <w:proofErr w:type="spellEnd"/>
          </w:p>
        </w:tc>
        <w:tc>
          <w:tcPr>
            <w:tcW w:w="2042" w:type="dxa"/>
            <w:shd w:val="clear" w:color="auto" w:fill="1F4E78"/>
          </w:tcPr>
          <w:p w:rsidR="002C50A5" w:rsidRDefault="00A447DA">
            <w:pPr>
              <w:pStyle w:val="TableParagraph"/>
              <w:spacing w:before="244"/>
              <w:ind w:left="891"/>
              <w:rPr>
                <w:b/>
                <w:sz w:val="17"/>
              </w:rPr>
            </w:pPr>
            <w:proofErr w:type="spellStart"/>
            <w:r>
              <w:rPr>
                <w:b/>
                <w:color w:val="FFFFFF"/>
                <w:spacing w:val="-3"/>
                <w:sz w:val="17"/>
              </w:rPr>
              <w:t>理論位置</w:t>
            </w:r>
            <w:proofErr w:type="spellEnd"/>
          </w:p>
        </w:tc>
        <w:tc>
          <w:tcPr>
            <w:tcW w:w="3372" w:type="dxa"/>
            <w:shd w:val="clear" w:color="auto" w:fill="1F4E78"/>
          </w:tcPr>
          <w:p w:rsidR="002C50A5" w:rsidRDefault="00A447DA">
            <w:pPr>
              <w:pStyle w:val="TableParagraph"/>
              <w:spacing w:before="244"/>
              <w:ind w:right="1121"/>
              <w:jc w:val="right"/>
              <w:rPr>
                <w:b/>
                <w:sz w:val="17"/>
              </w:rPr>
            </w:pPr>
            <w:proofErr w:type="spellStart"/>
            <w:r>
              <w:rPr>
                <w:b/>
                <w:color w:val="FFFFFF"/>
                <w:spacing w:val="-3"/>
                <w:sz w:val="17"/>
              </w:rPr>
              <w:t>本文處理</w:t>
            </w:r>
            <w:proofErr w:type="spellEnd"/>
          </w:p>
        </w:tc>
      </w:tr>
      <w:tr w:rsidR="002C50A5">
        <w:trPr>
          <w:trHeight w:val="484"/>
        </w:trPr>
        <w:tc>
          <w:tcPr>
            <w:tcW w:w="1586" w:type="dxa"/>
            <w:shd w:val="clear" w:color="auto" w:fill="E1EFD9"/>
          </w:tcPr>
          <w:p w:rsidR="002C50A5" w:rsidRDefault="00A447DA">
            <w:pPr>
              <w:pStyle w:val="TableParagraph"/>
              <w:spacing w:before="82"/>
              <w:ind w:left="530"/>
              <w:rPr>
                <w:sz w:val="16"/>
              </w:rPr>
            </w:pPr>
            <w:r>
              <w:rPr>
                <w:color w:val="1F2937"/>
                <w:spacing w:val="-10"/>
                <w:sz w:val="16"/>
              </w:rPr>
              <w:t>低</w:t>
            </w:r>
          </w:p>
        </w:tc>
        <w:tc>
          <w:tcPr>
            <w:tcW w:w="1756" w:type="dxa"/>
            <w:shd w:val="clear" w:color="auto" w:fill="E1EFD9"/>
          </w:tcPr>
          <w:p w:rsidR="002C50A5" w:rsidRDefault="00A447DA">
            <w:pPr>
              <w:pStyle w:val="TableParagraph"/>
              <w:spacing w:before="82"/>
              <w:ind w:left="530"/>
              <w:rPr>
                <w:sz w:val="16"/>
              </w:rPr>
            </w:pPr>
            <w:r>
              <w:rPr>
                <w:color w:val="1F2937"/>
                <w:spacing w:val="-10"/>
                <w:sz w:val="16"/>
              </w:rPr>
              <w:t>高</w:t>
            </w:r>
          </w:p>
        </w:tc>
        <w:tc>
          <w:tcPr>
            <w:tcW w:w="2042" w:type="dxa"/>
            <w:shd w:val="clear" w:color="auto" w:fill="E1EFD9"/>
          </w:tcPr>
          <w:p w:rsidR="002C50A5" w:rsidRDefault="00A447DA">
            <w:pPr>
              <w:pStyle w:val="TableParagraph"/>
              <w:spacing w:before="82"/>
              <w:ind w:left="531"/>
              <w:rPr>
                <w:sz w:val="16"/>
              </w:rPr>
            </w:pPr>
            <w:proofErr w:type="spellStart"/>
            <w:r>
              <w:rPr>
                <w:color w:val="1F2937"/>
                <w:spacing w:val="-3"/>
                <w:sz w:val="16"/>
              </w:rPr>
              <w:t>典型共變</w:t>
            </w:r>
            <w:proofErr w:type="spellEnd"/>
          </w:p>
        </w:tc>
        <w:tc>
          <w:tcPr>
            <w:tcW w:w="3372" w:type="dxa"/>
            <w:shd w:val="clear" w:color="auto" w:fill="E1EFD9"/>
          </w:tcPr>
          <w:p w:rsidR="002C50A5" w:rsidRDefault="00A447DA">
            <w:pPr>
              <w:pStyle w:val="TableParagraph"/>
              <w:spacing w:before="82"/>
              <w:ind w:right="1070"/>
              <w:jc w:val="right"/>
              <w:rPr>
                <w:sz w:val="16"/>
                <w:lang w:eastAsia="zh-TW"/>
              </w:rPr>
            </w:pPr>
            <w:r>
              <w:rPr>
                <w:color w:val="1F2937"/>
                <w:spacing w:val="-2"/>
                <w:sz w:val="16"/>
                <w:lang w:eastAsia="zh-TW"/>
              </w:rPr>
              <w:t>制度吸收型（樂觀情境</w:t>
            </w:r>
            <w:r>
              <w:rPr>
                <w:color w:val="1F2937"/>
                <w:spacing w:val="-10"/>
                <w:sz w:val="16"/>
                <w:lang w:eastAsia="zh-TW"/>
              </w:rPr>
              <w:t>）</w:t>
            </w:r>
          </w:p>
        </w:tc>
      </w:tr>
      <w:tr w:rsidR="002C50A5">
        <w:trPr>
          <w:trHeight w:val="484"/>
        </w:trPr>
        <w:tc>
          <w:tcPr>
            <w:tcW w:w="1586" w:type="dxa"/>
            <w:shd w:val="clear" w:color="auto" w:fill="E1EFD9"/>
          </w:tcPr>
          <w:p w:rsidR="002C50A5" w:rsidRDefault="00A447DA">
            <w:pPr>
              <w:pStyle w:val="TableParagraph"/>
              <w:spacing w:before="82"/>
              <w:ind w:left="530"/>
              <w:rPr>
                <w:sz w:val="16"/>
              </w:rPr>
            </w:pPr>
            <w:r>
              <w:rPr>
                <w:color w:val="1F2937"/>
                <w:spacing w:val="-10"/>
                <w:sz w:val="16"/>
              </w:rPr>
              <w:t>中</w:t>
            </w:r>
          </w:p>
        </w:tc>
        <w:tc>
          <w:tcPr>
            <w:tcW w:w="1756" w:type="dxa"/>
            <w:shd w:val="clear" w:color="auto" w:fill="E1EFD9"/>
          </w:tcPr>
          <w:p w:rsidR="002C50A5" w:rsidRDefault="00A447DA">
            <w:pPr>
              <w:pStyle w:val="TableParagraph"/>
              <w:spacing w:before="82"/>
              <w:ind w:left="530"/>
              <w:rPr>
                <w:sz w:val="16"/>
              </w:rPr>
            </w:pPr>
            <w:proofErr w:type="spellStart"/>
            <w:r>
              <w:rPr>
                <w:color w:val="1F2937"/>
                <w:spacing w:val="-5"/>
                <w:sz w:val="16"/>
              </w:rPr>
              <w:t>部分</w:t>
            </w:r>
            <w:proofErr w:type="spellEnd"/>
          </w:p>
        </w:tc>
        <w:tc>
          <w:tcPr>
            <w:tcW w:w="2042" w:type="dxa"/>
            <w:shd w:val="clear" w:color="auto" w:fill="E1EFD9"/>
          </w:tcPr>
          <w:p w:rsidR="002C50A5" w:rsidRDefault="00A447DA">
            <w:pPr>
              <w:pStyle w:val="TableParagraph"/>
              <w:spacing w:before="82"/>
              <w:ind w:left="531"/>
              <w:rPr>
                <w:sz w:val="16"/>
              </w:rPr>
            </w:pPr>
            <w:proofErr w:type="spellStart"/>
            <w:r>
              <w:rPr>
                <w:color w:val="1F2937"/>
                <w:spacing w:val="-3"/>
                <w:sz w:val="16"/>
              </w:rPr>
              <w:t>典型共變</w:t>
            </w:r>
            <w:proofErr w:type="spellEnd"/>
          </w:p>
        </w:tc>
        <w:tc>
          <w:tcPr>
            <w:tcW w:w="3372" w:type="dxa"/>
            <w:shd w:val="clear" w:color="auto" w:fill="E1EFD9"/>
          </w:tcPr>
          <w:p w:rsidR="002C50A5" w:rsidRDefault="00A447DA">
            <w:pPr>
              <w:pStyle w:val="TableParagraph"/>
              <w:spacing w:before="82"/>
              <w:ind w:right="1070"/>
              <w:jc w:val="right"/>
              <w:rPr>
                <w:sz w:val="16"/>
                <w:lang w:eastAsia="zh-TW"/>
              </w:rPr>
            </w:pPr>
            <w:r>
              <w:rPr>
                <w:color w:val="1F2937"/>
                <w:spacing w:val="-2"/>
                <w:sz w:val="16"/>
                <w:lang w:eastAsia="zh-TW"/>
              </w:rPr>
              <w:t>調適混合型（務實情境）</w:t>
            </w:r>
          </w:p>
        </w:tc>
      </w:tr>
      <w:tr w:rsidR="002C50A5">
        <w:trPr>
          <w:trHeight w:val="484"/>
        </w:trPr>
        <w:tc>
          <w:tcPr>
            <w:tcW w:w="1586" w:type="dxa"/>
            <w:shd w:val="clear" w:color="auto" w:fill="E1EFD9"/>
          </w:tcPr>
          <w:p w:rsidR="002C50A5" w:rsidRDefault="00A447DA">
            <w:pPr>
              <w:pStyle w:val="TableParagraph"/>
              <w:spacing w:before="82"/>
              <w:ind w:left="530"/>
              <w:rPr>
                <w:sz w:val="16"/>
              </w:rPr>
            </w:pPr>
            <w:r>
              <w:rPr>
                <w:color w:val="1F2937"/>
                <w:spacing w:val="-10"/>
                <w:sz w:val="16"/>
              </w:rPr>
              <w:t>高</w:t>
            </w:r>
          </w:p>
        </w:tc>
        <w:tc>
          <w:tcPr>
            <w:tcW w:w="1756" w:type="dxa"/>
            <w:shd w:val="clear" w:color="auto" w:fill="E1EFD9"/>
          </w:tcPr>
          <w:p w:rsidR="002C50A5" w:rsidRDefault="00A447DA">
            <w:pPr>
              <w:pStyle w:val="TableParagraph"/>
              <w:spacing w:before="82"/>
              <w:ind w:left="530"/>
              <w:rPr>
                <w:sz w:val="16"/>
              </w:rPr>
            </w:pPr>
            <w:proofErr w:type="spellStart"/>
            <w:r>
              <w:rPr>
                <w:color w:val="1F2937"/>
                <w:spacing w:val="-5"/>
                <w:sz w:val="16"/>
              </w:rPr>
              <w:t>失靈</w:t>
            </w:r>
            <w:proofErr w:type="spellEnd"/>
          </w:p>
        </w:tc>
        <w:tc>
          <w:tcPr>
            <w:tcW w:w="2042" w:type="dxa"/>
            <w:shd w:val="clear" w:color="auto" w:fill="E1EFD9"/>
          </w:tcPr>
          <w:p w:rsidR="002C50A5" w:rsidRDefault="00A447DA">
            <w:pPr>
              <w:pStyle w:val="TableParagraph"/>
              <w:spacing w:before="82"/>
              <w:ind w:left="531"/>
              <w:rPr>
                <w:sz w:val="16"/>
              </w:rPr>
            </w:pPr>
            <w:proofErr w:type="spellStart"/>
            <w:r>
              <w:rPr>
                <w:color w:val="1F2937"/>
                <w:spacing w:val="-3"/>
                <w:sz w:val="16"/>
              </w:rPr>
              <w:t>典型共變</w:t>
            </w:r>
            <w:proofErr w:type="spellEnd"/>
          </w:p>
        </w:tc>
        <w:tc>
          <w:tcPr>
            <w:tcW w:w="3372" w:type="dxa"/>
            <w:shd w:val="clear" w:color="auto" w:fill="E1EFD9"/>
          </w:tcPr>
          <w:p w:rsidR="002C50A5" w:rsidRDefault="00A447DA">
            <w:pPr>
              <w:pStyle w:val="TableParagraph"/>
              <w:spacing w:before="82"/>
              <w:ind w:right="1070"/>
              <w:jc w:val="right"/>
              <w:rPr>
                <w:sz w:val="16"/>
                <w:lang w:eastAsia="zh-TW"/>
              </w:rPr>
            </w:pPr>
            <w:r>
              <w:rPr>
                <w:color w:val="1F2937"/>
                <w:spacing w:val="-2"/>
                <w:sz w:val="16"/>
                <w:lang w:eastAsia="zh-TW"/>
              </w:rPr>
              <w:t>權威位移型（悲觀情境</w:t>
            </w:r>
            <w:r>
              <w:rPr>
                <w:color w:val="1F2937"/>
                <w:spacing w:val="-10"/>
                <w:sz w:val="16"/>
                <w:lang w:eastAsia="zh-TW"/>
              </w:rPr>
              <w:t>）</w:t>
            </w:r>
          </w:p>
        </w:tc>
      </w:tr>
      <w:tr w:rsidR="002C50A5">
        <w:trPr>
          <w:trHeight w:val="789"/>
        </w:trPr>
        <w:tc>
          <w:tcPr>
            <w:tcW w:w="1586" w:type="dxa"/>
            <w:shd w:val="clear" w:color="auto" w:fill="FFF1CC"/>
          </w:tcPr>
          <w:p w:rsidR="002C50A5" w:rsidRDefault="00A447DA">
            <w:pPr>
              <w:pStyle w:val="TableParagraph"/>
              <w:spacing w:before="233"/>
              <w:ind w:left="530"/>
              <w:rPr>
                <w:sz w:val="16"/>
              </w:rPr>
            </w:pPr>
            <w:r>
              <w:rPr>
                <w:color w:val="1F2937"/>
                <w:spacing w:val="-10"/>
                <w:sz w:val="16"/>
              </w:rPr>
              <w:t>高</w:t>
            </w:r>
          </w:p>
        </w:tc>
        <w:tc>
          <w:tcPr>
            <w:tcW w:w="1756" w:type="dxa"/>
            <w:shd w:val="clear" w:color="auto" w:fill="FFF1CC"/>
          </w:tcPr>
          <w:p w:rsidR="002C50A5" w:rsidRDefault="00A447DA">
            <w:pPr>
              <w:pStyle w:val="TableParagraph"/>
              <w:spacing w:before="233"/>
              <w:ind w:left="530"/>
              <w:rPr>
                <w:sz w:val="16"/>
              </w:rPr>
            </w:pPr>
            <w:r>
              <w:rPr>
                <w:color w:val="1F2937"/>
                <w:spacing w:val="-10"/>
                <w:sz w:val="16"/>
              </w:rPr>
              <w:t>高</w:t>
            </w:r>
          </w:p>
        </w:tc>
        <w:tc>
          <w:tcPr>
            <w:tcW w:w="2042" w:type="dxa"/>
            <w:shd w:val="clear" w:color="auto" w:fill="FFF1CC"/>
          </w:tcPr>
          <w:p w:rsidR="002C50A5" w:rsidRDefault="00A447DA">
            <w:pPr>
              <w:pStyle w:val="TableParagraph"/>
              <w:spacing w:before="233"/>
              <w:ind w:left="531"/>
              <w:rPr>
                <w:sz w:val="16"/>
              </w:rPr>
            </w:pPr>
            <w:proofErr w:type="spellStart"/>
            <w:r>
              <w:rPr>
                <w:color w:val="1F2937"/>
                <w:spacing w:val="-4"/>
                <w:sz w:val="16"/>
              </w:rPr>
              <w:t>非典型組合</w:t>
            </w:r>
            <w:proofErr w:type="spellEnd"/>
          </w:p>
        </w:tc>
        <w:tc>
          <w:tcPr>
            <w:tcW w:w="3372" w:type="dxa"/>
            <w:shd w:val="clear" w:color="auto" w:fill="FFF1CC"/>
          </w:tcPr>
          <w:p w:rsidR="002C50A5" w:rsidRDefault="00A447DA">
            <w:pPr>
              <w:pStyle w:val="TableParagraph"/>
              <w:spacing w:before="82" w:line="249" w:lineRule="auto"/>
              <w:ind w:left="109" w:right="108" w:firstLine="420"/>
              <w:rPr>
                <w:sz w:val="16"/>
                <w:lang w:eastAsia="zh-TW"/>
              </w:rPr>
            </w:pPr>
            <w:r>
              <w:rPr>
                <w:color w:val="1F2937"/>
                <w:spacing w:val="-2"/>
                <w:sz w:val="16"/>
                <w:lang w:eastAsia="zh-TW"/>
              </w:rPr>
              <w:t>制度設計有效</w:t>
            </w:r>
            <w:proofErr w:type="gramStart"/>
            <w:r>
              <w:rPr>
                <w:color w:val="1F2937"/>
                <w:spacing w:val="-2"/>
                <w:sz w:val="16"/>
                <w:lang w:eastAsia="zh-TW"/>
              </w:rPr>
              <w:t>因應跨格影響</w:t>
            </w:r>
            <w:proofErr w:type="gramEnd"/>
            <w:r>
              <w:rPr>
                <w:color w:val="1F2937"/>
                <w:spacing w:val="-2"/>
                <w:sz w:val="16"/>
                <w:lang w:eastAsia="zh-TW"/>
              </w:rPr>
              <w:t>；列為後續案例的檢驗對象。</w:t>
            </w:r>
          </w:p>
        </w:tc>
      </w:tr>
      <w:tr w:rsidR="002C50A5">
        <w:trPr>
          <w:trHeight w:val="789"/>
        </w:trPr>
        <w:tc>
          <w:tcPr>
            <w:tcW w:w="1586" w:type="dxa"/>
            <w:shd w:val="clear" w:color="auto" w:fill="FFF1CC"/>
          </w:tcPr>
          <w:p w:rsidR="002C50A5" w:rsidRDefault="00A447DA">
            <w:pPr>
              <w:pStyle w:val="TableParagraph"/>
              <w:spacing w:before="233"/>
              <w:ind w:left="530"/>
              <w:rPr>
                <w:sz w:val="16"/>
              </w:rPr>
            </w:pPr>
            <w:r>
              <w:rPr>
                <w:color w:val="1F2937"/>
                <w:spacing w:val="-10"/>
                <w:sz w:val="16"/>
              </w:rPr>
              <w:lastRenderedPageBreak/>
              <w:t>低</w:t>
            </w:r>
          </w:p>
        </w:tc>
        <w:tc>
          <w:tcPr>
            <w:tcW w:w="1756" w:type="dxa"/>
            <w:shd w:val="clear" w:color="auto" w:fill="FFF1CC"/>
          </w:tcPr>
          <w:p w:rsidR="002C50A5" w:rsidRDefault="00A447DA">
            <w:pPr>
              <w:pStyle w:val="TableParagraph"/>
              <w:spacing w:before="233"/>
              <w:ind w:left="530"/>
              <w:rPr>
                <w:sz w:val="16"/>
              </w:rPr>
            </w:pPr>
            <w:proofErr w:type="spellStart"/>
            <w:r>
              <w:rPr>
                <w:color w:val="1F2937"/>
                <w:spacing w:val="-5"/>
                <w:sz w:val="16"/>
              </w:rPr>
              <w:t>失靈</w:t>
            </w:r>
            <w:proofErr w:type="spellEnd"/>
          </w:p>
        </w:tc>
        <w:tc>
          <w:tcPr>
            <w:tcW w:w="2042" w:type="dxa"/>
            <w:shd w:val="clear" w:color="auto" w:fill="FFF1CC"/>
          </w:tcPr>
          <w:p w:rsidR="002C50A5" w:rsidRDefault="00A447DA">
            <w:pPr>
              <w:pStyle w:val="TableParagraph"/>
              <w:spacing w:before="233"/>
              <w:ind w:left="531"/>
              <w:rPr>
                <w:sz w:val="16"/>
              </w:rPr>
            </w:pPr>
            <w:proofErr w:type="spellStart"/>
            <w:r>
              <w:rPr>
                <w:color w:val="1F2937"/>
                <w:spacing w:val="-4"/>
                <w:sz w:val="16"/>
              </w:rPr>
              <w:t>非典型組合</w:t>
            </w:r>
            <w:proofErr w:type="spellEnd"/>
          </w:p>
        </w:tc>
        <w:tc>
          <w:tcPr>
            <w:tcW w:w="3372" w:type="dxa"/>
            <w:shd w:val="clear" w:color="auto" w:fill="FFF1CC"/>
          </w:tcPr>
          <w:p w:rsidR="002C50A5" w:rsidRDefault="00A447DA">
            <w:pPr>
              <w:pStyle w:val="TableParagraph"/>
              <w:spacing w:before="82" w:line="249" w:lineRule="auto"/>
              <w:ind w:left="109" w:right="188" w:firstLine="420"/>
              <w:rPr>
                <w:sz w:val="16"/>
                <w:lang w:eastAsia="zh-TW"/>
              </w:rPr>
            </w:pPr>
            <w:r>
              <w:rPr>
                <w:color w:val="1F2937"/>
                <w:spacing w:val="-2"/>
                <w:sz w:val="16"/>
                <w:lang w:eastAsia="zh-TW"/>
              </w:rPr>
              <w:t xml:space="preserve">制度原有缺陷先於 </w:t>
            </w:r>
            <w:r>
              <w:rPr>
                <w:rFonts w:ascii="Times New Roman" w:eastAsia="Times New Roman"/>
                <w:color w:val="1F2937"/>
                <w:sz w:val="16"/>
                <w:lang w:eastAsia="zh-TW"/>
              </w:rPr>
              <w:t>AI</w:t>
            </w:r>
            <w:r>
              <w:rPr>
                <w:rFonts w:ascii="Times New Roman" w:eastAsia="Times New Roman"/>
                <w:color w:val="1F2937"/>
                <w:spacing w:val="-15"/>
                <w:sz w:val="16"/>
                <w:lang w:eastAsia="zh-TW"/>
              </w:rPr>
              <w:t xml:space="preserve"> </w:t>
            </w:r>
            <w:r>
              <w:rPr>
                <w:color w:val="1F2937"/>
                <w:sz w:val="16"/>
                <w:lang w:eastAsia="zh-TW"/>
              </w:rPr>
              <w:t>衝擊；提示吸收</w:t>
            </w:r>
            <w:r>
              <w:rPr>
                <w:color w:val="1F2937"/>
                <w:spacing w:val="-2"/>
                <w:sz w:val="16"/>
                <w:lang w:eastAsia="zh-TW"/>
              </w:rPr>
              <w:t>能力可獨立變化。</w:t>
            </w:r>
          </w:p>
        </w:tc>
      </w:tr>
    </w:tbl>
    <w:p w:rsidR="002C50A5" w:rsidRDefault="002C50A5">
      <w:pPr>
        <w:pStyle w:val="TableParagraph"/>
        <w:spacing w:line="249" w:lineRule="auto"/>
        <w:rPr>
          <w:sz w:val="16"/>
          <w:lang w:eastAsia="zh-TW"/>
        </w:rPr>
        <w:sectPr w:rsidR="002C50A5">
          <w:pgSz w:w="11906" w:h="16838"/>
          <w:pgMar w:top="1247" w:right="1417" w:bottom="1247" w:left="1417" w:header="0" w:footer="730" w:gutter="0"/>
          <w:cols w:space="720"/>
        </w:sectPr>
      </w:pPr>
    </w:p>
    <w:p w:rsidR="002C50A5" w:rsidRDefault="00A447DA">
      <w:pPr>
        <w:spacing w:before="32"/>
        <w:ind w:left="23"/>
        <w:rPr>
          <w:sz w:val="18"/>
          <w:lang w:eastAsia="zh-TW"/>
        </w:rPr>
      </w:pPr>
      <w:r>
        <w:rPr>
          <w:color w:val="585858"/>
          <w:spacing w:val="-1"/>
          <w:sz w:val="18"/>
          <w:lang w:eastAsia="zh-TW"/>
        </w:rPr>
        <w:lastRenderedPageBreak/>
        <w:t>資料來源：作者建構。非典型組合不納入</w:t>
      </w:r>
      <w:proofErr w:type="gramStart"/>
      <w:r>
        <w:rPr>
          <w:color w:val="585858"/>
          <w:spacing w:val="-1"/>
          <w:sz w:val="18"/>
          <w:lang w:eastAsia="zh-TW"/>
        </w:rPr>
        <w:t>三</w:t>
      </w:r>
      <w:proofErr w:type="gramEnd"/>
      <w:r>
        <w:rPr>
          <w:color w:val="585858"/>
          <w:spacing w:val="-1"/>
          <w:sz w:val="18"/>
          <w:lang w:eastAsia="zh-TW"/>
        </w:rPr>
        <w:t>情境主軸，但未被理論排除。</w:t>
      </w:r>
    </w:p>
    <w:p w:rsidR="002C50A5" w:rsidRDefault="00A447DA">
      <w:pPr>
        <w:pStyle w:val="2"/>
        <w:numPr>
          <w:ilvl w:val="0"/>
          <w:numId w:val="3"/>
        </w:numPr>
        <w:tabs>
          <w:tab w:val="left" w:pos="522"/>
        </w:tabs>
        <w:spacing w:before="176"/>
        <w:ind w:left="522" w:hanging="499"/>
        <w:rPr>
          <w:lang w:eastAsia="zh-TW"/>
        </w:rPr>
      </w:pPr>
      <w:bookmarkStart w:id="23" w:name="四、分析程序示範：AI輔助社會福利資格審查"/>
      <w:bookmarkEnd w:id="23"/>
      <w:r>
        <w:rPr>
          <w:color w:val="1F2937"/>
          <w:spacing w:val="-2"/>
          <w:lang w:eastAsia="zh-TW"/>
        </w:rPr>
        <w:t>分析程序示範：</w:t>
      </w:r>
      <w:r>
        <w:rPr>
          <w:rFonts w:ascii="Times New Roman" w:eastAsia="Times New Roman"/>
          <w:color w:val="1F2937"/>
          <w:spacing w:val="-2"/>
          <w:lang w:eastAsia="zh-TW"/>
        </w:rPr>
        <w:t>AI</w:t>
      </w:r>
      <w:r>
        <w:rPr>
          <w:rFonts w:ascii="Times New Roman" w:eastAsia="Times New Roman"/>
          <w:color w:val="1F2937"/>
          <w:spacing w:val="-10"/>
          <w:lang w:eastAsia="zh-TW"/>
        </w:rPr>
        <w:t xml:space="preserve"> </w:t>
      </w:r>
      <w:r>
        <w:rPr>
          <w:color w:val="1F2937"/>
          <w:spacing w:val="-3"/>
          <w:lang w:eastAsia="zh-TW"/>
        </w:rPr>
        <w:t>輔助社會福利資格審查</w:t>
      </w:r>
    </w:p>
    <w:p w:rsidR="002C50A5" w:rsidRDefault="00A447DA">
      <w:pPr>
        <w:pStyle w:val="3"/>
        <w:numPr>
          <w:ilvl w:val="0"/>
          <w:numId w:val="2"/>
        </w:numPr>
        <w:tabs>
          <w:tab w:val="left" w:pos="743"/>
        </w:tabs>
        <w:spacing w:before="329"/>
        <w:ind w:left="743" w:hanging="720"/>
      </w:pPr>
      <w:proofErr w:type="spellStart"/>
      <w:r>
        <w:rPr>
          <w:color w:val="1F2937"/>
          <w:spacing w:val="-3"/>
        </w:rPr>
        <w:t>示範性質</w:t>
      </w:r>
      <w:proofErr w:type="spellEnd"/>
    </w:p>
    <w:p w:rsidR="002C50A5" w:rsidRDefault="00A447DA">
      <w:pPr>
        <w:pStyle w:val="a3"/>
        <w:spacing w:before="99" w:line="338" w:lineRule="auto"/>
        <w:ind w:right="66"/>
        <w:jc w:val="left"/>
        <w:rPr>
          <w:lang w:eastAsia="zh-TW"/>
        </w:rPr>
      </w:pPr>
      <w:r>
        <w:rPr>
          <w:color w:val="1F2937"/>
          <w:spacing w:val="7"/>
          <w:lang w:eastAsia="zh-TW"/>
        </w:rPr>
        <w:t xml:space="preserve">以下以 </w:t>
      </w:r>
      <w:r>
        <w:rPr>
          <w:rFonts w:ascii="Times New Roman" w:eastAsia="Times New Roman"/>
          <w:color w:val="1F2937"/>
          <w:lang w:eastAsia="zh-TW"/>
        </w:rPr>
        <w:t xml:space="preserve">AI </w:t>
      </w:r>
      <w:r>
        <w:rPr>
          <w:color w:val="1F2937"/>
          <w:lang w:eastAsia="zh-TW"/>
        </w:rPr>
        <w:t>輔助社會福利資格審查示範本文分析程序。此處未指涉特定已部署系統，</w:t>
      </w:r>
      <w:r>
        <w:rPr>
          <w:color w:val="1F2937"/>
          <w:spacing w:val="-2"/>
          <w:lang w:eastAsia="zh-TW"/>
        </w:rPr>
        <w:t>僅屬說明性材料，不構成經驗驗證。</w:t>
      </w:r>
    </w:p>
    <w:p w:rsidR="002C50A5" w:rsidRDefault="00A447DA">
      <w:pPr>
        <w:pStyle w:val="3"/>
        <w:numPr>
          <w:ilvl w:val="0"/>
          <w:numId w:val="2"/>
        </w:numPr>
        <w:tabs>
          <w:tab w:val="left" w:pos="743"/>
        </w:tabs>
        <w:spacing w:before="137"/>
        <w:ind w:left="743" w:hanging="720"/>
      </w:pPr>
      <w:proofErr w:type="spellStart"/>
      <w:r>
        <w:rPr>
          <w:color w:val="1F2937"/>
          <w:spacing w:val="-3"/>
        </w:rPr>
        <w:t>座標定位</w:t>
      </w:r>
      <w:proofErr w:type="spellEnd"/>
    </w:p>
    <w:p w:rsidR="002C50A5" w:rsidRDefault="00A447DA">
      <w:pPr>
        <w:pStyle w:val="a3"/>
        <w:spacing w:before="99" w:line="338" w:lineRule="auto"/>
        <w:ind w:left="22" w:right="302"/>
        <w:rPr>
          <w:lang w:eastAsia="zh-TW"/>
        </w:rPr>
      </w:pPr>
      <w:r>
        <w:rPr>
          <w:color w:val="1F2937"/>
          <w:lang w:eastAsia="zh-TW"/>
        </w:rPr>
        <w:t>此類應用的主要格位是「政策體系</w:t>
      </w:r>
      <w:r>
        <w:rPr>
          <w:rFonts w:ascii="Times New Roman" w:eastAsia="Times New Roman" w:hAnsi="Times New Roman"/>
          <w:color w:val="1F2937"/>
          <w:lang w:eastAsia="zh-TW"/>
        </w:rPr>
        <w:t>×</w:t>
      </w:r>
      <w:r>
        <w:rPr>
          <w:color w:val="1F2937"/>
          <w:lang w:eastAsia="zh-TW"/>
        </w:rPr>
        <w:t xml:space="preserve">個人」，因為 </w:t>
      </w:r>
      <w:r>
        <w:rPr>
          <w:rFonts w:ascii="Times New Roman" w:eastAsia="Times New Roman" w:hAnsi="Times New Roman"/>
          <w:color w:val="1F2937"/>
          <w:lang w:eastAsia="zh-TW"/>
        </w:rPr>
        <w:t xml:space="preserve">AI </w:t>
      </w:r>
      <w:r>
        <w:rPr>
          <w:color w:val="1F2937"/>
          <w:lang w:eastAsia="zh-TW"/>
        </w:rPr>
        <w:t>輸出直接影響資格認定與個</w:t>
      </w:r>
      <w:r>
        <w:rPr>
          <w:color w:val="1F2937"/>
          <w:spacing w:val="-2"/>
          <w:lang w:eastAsia="zh-TW"/>
        </w:rPr>
        <w:t>案權益；次要格位包括「政策體系</w:t>
      </w:r>
      <w:r>
        <w:rPr>
          <w:rFonts w:ascii="Times New Roman" w:eastAsia="Times New Roman" w:hAnsi="Times New Roman"/>
          <w:color w:val="1F2937"/>
          <w:spacing w:val="-2"/>
          <w:lang w:eastAsia="zh-TW"/>
        </w:rPr>
        <w:t>×</w:t>
      </w:r>
      <w:r>
        <w:rPr>
          <w:color w:val="1F2937"/>
          <w:spacing w:val="-2"/>
          <w:lang w:eastAsia="zh-TW"/>
        </w:rPr>
        <w:t>社會」的群體資源配置效果，以及「組織設計</w:t>
      </w:r>
      <w:r>
        <w:rPr>
          <w:rFonts w:ascii="Times New Roman" w:eastAsia="Times New Roman" w:hAnsi="Times New Roman"/>
          <w:color w:val="1F2937"/>
          <w:spacing w:val="-2"/>
          <w:lang w:eastAsia="zh-TW"/>
        </w:rPr>
        <w:t>×</w:t>
      </w:r>
      <w:r>
        <w:rPr>
          <w:color w:val="1F2937"/>
          <w:spacing w:val="-2"/>
          <w:lang w:eastAsia="zh-TW"/>
        </w:rPr>
        <w:t>組織」的人機權責安排。</w:t>
      </w:r>
    </w:p>
    <w:p w:rsidR="002C50A5" w:rsidRDefault="00A447DA">
      <w:pPr>
        <w:pStyle w:val="3"/>
        <w:numPr>
          <w:ilvl w:val="0"/>
          <w:numId w:val="2"/>
        </w:numPr>
        <w:tabs>
          <w:tab w:val="left" w:pos="742"/>
        </w:tabs>
        <w:ind w:left="742" w:hanging="720"/>
      </w:pPr>
      <w:proofErr w:type="spellStart"/>
      <w:r>
        <w:rPr>
          <w:color w:val="1F2937"/>
          <w:spacing w:val="-2"/>
        </w:rPr>
        <w:t>三項結構效應辨識</w:t>
      </w:r>
      <w:proofErr w:type="spellEnd"/>
    </w:p>
    <w:p w:rsidR="002C50A5" w:rsidRDefault="00A447DA">
      <w:pPr>
        <w:pStyle w:val="a3"/>
        <w:spacing w:before="96" w:line="338" w:lineRule="auto"/>
        <w:ind w:left="22"/>
        <w:rPr>
          <w:lang w:eastAsia="zh-TW"/>
        </w:rPr>
      </w:pPr>
      <w:r>
        <w:rPr>
          <w:color w:val="1F2937"/>
          <w:spacing w:val="4"/>
          <w:lang w:eastAsia="zh-TW"/>
        </w:rPr>
        <w:t>跨座標移動可能表現在個人審查結果因資料偏差而擴大為社會層面的群體差異；邊</w:t>
      </w:r>
      <w:r>
        <w:rPr>
          <w:color w:val="1F2937"/>
          <w:spacing w:val="2"/>
          <w:lang w:eastAsia="zh-TW"/>
        </w:rPr>
        <w:t>界消解可能出現在政府與模型、雲端或系統供應商之間責任重疊；權威重構則發生於</w:t>
      </w:r>
      <w:r>
        <w:rPr>
          <w:color w:val="1F2937"/>
          <w:lang w:eastAsia="zh-TW"/>
        </w:rPr>
        <w:t>覆核人員慣性</w:t>
      </w:r>
      <w:proofErr w:type="gramStart"/>
      <w:r>
        <w:rPr>
          <w:color w:val="1F2937"/>
          <w:lang w:eastAsia="zh-TW"/>
        </w:rPr>
        <w:t>採</w:t>
      </w:r>
      <w:proofErr w:type="gramEnd"/>
      <w:r>
        <w:rPr>
          <w:color w:val="1F2937"/>
          <w:lang w:eastAsia="zh-TW"/>
        </w:rPr>
        <w:t>信系統輸出，使形式決定權與實質影響力分離。</w:t>
      </w:r>
    </w:p>
    <w:p w:rsidR="002C50A5" w:rsidRDefault="00A447DA">
      <w:pPr>
        <w:pStyle w:val="3"/>
        <w:numPr>
          <w:ilvl w:val="0"/>
          <w:numId w:val="2"/>
        </w:numPr>
        <w:tabs>
          <w:tab w:val="left" w:pos="742"/>
        </w:tabs>
        <w:ind w:left="742" w:hanging="720"/>
      </w:pPr>
      <w:proofErr w:type="spellStart"/>
      <w:r>
        <w:rPr>
          <w:color w:val="1F2937"/>
          <w:spacing w:val="-2"/>
        </w:rPr>
        <w:t>制度吸收能力評估</w:t>
      </w:r>
      <w:proofErr w:type="spellEnd"/>
    </w:p>
    <w:p w:rsidR="002C50A5" w:rsidRDefault="00A447DA">
      <w:pPr>
        <w:pStyle w:val="a3"/>
        <w:spacing w:before="98" w:line="338" w:lineRule="auto"/>
        <w:ind w:left="22"/>
        <w:rPr>
          <w:lang w:eastAsia="zh-TW"/>
        </w:rPr>
      </w:pPr>
      <w:r>
        <w:rPr>
          <w:color w:val="1F2937"/>
          <w:spacing w:val="4"/>
          <w:lang w:eastAsia="zh-TW"/>
        </w:rPr>
        <w:t>評估重點包括：人工覆核是否具有理解、挑戰並改變審查結果的能力；申訴能否</w:t>
      </w:r>
      <w:r>
        <w:rPr>
          <w:color w:val="1F2937"/>
          <w:lang w:eastAsia="zh-TW"/>
        </w:rPr>
        <w:t>促使資料、規則或模型修正；理由說明能否連回事實與法規；</w:t>
      </w:r>
      <w:r>
        <w:rPr>
          <w:rFonts w:ascii="Times New Roman" w:eastAsia="Times New Roman"/>
          <w:color w:val="1F2937"/>
          <w:spacing w:val="1"/>
          <w:lang w:eastAsia="zh-TW"/>
        </w:rPr>
        <w:t>A</w:t>
      </w:r>
      <w:r>
        <w:rPr>
          <w:rFonts w:ascii="Times New Roman" w:eastAsia="Times New Roman"/>
          <w:color w:val="1F2937"/>
          <w:lang w:eastAsia="zh-TW"/>
        </w:rPr>
        <w:t>I</w:t>
      </w:r>
      <w:r>
        <w:rPr>
          <w:rFonts w:ascii="Times New Roman" w:eastAsia="Times New Roman"/>
          <w:color w:val="1F2937"/>
          <w:spacing w:val="-13"/>
          <w:lang w:eastAsia="zh-TW"/>
        </w:rPr>
        <w:t xml:space="preserve">  </w:t>
      </w:r>
      <w:r>
        <w:rPr>
          <w:color w:val="1F2937"/>
          <w:lang w:eastAsia="zh-TW"/>
        </w:rPr>
        <w:t>的實質作用是否仍在法律授權範圍內。</w:t>
      </w:r>
    </w:p>
    <w:p w:rsidR="002C50A5" w:rsidRDefault="00A447DA">
      <w:pPr>
        <w:pStyle w:val="3"/>
        <w:numPr>
          <w:ilvl w:val="0"/>
          <w:numId w:val="2"/>
        </w:numPr>
        <w:tabs>
          <w:tab w:val="left" w:pos="742"/>
        </w:tabs>
        <w:ind w:left="742" w:hanging="720"/>
      </w:pPr>
      <w:proofErr w:type="spellStart"/>
      <w:r>
        <w:rPr>
          <w:color w:val="1F2937"/>
          <w:spacing w:val="-3"/>
        </w:rPr>
        <w:t>情境判斷</w:t>
      </w:r>
      <w:proofErr w:type="spellEnd"/>
    </w:p>
    <w:p w:rsidR="002C50A5" w:rsidRDefault="00A447DA">
      <w:pPr>
        <w:pStyle w:val="a3"/>
        <w:spacing w:before="96" w:line="338" w:lineRule="auto"/>
        <w:ind w:left="22" w:right="62"/>
        <w:jc w:val="left"/>
        <w:rPr>
          <w:lang w:eastAsia="zh-TW"/>
        </w:rPr>
      </w:pPr>
      <w:proofErr w:type="gramStart"/>
      <w:r>
        <w:rPr>
          <w:color w:val="1F2937"/>
          <w:spacing w:val="4"/>
          <w:lang w:eastAsia="zh-TW"/>
        </w:rPr>
        <w:t>若跨格</w:t>
      </w:r>
      <w:proofErr w:type="gramEnd"/>
      <w:r>
        <w:rPr>
          <w:color w:val="1F2937"/>
          <w:spacing w:val="4"/>
          <w:lang w:eastAsia="zh-TW"/>
        </w:rPr>
        <w:t>影響有限、供應商責任可追溯且覆核能實質改變結果，則接近制度吸收型；</w:t>
      </w:r>
      <w:proofErr w:type="gramStart"/>
      <w:r>
        <w:rPr>
          <w:color w:val="1F2937"/>
          <w:spacing w:val="4"/>
          <w:lang w:eastAsia="zh-TW"/>
        </w:rPr>
        <w:t>若跨格</w:t>
      </w:r>
      <w:proofErr w:type="gramEnd"/>
      <w:r>
        <w:rPr>
          <w:color w:val="1F2937"/>
          <w:spacing w:val="4"/>
          <w:lang w:eastAsia="zh-TW"/>
        </w:rPr>
        <w:t>影響反覆出現、責任界線部分模糊且覆核能力因案件而異，則接近調適混合型；若三項結構效應持續耦合，且覆核與申訴均無法改變模型作用，則接近權威位移型。</w:t>
      </w:r>
      <w:proofErr w:type="gramStart"/>
      <w:r>
        <w:rPr>
          <w:color w:val="1F2937"/>
          <w:spacing w:val="4"/>
          <w:lang w:eastAsia="zh-TW"/>
        </w:rPr>
        <w:t>此判 斷只</w:t>
      </w:r>
      <w:proofErr w:type="gramEnd"/>
      <w:r>
        <w:rPr>
          <w:color w:val="1F2937"/>
          <w:spacing w:val="4"/>
          <w:lang w:eastAsia="zh-TW"/>
        </w:rPr>
        <w:t>示範程序的可操作性，不是對特定系統的評價。</w:t>
      </w:r>
    </w:p>
    <w:p w:rsidR="002C50A5" w:rsidRDefault="002C50A5">
      <w:pPr>
        <w:pStyle w:val="a3"/>
        <w:spacing w:line="338" w:lineRule="auto"/>
        <w:jc w:val="left"/>
        <w:rPr>
          <w:lang w:eastAsia="zh-TW"/>
        </w:rPr>
        <w:sectPr w:rsidR="002C50A5">
          <w:pgSz w:w="11906" w:h="16838"/>
          <w:pgMar w:top="1247" w:right="1417" w:bottom="1247" w:left="1417" w:header="0" w:footer="730" w:gutter="0"/>
          <w:cols w:space="720"/>
        </w:sectPr>
      </w:pPr>
    </w:p>
    <w:p w:rsidR="002C50A5" w:rsidRDefault="00A447DA">
      <w:pPr>
        <w:pStyle w:val="2"/>
        <w:numPr>
          <w:ilvl w:val="0"/>
          <w:numId w:val="3"/>
        </w:numPr>
        <w:tabs>
          <w:tab w:val="left" w:pos="522"/>
        </w:tabs>
        <w:spacing w:before="8"/>
        <w:ind w:left="522" w:hanging="499"/>
        <w:rPr>
          <w:lang w:eastAsia="zh-TW"/>
        </w:rPr>
      </w:pPr>
      <w:bookmarkStart w:id="24" w:name="五、情境轉換條件與觀察指標"/>
      <w:bookmarkEnd w:id="24"/>
      <w:r>
        <w:rPr>
          <w:color w:val="1F2937"/>
          <w:spacing w:val="-5"/>
          <w:lang w:eastAsia="zh-TW"/>
        </w:rPr>
        <w:lastRenderedPageBreak/>
        <w:t>情境轉換條件與觀察指標</w:t>
      </w:r>
    </w:p>
    <w:p w:rsidR="002C50A5" w:rsidRDefault="00A447DA">
      <w:pPr>
        <w:pStyle w:val="a3"/>
        <w:spacing w:line="338" w:lineRule="auto"/>
        <w:ind w:right="62"/>
        <w:jc w:val="left"/>
        <w:rPr>
          <w:lang w:eastAsia="zh-TW"/>
        </w:rPr>
      </w:pPr>
      <w:r>
        <w:rPr>
          <w:color w:val="1F2937"/>
          <w:spacing w:val="-2"/>
          <w:lang w:eastAsia="zh-TW"/>
        </w:rPr>
        <w:t>三種情境是可移動的分析狀態，而不是固定階段。情境位置會隨結構效應的影響</w:t>
      </w:r>
      <w:r>
        <w:rPr>
          <w:color w:val="1F2937"/>
          <w:spacing w:val="80"/>
          <w:w w:val="150"/>
          <w:lang w:eastAsia="zh-TW"/>
        </w:rPr>
        <w:t xml:space="preserve">  </w:t>
      </w:r>
      <w:r>
        <w:rPr>
          <w:color w:val="1F2937"/>
          <w:spacing w:val="-2"/>
          <w:lang w:eastAsia="zh-TW"/>
        </w:rPr>
        <w:t>範圍、現象之間的耦合程度，以及制度吸收能力而改變。下列指標用於觀察轉換方向，不構成因果模型或量化門檻。</w:t>
      </w:r>
    </w:p>
    <w:p w:rsidR="002C50A5" w:rsidRDefault="00A447DA">
      <w:pPr>
        <w:pStyle w:val="3"/>
        <w:numPr>
          <w:ilvl w:val="0"/>
          <w:numId w:val="1"/>
        </w:numPr>
        <w:tabs>
          <w:tab w:val="left" w:pos="743"/>
        </w:tabs>
        <w:spacing w:before="142"/>
        <w:ind w:left="743" w:hanging="720"/>
        <w:rPr>
          <w:lang w:eastAsia="zh-TW"/>
        </w:rPr>
      </w:pPr>
      <w:r>
        <w:rPr>
          <w:color w:val="1F2937"/>
          <w:spacing w:val="-1"/>
          <w:lang w:eastAsia="zh-TW"/>
        </w:rPr>
        <w:t>樂觀滑向務實的觸發指標</w:t>
      </w:r>
    </w:p>
    <w:p w:rsidR="002C50A5" w:rsidRDefault="00A447DA">
      <w:pPr>
        <w:pStyle w:val="a3"/>
        <w:spacing w:before="96" w:line="338" w:lineRule="auto"/>
        <w:ind w:right="297"/>
        <w:rPr>
          <w:lang w:eastAsia="zh-TW"/>
        </w:rPr>
      </w:pPr>
      <w:r>
        <w:rPr>
          <w:lang w:eastAsia="zh-TW"/>
        </w:rPr>
        <w:t>情境建構方面，資料、分類或提示模板的設定過程逐漸失去版本紀錄，或具名決定者不再清楚可辨。跨座標移動方面，原屬管理運作或個人層次的AI應用，開始反覆引發社會層次的公平或權利爭議。邊界消解方面，契約與權責表仍存在，但供應商與使用機關對錯誤原因及補救責任互相推諉。權威重構方面，公務員主要援引「系統建議」，而未形成獨立的事實與規範判斷。若例外窗口處理量能不足，或覆核人員缺乏權限與能力改變結果，即表示制度吸收能力下降。</w:t>
      </w:r>
    </w:p>
    <w:p w:rsidR="002C50A5" w:rsidRDefault="00A447DA">
      <w:pPr>
        <w:pStyle w:val="a3"/>
        <w:spacing w:before="121" w:line="338" w:lineRule="auto"/>
        <w:ind w:right="293"/>
        <w:jc w:val="left"/>
        <w:rPr>
          <w:lang w:eastAsia="zh-TW"/>
        </w:rPr>
      </w:pPr>
      <w:r>
        <w:rPr>
          <w:lang w:eastAsia="zh-TW"/>
        </w:rPr>
        <w:t>此階段的特徵是三項結構效應尚未全面耦合，但「</w:t>
      </w:r>
      <w:proofErr w:type="gramStart"/>
      <w:r>
        <w:rPr>
          <w:lang w:eastAsia="zh-TW"/>
        </w:rPr>
        <w:t>框定有</w:t>
      </w:r>
      <w:proofErr w:type="gramEnd"/>
      <w:r>
        <w:rPr>
          <w:lang w:eastAsia="zh-TW"/>
        </w:rPr>
        <w:t>紀錄卻難以外部質疑」「有紀錄而難歸責」「有說明而難修正」開始反覆出現。這是樂觀情境向務實情境移動的可觀察訊號。</w:t>
      </w:r>
    </w:p>
    <w:p w:rsidR="002C50A5" w:rsidRDefault="00A447DA">
      <w:pPr>
        <w:pStyle w:val="3"/>
        <w:numPr>
          <w:ilvl w:val="0"/>
          <w:numId w:val="1"/>
        </w:numPr>
        <w:tabs>
          <w:tab w:val="left" w:pos="743"/>
        </w:tabs>
        <w:spacing w:before="141"/>
        <w:ind w:left="743" w:hanging="720"/>
        <w:rPr>
          <w:lang w:eastAsia="zh-TW"/>
        </w:rPr>
      </w:pPr>
      <w:r>
        <w:rPr>
          <w:color w:val="1F2937"/>
          <w:spacing w:val="-1"/>
          <w:lang w:eastAsia="zh-TW"/>
        </w:rPr>
        <w:t>務實滑向悲觀的觀察指標</w:t>
      </w:r>
    </w:p>
    <w:p w:rsidR="002C50A5" w:rsidRDefault="00A447DA">
      <w:pPr>
        <w:pStyle w:val="a3"/>
        <w:spacing w:before="96" w:line="338" w:lineRule="auto"/>
        <w:ind w:right="62"/>
        <w:jc w:val="left"/>
        <w:rPr>
          <w:lang w:eastAsia="zh-TW"/>
        </w:rPr>
      </w:pPr>
      <w:r>
        <w:rPr>
          <w:lang w:eastAsia="zh-TW"/>
        </w:rPr>
        <w:t>情境建構方面，受影響群體不再能夠取得資料選擇與分類邏輯之說明，異議管道形同虛設或從未被實際使用。跨座標移動從偶發轉為持續：個人或組織層次的自動化決定，系統性影響社會層次的資源分配與權利保障。供應鏈責任無法追究，政府對核心資料與模型的控制力下降；當事人只能取得分數或分類結果，無法獲得可理解的事實與規範連結；高風險決定由模型產出，而人工覆核難以改變結果。若申訴、救濟與監督程序無法促成資料、規則或模型修正，即接近悲觀情境。</w:t>
      </w:r>
    </w:p>
    <w:p w:rsidR="002C50A5" w:rsidRDefault="00A447DA">
      <w:pPr>
        <w:pStyle w:val="a3"/>
        <w:spacing w:before="121" w:line="338" w:lineRule="auto"/>
        <w:ind w:right="62"/>
        <w:jc w:val="left"/>
        <w:rPr>
          <w:lang w:eastAsia="zh-TW"/>
        </w:rPr>
      </w:pPr>
      <w:r>
        <w:rPr>
          <w:lang w:eastAsia="zh-TW"/>
        </w:rPr>
        <w:t>此時三項結構效應開始高強度耦合：跨座標移動擴張影響範圍，邊界消解造成責任落差，權威重構則使合法授權與實質決定分離，而情境</w:t>
      </w:r>
      <w:proofErr w:type="gramStart"/>
      <w:r>
        <w:rPr>
          <w:lang w:eastAsia="zh-TW"/>
        </w:rPr>
        <w:t>建構鏈往往</w:t>
      </w:r>
      <w:proofErr w:type="gramEnd"/>
      <w:r>
        <w:rPr>
          <w:lang w:eastAsia="zh-TW"/>
        </w:rPr>
        <w:t>是最先、也最難</w:t>
      </w:r>
      <w:r>
        <w:rPr>
          <w:lang w:eastAsia="zh-TW"/>
        </w:rPr>
        <w:lastRenderedPageBreak/>
        <w:t>被察覺已經斷裂的一環。本文將這一組合稱為「解釋力臨界」的候選狀態，是否真正成立仍須由案例檢驗。</w:t>
      </w:r>
    </w:p>
    <w:p w:rsidR="002C50A5" w:rsidRDefault="002C50A5">
      <w:pPr>
        <w:pStyle w:val="a3"/>
        <w:spacing w:line="338" w:lineRule="auto"/>
        <w:jc w:val="left"/>
        <w:rPr>
          <w:lang w:eastAsia="zh-TW"/>
        </w:rPr>
        <w:sectPr w:rsidR="002C50A5">
          <w:pgSz w:w="11906" w:h="16838"/>
          <w:pgMar w:top="1247" w:right="1417" w:bottom="1247" w:left="1417" w:header="0" w:footer="730" w:gutter="0"/>
          <w:cols w:space="720"/>
        </w:sectPr>
      </w:pPr>
    </w:p>
    <w:p w:rsidR="002C50A5" w:rsidRDefault="00A447DA">
      <w:pPr>
        <w:pStyle w:val="3"/>
        <w:numPr>
          <w:ilvl w:val="0"/>
          <w:numId w:val="1"/>
        </w:numPr>
        <w:tabs>
          <w:tab w:val="left" w:pos="742"/>
        </w:tabs>
        <w:spacing w:before="9"/>
        <w:ind w:left="742" w:hanging="720"/>
      </w:pPr>
      <w:proofErr w:type="spellStart"/>
      <w:r>
        <w:rPr>
          <w:color w:val="1F2937"/>
          <w:spacing w:val="-2"/>
        </w:rPr>
        <w:lastRenderedPageBreak/>
        <w:t>反向移動的制度條件</w:t>
      </w:r>
      <w:proofErr w:type="spellEnd"/>
    </w:p>
    <w:p w:rsidR="002C50A5" w:rsidRDefault="00A447DA">
      <w:pPr>
        <w:pStyle w:val="a3"/>
        <w:spacing w:before="97" w:line="338" w:lineRule="auto"/>
        <w:ind w:left="22"/>
        <w:rPr>
          <w:lang w:eastAsia="zh-TW"/>
        </w:rPr>
      </w:pPr>
      <w:r>
        <w:rPr>
          <w:lang w:eastAsia="zh-TW"/>
        </w:rPr>
        <w:t>由悲觀或務實</w:t>
      </w:r>
      <w:proofErr w:type="gramStart"/>
      <w:r>
        <w:rPr>
          <w:lang w:eastAsia="zh-TW"/>
        </w:rPr>
        <w:t>情境回移</w:t>
      </w:r>
      <w:proofErr w:type="gramEnd"/>
      <w:r>
        <w:rPr>
          <w:lang w:eastAsia="zh-TW"/>
        </w:rPr>
        <w:t>，須依邏輯上的前置順序，優先修復情境</w:t>
      </w:r>
      <w:proofErr w:type="gramStart"/>
      <w:r>
        <w:rPr>
          <w:lang w:eastAsia="zh-TW"/>
        </w:rPr>
        <w:t>建構</w:t>
      </w:r>
      <w:proofErr w:type="gramEnd"/>
      <w:r>
        <w:rPr>
          <w:lang w:eastAsia="zh-TW"/>
        </w:rPr>
        <w:t>鏈，再依序修復權威鏈、理由鏈與責任鏈——因為後三鏈的正當性，建立在情境定義本身是否已受民主控制之上。第一，情境</w:t>
      </w:r>
      <w:proofErr w:type="gramStart"/>
      <w:r>
        <w:rPr>
          <w:lang w:eastAsia="zh-TW"/>
        </w:rPr>
        <w:t>建構鏈</w:t>
      </w:r>
      <w:proofErr w:type="gramEnd"/>
      <w:r>
        <w:rPr>
          <w:lang w:eastAsia="zh-TW"/>
        </w:rPr>
        <w:t>：保存資料選擇、分類與提示模板之版本紀錄，並開放外部檢視與異議，確保</w:t>
      </w:r>
      <w:proofErr w:type="gramStart"/>
      <w:r>
        <w:rPr>
          <w:lang w:eastAsia="zh-TW"/>
        </w:rPr>
        <w:t>問題框定過程</w:t>
      </w:r>
      <w:proofErr w:type="gramEnd"/>
      <w:r>
        <w:rPr>
          <w:lang w:eastAsia="zh-TW"/>
        </w:rPr>
        <w:t>可追溯、可質疑、可修正。第二，權威鏈：明定AI可以影響哪些事實判斷與選項，以及哪些決定必須由具合法授權的人員作成。第三，理由鏈：保存輸入、模型版本、提示、覆核與異議紀錄，並將結果連回事實與規範。第四，責任鏈：以契約、組織設計及補救程序區分建議、覆核與決定責任。另應限制涉及權利剝奪、資格認定或重大資源分配的全自動決定，並提升公務人員挑戰模型輸出的權限與能力。</w:t>
      </w:r>
    </w:p>
    <w:p w:rsidR="002C50A5" w:rsidRDefault="00A447DA">
      <w:pPr>
        <w:pStyle w:val="3"/>
        <w:numPr>
          <w:ilvl w:val="0"/>
          <w:numId w:val="1"/>
        </w:numPr>
        <w:tabs>
          <w:tab w:val="left" w:pos="742"/>
        </w:tabs>
        <w:ind w:left="742" w:hanging="720"/>
      </w:pPr>
      <w:proofErr w:type="spellStart"/>
      <w:r>
        <w:rPr>
          <w:color w:val="1F2937"/>
          <w:spacing w:val="-3"/>
        </w:rPr>
        <w:t>診斷問題</w:t>
      </w:r>
      <w:proofErr w:type="spellEnd"/>
    </w:p>
    <w:p w:rsidR="002C50A5" w:rsidRDefault="00A447DA">
      <w:pPr>
        <w:pStyle w:val="a3"/>
        <w:spacing w:before="98" w:line="338" w:lineRule="auto"/>
        <w:ind w:right="297"/>
        <w:rPr>
          <w:lang w:eastAsia="zh-TW"/>
        </w:rPr>
      </w:pPr>
      <w:r>
        <w:rPr>
          <w:lang w:eastAsia="zh-TW"/>
        </w:rPr>
        <w:t>實務或研究者可先提出四組問題：第一，資料、分類與</w:t>
      </w:r>
      <w:proofErr w:type="gramStart"/>
      <w:r>
        <w:rPr>
          <w:lang w:eastAsia="zh-TW"/>
        </w:rPr>
        <w:t>閾</w:t>
      </w:r>
      <w:proofErr w:type="gramEnd"/>
      <w:r>
        <w:rPr>
          <w:lang w:eastAsia="zh-TW"/>
        </w:rPr>
        <w:t>值之設定過程能否被追溯、質疑並修正？第二，AI影響是否由原設計格位持續擴散至其他層次與單位？第三，爭議發生時，能否分別追溯誰提出理由、誰負責補救、</w:t>
      </w:r>
      <w:proofErr w:type="gramStart"/>
      <w:r>
        <w:rPr>
          <w:lang w:eastAsia="zh-TW"/>
        </w:rPr>
        <w:t>誰具合法</w:t>
      </w:r>
      <w:proofErr w:type="gramEnd"/>
      <w:r>
        <w:rPr>
          <w:lang w:eastAsia="zh-TW"/>
        </w:rPr>
        <w:t>決定權？第四，覆核、申訴或救濟能否實質改變資料、模型、規則或決定？若答案持續不明確，且三項結構效應同時擴張，即表示情境正在向較高風險位置移動。</w:t>
      </w:r>
    </w:p>
    <w:p w:rsidR="002C50A5" w:rsidRDefault="00A447DA">
      <w:pPr>
        <w:pStyle w:val="a3"/>
        <w:spacing w:before="120" w:line="338" w:lineRule="auto"/>
        <w:jc w:val="left"/>
        <w:rPr>
          <w:lang w:eastAsia="zh-TW"/>
        </w:rPr>
      </w:pPr>
      <w:r>
        <w:rPr>
          <w:color w:val="1F2937"/>
          <w:spacing w:val="4"/>
          <w:lang w:eastAsia="zh-TW"/>
        </w:rPr>
        <w:t>上述問題是概念性的觀察指標。其目的在使三種情境對應到可檢查的制度現象，</w:t>
      </w:r>
      <w:r>
        <w:rPr>
          <w:color w:val="1F2937"/>
          <w:lang w:eastAsia="zh-TW"/>
        </w:rPr>
        <w:t>而不是把未來情境偽裝成精確量表。</w:t>
      </w:r>
    </w:p>
    <w:p w:rsidR="002C50A5" w:rsidRDefault="00A447DA">
      <w:pPr>
        <w:pStyle w:val="1"/>
        <w:numPr>
          <w:ilvl w:val="0"/>
          <w:numId w:val="9"/>
        </w:numPr>
        <w:tabs>
          <w:tab w:val="left" w:pos="584"/>
        </w:tabs>
        <w:spacing w:before="238"/>
        <w:ind w:left="584" w:hanging="561"/>
        <w:rPr>
          <w:lang w:eastAsia="zh-TW"/>
        </w:rPr>
      </w:pPr>
      <w:bookmarkStart w:id="25" w:name="伍、理論意涵：結構現象、制度吸收與理論邊界"/>
      <w:bookmarkEnd w:id="25"/>
      <w:r>
        <w:rPr>
          <w:color w:val="1F4E78"/>
          <w:spacing w:val="-3"/>
          <w:lang w:eastAsia="zh-TW"/>
        </w:rPr>
        <w:t>理論意涵：結構效應、制度吸收與理論邊界</w:t>
      </w:r>
    </w:p>
    <w:p w:rsidR="002C50A5" w:rsidRDefault="00A447DA">
      <w:pPr>
        <w:pStyle w:val="2"/>
        <w:numPr>
          <w:ilvl w:val="1"/>
          <w:numId w:val="9"/>
        </w:numPr>
        <w:tabs>
          <w:tab w:val="left" w:pos="522"/>
        </w:tabs>
        <w:spacing w:before="394"/>
        <w:ind w:left="522" w:hanging="499"/>
        <w:rPr>
          <w:lang w:eastAsia="zh-TW"/>
        </w:rPr>
      </w:pPr>
      <w:bookmarkStart w:id="26" w:name="一、三項現象的交互而非並列"/>
      <w:bookmarkEnd w:id="26"/>
      <w:r>
        <w:rPr>
          <w:color w:val="1F2937"/>
          <w:spacing w:val="-5"/>
          <w:lang w:eastAsia="zh-TW"/>
        </w:rPr>
        <w:t>三項結構效應的交互而非並列</w:t>
      </w:r>
    </w:p>
    <w:p w:rsidR="002C50A5" w:rsidRDefault="00A447DA">
      <w:pPr>
        <w:pStyle w:val="a3"/>
        <w:spacing w:line="338" w:lineRule="auto"/>
        <w:rPr>
          <w:lang w:eastAsia="zh-TW"/>
        </w:rPr>
      </w:pPr>
      <w:r>
        <w:rPr>
          <w:color w:val="1F2937"/>
          <w:spacing w:val="4"/>
          <w:lang w:eastAsia="zh-TW"/>
        </w:rPr>
        <w:t>跨座標移動、邊界消解與權威重構在概念上可以分開，但在經驗上可能相互強化。</w:t>
      </w:r>
      <w:r>
        <w:rPr>
          <w:color w:val="1F2937"/>
          <w:spacing w:val="2"/>
          <w:lang w:eastAsia="zh-TW"/>
        </w:rPr>
        <w:t>跨座標移動擴大影響範圍；邊界消解增加責任定位的困難；權威重構則改變合</w:t>
      </w:r>
      <w:r>
        <w:rPr>
          <w:color w:val="1F2937"/>
          <w:spacing w:val="2"/>
          <w:lang w:eastAsia="zh-TW"/>
        </w:rPr>
        <w:lastRenderedPageBreak/>
        <w:t>法授權、事實判斷與理由說明之間的關係。本文不把三者預設為統計上的獨立變項，而是要求</w:t>
      </w:r>
      <w:r>
        <w:rPr>
          <w:color w:val="1F2937"/>
          <w:lang w:eastAsia="zh-TW"/>
        </w:rPr>
        <w:t>案例分析逐一辨識，再檢查其是否耦合。</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pStyle w:val="2"/>
        <w:numPr>
          <w:ilvl w:val="1"/>
          <w:numId w:val="9"/>
        </w:numPr>
        <w:tabs>
          <w:tab w:val="left" w:pos="522"/>
        </w:tabs>
        <w:spacing w:before="8"/>
        <w:ind w:left="522" w:hanging="499"/>
      </w:pPr>
      <w:bookmarkStart w:id="27" w:name="二、理論解釋力的臨界條件"/>
      <w:bookmarkEnd w:id="27"/>
      <w:proofErr w:type="spellStart"/>
      <w:r>
        <w:rPr>
          <w:color w:val="1F2937"/>
          <w:spacing w:val="-5"/>
        </w:rPr>
        <w:lastRenderedPageBreak/>
        <w:t>理論解釋力的臨界條件</w:t>
      </w:r>
      <w:proofErr w:type="spellEnd"/>
    </w:p>
    <w:p w:rsidR="002C50A5" w:rsidRDefault="00A447DA">
      <w:pPr>
        <w:pStyle w:val="a3"/>
        <w:spacing w:line="338" w:lineRule="auto"/>
        <w:rPr>
          <w:lang w:eastAsia="zh-TW"/>
        </w:rPr>
      </w:pPr>
      <w:r>
        <w:rPr>
          <w:color w:val="1F2937"/>
          <w:spacing w:val="4"/>
          <w:lang w:eastAsia="zh-TW"/>
        </w:rPr>
        <w:t>本文提出一項待壓力測試的概念命題：當三項結構效應在多個治理座標持續高強度耦合，而情境建構、權威、理由與責任四條治理鏈均無法吸收其後果時，既有公共行政理論可能進入「解釋力臨界」。此處的「臨界」不是已測得的門檻，而是後續案例研究需要檢驗的理論主張。</w:t>
      </w:r>
    </w:p>
    <w:p w:rsidR="002C50A5" w:rsidRDefault="00A447DA">
      <w:pPr>
        <w:pStyle w:val="a3"/>
        <w:spacing w:before="122" w:line="338" w:lineRule="auto"/>
        <w:rPr>
          <w:lang w:eastAsia="zh-TW"/>
        </w:rPr>
      </w:pPr>
      <w:r>
        <w:rPr>
          <w:color w:val="1F2937"/>
          <w:spacing w:val="4"/>
          <w:lang w:eastAsia="zh-TW"/>
        </w:rPr>
        <w:t>理論補充與理論失靈的差異，在於核心概念能否經調適後繼續辨識現象。若既有</w:t>
      </w:r>
      <w:r>
        <w:rPr>
          <w:color w:val="1F2937"/>
          <w:spacing w:val="2"/>
          <w:lang w:eastAsia="zh-TW"/>
        </w:rPr>
        <w:t>理論可透過增加供應鏈角色、</w:t>
      </w:r>
      <w:proofErr w:type="gramStart"/>
      <w:r>
        <w:rPr>
          <w:color w:val="1F2937"/>
          <w:spacing w:val="2"/>
          <w:lang w:eastAsia="zh-TW"/>
        </w:rPr>
        <w:t>演算法框定或</w:t>
      </w:r>
      <w:proofErr w:type="gramEnd"/>
      <w:r>
        <w:rPr>
          <w:color w:val="1F2937"/>
          <w:spacing w:val="2"/>
          <w:lang w:eastAsia="zh-TW"/>
        </w:rPr>
        <w:t>混合裁量等變項，重新定位權威、理由與責任，則屬理論補充；若行政裁量、層次劃分或責任歸屬等核心概念，在不同案例中反覆無法辨識實質決定者，且調整後仍不能定位理由鏈與權威鏈的斷裂，才構成理論</w:t>
      </w:r>
      <w:r>
        <w:rPr>
          <w:color w:val="1F2937"/>
          <w:lang w:eastAsia="zh-TW"/>
        </w:rPr>
        <w:t>失靈的候選狀態。</w:t>
      </w:r>
    </w:p>
    <w:p w:rsidR="002C50A5" w:rsidRDefault="00A447DA">
      <w:pPr>
        <w:pStyle w:val="a3"/>
        <w:spacing w:before="121" w:line="338" w:lineRule="auto"/>
        <w:ind w:right="293"/>
        <w:rPr>
          <w:lang w:eastAsia="zh-TW"/>
        </w:rPr>
      </w:pPr>
      <w:r>
        <w:rPr>
          <w:color w:val="1F2937"/>
          <w:spacing w:val="4"/>
          <w:lang w:eastAsia="zh-TW"/>
        </w:rPr>
        <w:t>相反地，若三項結構效應高強度耦合時，既有理論仍可有效定位實質決定者、理由來源與責任歸屬，本文命題即受到反駁。高強度／高吸收或低強度／低吸收案例若反覆出現，也表示兩組判</w:t>
      </w:r>
      <w:proofErr w:type="gramStart"/>
      <w:r>
        <w:rPr>
          <w:color w:val="1F2937"/>
          <w:spacing w:val="4"/>
          <w:lang w:eastAsia="zh-TW"/>
        </w:rPr>
        <w:t>準</w:t>
      </w:r>
      <w:proofErr w:type="gramEnd"/>
      <w:r>
        <w:rPr>
          <w:color w:val="1F2937"/>
          <w:spacing w:val="4"/>
          <w:lang w:eastAsia="zh-TW"/>
        </w:rPr>
        <w:t>的</w:t>
      </w:r>
      <w:proofErr w:type="gramStart"/>
      <w:r>
        <w:rPr>
          <w:color w:val="1F2937"/>
          <w:spacing w:val="4"/>
          <w:lang w:eastAsia="zh-TW"/>
        </w:rPr>
        <w:t>典型共變假</w:t>
      </w:r>
      <w:proofErr w:type="gramEnd"/>
      <w:r>
        <w:rPr>
          <w:color w:val="1F2937"/>
          <w:spacing w:val="4"/>
          <w:lang w:eastAsia="zh-TW"/>
        </w:rPr>
        <w:t>設需要修正。</w:t>
      </w:r>
    </w:p>
    <w:p w:rsidR="002C50A5" w:rsidRDefault="00A447DA">
      <w:pPr>
        <w:pStyle w:val="a3"/>
        <w:spacing w:before="120" w:line="338" w:lineRule="auto"/>
        <w:rPr>
          <w:lang w:eastAsia="zh-TW"/>
        </w:rPr>
      </w:pPr>
      <w:r>
        <w:rPr>
          <w:color w:val="1F2937"/>
          <w:spacing w:val="4"/>
          <w:lang w:eastAsia="zh-TW"/>
        </w:rPr>
        <w:t>討論理論重構的前提不只在案例數量，更在案例異質性。後續壓力測試至少應涵</w:t>
      </w:r>
      <w:r>
        <w:rPr>
          <w:color w:val="1F2937"/>
          <w:spacing w:val="2"/>
          <w:lang w:eastAsia="zh-TW"/>
        </w:rPr>
        <w:t>蓋三個不同政策領域，例如社會福利、稅務行政及執法安全，並在行動者、技術供應鏈與法律效果上具有差異。只有相同的解釋失靈模式在異質案例中反覆出現，且既有理論經調適後仍無法處理，才有基礎討論典範重構。此處的「至少三個領域」是研究</w:t>
      </w:r>
      <w:r>
        <w:rPr>
          <w:color w:val="1F2937"/>
          <w:lang w:eastAsia="zh-TW"/>
        </w:rPr>
        <w:t>設計的質性最低要求，不是統計門檻。</w:t>
      </w:r>
    </w:p>
    <w:p w:rsidR="002C50A5" w:rsidRDefault="00A447DA">
      <w:pPr>
        <w:pStyle w:val="2"/>
        <w:numPr>
          <w:ilvl w:val="1"/>
          <w:numId w:val="9"/>
        </w:numPr>
        <w:tabs>
          <w:tab w:val="left" w:pos="522"/>
        </w:tabs>
        <w:spacing w:before="181"/>
        <w:ind w:left="522" w:hanging="499"/>
        <w:rPr>
          <w:lang w:eastAsia="zh-TW"/>
        </w:rPr>
      </w:pPr>
      <w:bookmarkStart w:id="28" w:name="三、未來政府與理論重構的連結"/>
      <w:bookmarkEnd w:id="28"/>
      <w:r>
        <w:rPr>
          <w:color w:val="1F2937"/>
          <w:spacing w:val="-5"/>
          <w:lang w:eastAsia="zh-TW"/>
        </w:rPr>
        <w:t>未來政府與理論重構的連結</w:t>
      </w:r>
    </w:p>
    <w:p w:rsidR="002C50A5" w:rsidRDefault="00A447DA">
      <w:pPr>
        <w:pStyle w:val="a3"/>
        <w:spacing w:before="312" w:line="338" w:lineRule="auto"/>
        <w:jc w:val="left"/>
        <w:rPr>
          <w:lang w:eastAsia="zh-TW"/>
        </w:rPr>
      </w:pPr>
      <w:r>
        <w:rPr>
          <w:color w:val="1F2937"/>
          <w:spacing w:val="4"/>
          <w:lang w:eastAsia="zh-TW"/>
        </w:rPr>
        <w:t>樂觀情境主要要求理論調適；務實情境要求擴充對供應鏈、</w:t>
      </w:r>
      <w:proofErr w:type="gramStart"/>
      <w:r>
        <w:rPr>
          <w:color w:val="1F2937"/>
          <w:spacing w:val="4"/>
          <w:lang w:eastAsia="zh-TW"/>
        </w:rPr>
        <w:t>資料框定及</w:t>
      </w:r>
      <w:proofErr w:type="gramEnd"/>
      <w:r>
        <w:rPr>
          <w:color w:val="1F2937"/>
          <w:spacing w:val="4"/>
          <w:lang w:eastAsia="zh-TW"/>
        </w:rPr>
        <w:t>混合權威</w:t>
      </w:r>
      <w:r>
        <w:rPr>
          <w:color w:val="1F2937"/>
          <w:spacing w:val="2"/>
          <w:lang w:eastAsia="zh-TW"/>
        </w:rPr>
        <w:t>的分析；悲觀情境則提出理論重構的可能性。這項對應不能反向使用：不能因案例被</w:t>
      </w:r>
    </w:p>
    <w:p w:rsidR="002C50A5" w:rsidRDefault="002C50A5">
      <w:pPr>
        <w:pStyle w:val="a3"/>
        <w:spacing w:line="338" w:lineRule="auto"/>
        <w:jc w:val="left"/>
        <w:rPr>
          <w:lang w:eastAsia="zh-TW"/>
        </w:rPr>
        <w:sectPr w:rsidR="002C50A5">
          <w:pgSz w:w="11906" w:h="16838"/>
          <w:pgMar w:top="1247" w:right="1417" w:bottom="1247" w:left="1417" w:header="0" w:footer="730" w:gutter="0"/>
          <w:cols w:space="720"/>
        </w:sectPr>
      </w:pPr>
    </w:p>
    <w:p w:rsidR="002C50A5" w:rsidRDefault="00A447DA">
      <w:pPr>
        <w:pStyle w:val="a3"/>
        <w:spacing w:before="9" w:line="338" w:lineRule="auto"/>
        <w:ind w:left="22" w:right="297" w:firstLine="0"/>
        <w:jc w:val="left"/>
        <w:rPr>
          <w:lang w:eastAsia="zh-TW"/>
        </w:rPr>
      </w:pPr>
      <w:r>
        <w:rPr>
          <w:color w:val="1F2937"/>
          <w:spacing w:val="-2"/>
          <w:lang w:eastAsia="zh-TW"/>
        </w:rPr>
        <w:lastRenderedPageBreak/>
        <w:t>命名為悲觀情境，就直接推論典範已經轉移。典範</w:t>
      </w:r>
      <w:proofErr w:type="gramStart"/>
      <w:r>
        <w:rPr>
          <w:color w:val="1F2937"/>
          <w:spacing w:val="-2"/>
          <w:lang w:eastAsia="zh-TW"/>
        </w:rPr>
        <w:t>重構只能</w:t>
      </w:r>
      <w:proofErr w:type="gramEnd"/>
      <w:r>
        <w:rPr>
          <w:color w:val="1F2937"/>
          <w:spacing w:val="-2"/>
          <w:lang w:eastAsia="zh-TW"/>
        </w:rPr>
        <w:t>是多個異質案例完成壓力測試後，仍反覆出現解釋失靈時的可能結論。</w:t>
      </w:r>
    </w:p>
    <w:p w:rsidR="002C50A5" w:rsidRDefault="00A447DA">
      <w:pPr>
        <w:pStyle w:val="2"/>
        <w:numPr>
          <w:ilvl w:val="1"/>
          <w:numId w:val="9"/>
        </w:numPr>
        <w:tabs>
          <w:tab w:val="left" w:pos="522"/>
        </w:tabs>
        <w:ind w:left="522" w:hanging="499"/>
      </w:pPr>
      <w:bookmarkStart w:id="29" w:name="四、與既有文獻的再定位"/>
      <w:bookmarkEnd w:id="29"/>
      <w:proofErr w:type="spellStart"/>
      <w:r>
        <w:rPr>
          <w:color w:val="1F2937"/>
          <w:spacing w:val="-3"/>
        </w:rPr>
        <w:t>與既有文獻的再定位</w:t>
      </w:r>
      <w:proofErr w:type="spellEnd"/>
    </w:p>
    <w:p w:rsidR="002C50A5" w:rsidRDefault="00A447DA">
      <w:pPr>
        <w:pStyle w:val="a3"/>
        <w:spacing w:line="338" w:lineRule="auto"/>
        <w:rPr>
          <w:lang w:eastAsia="zh-TW"/>
        </w:rPr>
      </w:pPr>
      <w:r>
        <w:rPr>
          <w:color w:val="1F2937"/>
          <w:spacing w:val="4"/>
          <w:lang w:eastAsia="zh-TW"/>
        </w:rPr>
        <w:t>相較於</w:t>
      </w:r>
      <w:proofErr w:type="gramStart"/>
      <w:r>
        <w:rPr>
          <w:color w:val="1F2937"/>
          <w:spacing w:val="4"/>
          <w:lang w:eastAsia="zh-TW"/>
        </w:rPr>
        <w:t>單軸多層次</w:t>
      </w:r>
      <w:proofErr w:type="gramEnd"/>
      <w:r>
        <w:rPr>
          <w:color w:val="1F2937"/>
          <w:spacing w:val="4"/>
          <w:lang w:eastAsia="zh-TW"/>
        </w:rPr>
        <w:t>模型或原則清單，本文要求研究者依序完成座標定位、三項結構效應辨識、制度吸收能力評估與情境比較。其新增價值在於把「未來政府可能呈現何種制度狀態」與「既有理論在哪些條件下受到解釋壓力」放在同一分析過程中；其限制則是目前仍缺乏跨案例的經驗檢驗。</w:t>
      </w:r>
    </w:p>
    <w:p w:rsidR="002C50A5" w:rsidRDefault="00A447DA">
      <w:pPr>
        <w:pStyle w:val="1"/>
        <w:numPr>
          <w:ilvl w:val="0"/>
          <w:numId w:val="9"/>
        </w:numPr>
        <w:tabs>
          <w:tab w:val="left" w:pos="584"/>
        </w:tabs>
        <w:spacing w:before="239"/>
        <w:ind w:left="584" w:hanging="561"/>
      </w:pPr>
      <w:bookmarkStart w:id="30" w:name="陸、結論"/>
      <w:bookmarkEnd w:id="30"/>
      <w:proofErr w:type="spellStart"/>
      <w:r>
        <w:rPr>
          <w:color w:val="1F4E78"/>
          <w:spacing w:val="-5"/>
        </w:rPr>
        <w:t>結論</w:t>
      </w:r>
      <w:proofErr w:type="spellEnd"/>
    </w:p>
    <w:p w:rsidR="002C50A5" w:rsidRDefault="00A447DA">
      <w:pPr>
        <w:pStyle w:val="2"/>
        <w:numPr>
          <w:ilvl w:val="1"/>
          <w:numId w:val="9"/>
        </w:numPr>
        <w:tabs>
          <w:tab w:val="left" w:pos="522"/>
        </w:tabs>
        <w:spacing w:before="391"/>
        <w:ind w:left="522" w:hanging="499"/>
      </w:pPr>
      <w:bookmarkStart w:id="31" w:name="一、研究發現"/>
      <w:bookmarkEnd w:id="31"/>
      <w:proofErr w:type="spellStart"/>
      <w:r>
        <w:rPr>
          <w:color w:val="1F2937"/>
          <w:spacing w:val="-6"/>
        </w:rPr>
        <w:t>研究發現</w:t>
      </w:r>
      <w:proofErr w:type="spellEnd"/>
    </w:p>
    <w:p w:rsidR="002C50A5" w:rsidRDefault="00A447DA">
      <w:pPr>
        <w:pStyle w:val="a3"/>
        <w:spacing w:before="312" w:line="338" w:lineRule="auto"/>
        <w:ind w:right="297"/>
        <w:rPr>
          <w:lang w:eastAsia="zh-TW"/>
        </w:rPr>
      </w:pPr>
      <w:r>
        <w:rPr>
          <w:color w:val="1F2937"/>
          <w:lang w:eastAsia="zh-TW"/>
        </w:rPr>
        <w:t>本文以二十五治理座標定位 AI 介入，並以跨座標移動、邊界消解與權威重構的影響範圍及耦合程度，配合制度吸收能力，建構制度吸收型、調適混合型與權威位移型三種理想型未來政府情境。核心命題是：AI 本身</w:t>
      </w:r>
      <w:proofErr w:type="gramStart"/>
      <w:r>
        <w:rPr>
          <w:color w:val="1F2937"/>
          <w:lang w:eastAsia="zh-TW"/>
        </w:rPr>
        <w:t>不</w:t>
      </w:r>
      <w:proofErr w:type="gramEnd"/>
      <w:r>
        <w:rPr>
          <w:color w:val="1F2937"/>
          <w:lang w:eastAsia="zh-TW"/>
        </w:rPr>
        <w:t>必然造成理論斷裂；較強的解釋壓力出現在三項結構效應持續耦合，而且情境建構、權威、理由與責任四條治理鏈無法維持時。三種情境只呈現</w:t>
      </w:r>
      <w:proofErr w:type="gramStart"/>
      <w:r>
        <w:rPr>
          <w:color w:val="1F2937"/>
          <w:lang w:eastAsia="zh-TW"/>
        </w:rPr>
        <w:t>典型共變方向</w:t>
      </w:r>
      <w:proofErr w:type="gramEnd"/>
      <w:r>
        <w:rPr>
          <w:color w:val="1F2937"/>
          <w:lang w:eastAsia="zh-TW"/>
        </w:rPr>
        <w:t>，不排除高強度／高吸收或低強度／低吸收等非典型組合。</w:t>
      </w:r>
    </w:p>
    <w:p w:rsidR="002C50A5" w:rsidRDefault="00A447DA">
      <w:pPr>
        <w:pStyle w:val="2"/>
        <w:numPr>
          <w:ilvl w:val="1"/>
          <w:numId w:val="9"/>
        </w:numPr>
        <w:tabs>
          <w:tab w:val="left" w:pos="522"/>
        </w:tabs>
        <w:ind w:left="522" w:hanging="499"/>
      </w:pPr>
      <w:bookmarkStart w:id="32" w:name="二、研究限制"/>
      <w:bookmarkEnd w:id="32"/>
      <w:proofErr w:type="spellStart"/>
      <w:r>
        <w:rPr>
          <w:color w:val="1F2937"/>
          <w:spacing w:val="-6"/>
        </w:rPr>
        <w:t>研究限制</w:t>
      </w:r>
      <w:proofErr w:type="spellEnd"/>
    </w:p>
    <w:p w:rsidR="002C50A5" w:rsidRDefault="00A447DA">
      <w:pPr>
        <w:pStyle w:val="a3"/>
        <w:spacing w:line="338" w:lineRule="auto"/>
        <w:ind w:left="22"/>
        <w:rPr>
          <w:lang w:eastAsia="zh-TW"/>
        </w:rPr>
      </w:pPr>
      <w:r>
        <w:rPr>
          <w:color w:val="1F2937"/>
          <w:spacing w:val="4"/>
          <w:lang w:eastAsia="zh-TW"/>
        </w:rPr>
        <w:t>本文屬概念建構，仍有四項限制。第一，三項結構效應的強度及制度吸收能力雖已提出方向性判</w:t>
      </w:r>
      <w:proofErr w:type="gramStart"/>
      <w:r>
        <w:rPr>
          <w:color w:val="1F2937"/>
          <w:spacing w:val="4"/>
          <w:lang w:eastAsia="zh-TW"/>
        </w:rPr>
        <w:t>準</w:t>
      </w:r>
      <w:proofErr w:type="gramEnd"/>
      <w:r>
        <w:rPr>
          <w:color w:val="1F2937"/>
          <w:spacing w:val="4"/>
          <w:lang w:eastAsia="zh-TW"/>
        </w:rPr>
        <w:t>，尚未形成可跨案例使用的證據編碼規則。第二，制度吸收能力是本文為 AI 結構衝擊所建構的規範性概念，與行政能力、組織韌性及知識吸收能力的經驗</w:t>
      </w:r>
      <w:proofErr w:type="gramStart"/>
      <w:r>
        <w:rPr>
          <w:color w:val="1F2937"/>
          <w:spacing w:val="4"/>
          <w:lang w:eastAsia="zh-TW"/>
        </w:rPr>
        <w:t>區辨仍待</w:t>
      </w:r>
      <w:proofErr w:type="gramEnd"/>
      <w:r>
        <w:rPr>
          <w:color w:val="1F2937"/>
          <w:spacing w:val="4"/>
          <w:lang w:eastAsia="zh-TW"/>
        </w:rPr>
        <w:t>案例檢驗。第三，臺灣中央與地方 AI 治理文件發布時間短，本文只能將其作為制度形成的說明性材料，不能據此評價執行成效。第四，三種</w:t>
      </w:r>
      <w:r>
        <w:rPr>
          <w:color w:val="1F2937"/>
          <w:spacing w:val="4"/>
          <w:lang w:eastAsia="zh-TW"/>
        </w:rPr>
        <w:lastRenderedPageBreak/>
        <w:t>情境是理想型共變</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pStyle w:val="a3"/>
        <w:spacing w:before="9" w:line="338" w:lineRule="auto"/>
        <w:ind w:left="22" w:right="297" w:firstLine="0"/>
        <w:jc w:val="left"/>
        <w:rPr>
          <w:lang w:eastAsia="zh-TW"/>
        </w:rPr>
      </w:pPr>
      <w:r>
        <w:rPr>
          <w:color w:val="1F2937"/>
          <w:spacing w:val="-2"/>
          <w:lang w:eastAsia="zh-TW"/>
        </w:rPr>
        <w:lastRenderedPageBreak/>
        <w:t>位置，非典型組合及解釋力臨界的經驗適用性，仍須以縱貫與跨政策領域案例進行壓</w:t>
      </w:r>
      <w:r>
        <w:rPr>
          <w:color w:val="1F2937"/>
          <w:spacing w:val="-4"/>
          <w:lang w:eastAsia="zh-TW"/>
        </w:rPr>
        <w:t>力測試。</w:t>
      </w:r>
    </w:p>
    <w:p w:rsidR="002C50A5" w:rsidRDefault="00A447DA">
      <w:pPr>
        <w:pStyle w:val="2"/>
        <w:numPr>
          <w:ilvl w:val="1"/>
          <w:numId w:val="9"/>
        </w:numPr>
        <w:tabs>
          <w:tab w:val="left" w:pos="522"/>
        </w:tabs>
        <w:ind w:left="522" w:hanging="499"/>
      </w:pPr>
      <w:bookmarkStart w:id="33" w:name="三、未來研究方向"/>
      <w:bookmarkEnd w:id="33"/>
      <w:proofErr w:type="spellStart"/>
      <w:r>
        <w:rPr>
          <w:color w:val="1F2937"/>
          <w:spacing w:val="-5"/>
        </w:rPr>
        <w:t>未來研究方向</w:t>
      </w:r>
      <w:proofErr w:type="spellEnd"/>
    </w:p>
    <w:p w:rsidR="002C50A5" w:rsidRDefault="00A447DA">
      <w:pPr>
        <w:pStyle w:val="a3"/>
        <w:spacing w:line="338" w:lineRule="auto"/>
        <w:ind w:left="22" w:right="297"/>
        <w:rPr>
          <w:lang w:eastAsia="zh-TW"/>
        </w:rPr>
      </w:pPr>
      <w:r>
        <w:rPr>
          <w:color w:val="1F2937"/>
          <w:lang w:eastAsia="zh-TW"/>
        </w:rPr>
        <w:t xml:space="preserve">未來研究可選取具有多元行動者、技術供應鏈及法律效果的 </w:t>
      </w:r>
      <w:r>
        <w:rPr>
          <w:rFonts w:ascii="Times New Roman" w:eastAsia="Times New Roman"/>
          <w:color w:val="1F2937"/>
          <w:lang w:eastAsia="zh-TW"/>
        </w:rPr>
        <w:t xml:space="preserve">AI </w:t>
      </w:r>
      <w:r>
        <w:rPr>
          <w:color w:val="1F2937"/>
          <w:lang w:eastAsia="zh-TW"/>
        </w:rPr>
        <w:t>治理案例，依二十</w:t>
      </w:r>
      <w:r>
        <w:rPr>
          <w:color w:val="1F2937"/>
          <w:spacing w:val="-2"/>
          <w:lang w:eastAsia="zh-TW"/>
        </w:rPr>
        <w:t>五治理座標</w:t>
      </w:r>
      <w:proofErr w:type="gramStart"/>
      <w:r>
        <w:rPr>
          <w:color w:val="1F2937"/>
          <w:spacing w:val="-2"/>
          <w:lang w:eastAsia="zh-TW"/>
        </w:rPr>
        <w:t>追蹤跨格路徑</w:t>
      </w:r>
      <w:proofErr w:type="gramEnd"/>
      <w:r>
        <w:rPr>
          <w:color w:val="1F2937"/>
          <w:spacing w:val="-2"/>
          <w:lang w:eastAsia="zh-TW"/>
        </w:rPr>
        <w:t>，再分別檢查理由鏈、責任鏈與權威鏈。案例在此是壓力測試工具，而不是為既定結論提供例證。只有當既有理論在不同案例中經調適後仍反覆無法定位實質決定者、理由與責任，才有基礎討論公共行政典範重構的方向。</w:t>
      </w:r>
    </w:p>
    <w:p w:rsidR="002C50A5" w:rsidRDefault="002C50A5">
      <w:pPr>
        <w:pStyle w:val="a3"/>
        <w:spacing w:line="338" w:lineRule="auto"/>
        <w:rPr>
          <w:lang w:eastAsia="zh-TW"/>
        </w:rPr>
        <w:sectPr w:rsidR="002C50A5">
          <w:pgSz w:w="11906" w:h="16838"/>
          <w:pgMar w:top="1247" w:right="1417" w:bottom="1247" w:left="1417" w:header="0" w:footer="730" w:gutter="0"/>
          <w:cols w:space="720"/>
        </w:sectPr>
      </w:pPr>
    </w:p>
    <w:p w:rsidR="002C50A5" w:rsidRDefault="00A447DA">
      <w:pPr>
        <w:pStyle w:val="1"/>
        <w:ind w:left="23" w:firstLine="0"/>
        <w:rPr>
          <w:lang w:eastAsia="zh-TW"/>
        </w:rPr>
      </w:pPr>
      <w:bookmarkStart w:id="34" w:name="參考文獻"/>
      <w:bookmarkEnd w:id="34"/>
      <w:r>
        <w:rPr>
          <w:color w:val="1F4E78"/>
          <w:spacing w:val="-3"/>
          <w:lang w:eastAsia="zh-TW"/>
        </w:rPr>
        <w:lastRenderedPageBreak/>
        <w:t>參考文獻</w:t>
      </w:r>
    </w:p>
    <w:p w:rsidR="002C50A5" w:rsidRDefault="00A447DA">
      <w:pPr>
        <w:pStyle w:val="2"/>
        <w:spacing w:before="394"/>
        <w:ind w:left="23" w:firstLine="0"/>
        <w:rPr>
          <w:lang w:eastAsia="zh-TW"/>
        </w:rPr>
      </w:pPr>
      <w:bookmarkStart w:id="35" w:name="中文文獻"/>
      <w:bookmarkEnd w:id="35"/>
      <w:r>
        <w:rPr>
          <w:color w:val="1F2937"/>
          <w:spacing w:val="-6"/>
          <w:lang w:eastAsia="zh-TW"/>
        </w:rPr>
        <w:t>中文文獻</w:t>
      </w:r>
    </w:p>
    <w:p w:rsidR="002C50A5" w:rsidRDefault="00A447DA">
      <w:pPr>
        <w:spacing w:before="309" w:line="374" w:lineRule="exact"/>
        <w:ind w:left="23"/>
        <w:rPr>
          <w:sz w:val="21"/>
          <w:lang w:eastAsia="zh-TW"/>
        </w:rPr>
      </w:pPr>
      <w:r>
        <w:rPr>
          <w:color w:val="1F2937"/>
          <w:sz w:val="21"/>
          <w:lang w:eastAsia="zh-TW"/>
        </w:rPr>
        <w:t>丁玉珍、林子倫（</w:t>
      </w:r>
      <w:r>
        <w:rPr>
          <w:rFonts w:ascii="Times New Roman" w:eastAsia="Times New Roman"/>
          <w:color w:val="1F2937"/>
          <w:sz w:val="21"/>
          <w:lang w:eastAsia="zh-TW"/>
        </w:rPr>
        <w:t>2020</w:t>
      </w:r>
      <w:r>
        <w:rPr>
          <w:color w:val="1F2937"/>
          <w:sz w:val="21"/>
          <w:lang w:eastAsia="zh-TW"/>
        </w:rPr>
        <w:t>）</w:t>
      </w:r>
      <w:r>
        <w:rPr>
          <w:color w:val="1F2937"/>
          <w:spacing w:val="-1"/>
          <w:sz w:val="21"/>
          <w:lang w:eastAsia="zh-TW"/>
        </w:rPr>
        <w:t>。人工智慧提升政府公共治理的應用潛力探討。《檔案半年刊》，</w:t>
      </w:r>
      <w:r>
        <w:rPr>
          <w:rFonts w:ascii="Times New Roman" w:eastAsia="Times New Roman"/>
          <w:color w:val="1F2937"/>
          <w:spacing w:val="-2"/>
          <w:sz w:val="21"/>
          <w:lang w:eastAsia="zh-TW"/>
        </w:rPr>
        <w:t>19(2)</w:t>
      </w:r>
      <w:r>
        <w:rPr>
          <w:color w:val="1F2937"/>
          <w:spacing w:val="-2"/>
          <w:sz w:val="21"/>
          <w:lang w:eastAsia="zh-TW"/>
        </w:rPr>
        <w:t>，</w:t>
      </w:r>
    </w:p>
    <w:p w:rsidR="002C50A5" w:rsidRDefault="00A447DA">
      <w:pPr>
        <w:spacing w:line="232" w:lineRule="auto"/>
        <w:ind w:left="443" w:right="1624" w:hanging="1"/>
        <w:rPr>
          <w:rFonts w:ascii="Times New Roman" w:eastAsia="Times New Roman" w:hAnsi="Times New Roman"/>
          <w:sz w:val="21"/>
        </w:rPr>
      </w:pPr>
      <w:r>
        <w:rPr>
          <w:rFonts w:ascii="Times New Roman" w:eastAsia="Times New Roman" w:hAnsi="Times New Roman"/>
          <w:color w:val="1F2937"/>
          <w:sz w:val="21"/>
          <w:lang w:eastAsia="zh-TW"/>
        </w:rPr>
        <w:t>24</w:t>
      </w:r>
      <w:proofErr w:type="gramStart"/>
      <w:r>
        <w:rPr>
          <w:rFonts w:ascii="Times New Roman" w:eastAsia="Times New Roman" w:hAnsi="Times New Roman"/>
          <w:color w:val="1F2937"/>
          <w:sz w:val="21"/>
          <w:lang w:eastAsia="zh-TW"/>
        </w:rPr>
        <w:t>–</w:t>
      </w:r>
      <w:proofErr w:type="gramEnd"/>
      <w:r>
        <w:rPr>
          <w:rFonts w:ascii="Times New Roman" w:eastAsia="Times New Roman" w:hAnsi="Times New Roman"/>
          <w:color w:val="1F2937"/>
          <w:sz w:val="21"/>
          <w:lang w:eastAsia="zh-TW"/>
        </w:rPr>
        <w:t>41</w:t>
      </w:r>
      <w:r>
        <w:rPr>
          <w:color w:val="1F2937"/>
          <w:spacing w:val="-7"/>
          <w:sz w:val="21"/>
          <w:lang w:eastAsia="zh-TW"/>
        </w:rPr>
        <w:t xml:space="preserve">。 </w:t>
      </w:r>
      <w:hyperlink r:id="rId13">
        <w:r>
          <w:rPr>
            <w:rFonts w:ascii="Times New Roman" w:eastAsia="Times New Roman" w:hAnsi="Times New Roman"/>
            <w:color w:val="0562C1"/>
            <w:sz w:val="21"/>
            <w:u w:val="single" w:color="0562C1"/>
          </w:rPr>
          <w:t>https://www.airitilibrary.com/Article/Detail?DocID=P20190408001-202012-</w:t>
        </w:r>
      </w:hyperlink>
      <w:hyperlink r:id="rId14">
        <w:r>
          <w:rPr>
            <w:rFonts w:ascii="Times New Roman" w:eastAsia="Times New Roman" w:hAnsi="Times New Roman"/>
            <w:color w:val="0562C1"/>
            <w:spacing w:val="-2"/>
            <w:sz w:val="21"/>
            <w:u w:val="single" w:color="0562C1"/>
          </w:rPr>
          <w:t>202101140011-202101140011-24-41</w:t>
        </w:r>
      </w:hyperlink>
    </w:p>
    <w:p w:rsidR="002C50A5" w:rsidRDefault="00A447DA">
      <w:pPr>
        <w:spacing w:before="104" w:line="382" w:lineRule="exact"/>
        <w:ind w:left="23"/>
        <w:rPr>
          <w:sz w:val="21"/>
          <w:lang w:eastAsia="zh-TW"/>
        </w:rPr>
      </w:pPr>
      <w:r>
        <w:rPr>
          <w:color w:val="1F2937"/>
          <w:spacing w:val="-2"/>
          <w:sz w:val="21"/>
          <w:lang w:eastAsia="zh-TW"/>
        </w:rPr>
        <w:t>司法院（</w:t>
      </w:r>
      <w:r>
        <w:rPr>
          <w:rFonts w:ascii="Times New Roman" w:eastAsia="Times New Roman"/>
          <w:color w:val="1F2937"/>
          <w:spacing w:val="-2"/>
          <w:sz w:val="21"/>
          <w:lang w:eastAsia="zh-TW"/>
        </w:rPr>
        <w:t>1997</w:t>
      </w:r>
      <w:r>
        <w:rPr>
          <w:color w:val="1F2937"/>
          <w:spacing w:val="-2"/>
          <w:sz w:val="21"/>
          <w:lang w:eastAsia="zh-TW"/>
        </w:rPr>
        <w:t>）</w:t>
      </w:r>
      <w:r>
        <w:rPr>
          <w:color w:val="1F2937"/>
          <w:spacing w:val="-1"/>
          <w:sz w:val="21"/>
          <w:lang w:eastAsia="zh-TW"/>
        </w:rPr>
        <w:t xml:space="preserve">。司法院釋字第 </w:t>
      </w:r>
      <w:r>
        <w:rPr>
          <w:rFonts w:ascii="Times New Roman" w:eastAsia="Times New Roman"/>
          <w:color w:val="1F2937"/>
          <w:spacing w:val="-2"/>
          <w:sz w:val="21"/>
          <w:lang w:eastAsia="zh-TW"/>
        </w:rPr>
        <w:t xml:space="preserve">443 </w:t>
      </w:r>
      <w:r>
        <w:rPr>
          <w:color w:val="1F2937"/>
          <w:spacing w:val="-4"/>
          <w:sz w:val="21"/>
          <w:lang w:eastAsia="zh-TW"/>
        </w:rPr>
        <w:t>號解釋。</w:t>
      </w:r>
    </w:p>
    <w:p w:rsidR="002C50A5" w:rsidRDefault="00D83FF3">
      <w:pPr>
        <w:spacing w:line="238" w:lineRule="exact"/>
        <w:ind w:left="442"/>
        <w:rPr>
          <w:rFonts w:ascii="Times New Roman"/>
          <w:sz w:val="21"/>
        </w:rPr>
      </w:pPr>
      <w:hyperlink r:id="rId15">
        <w:r w:rsidR="00A447DA">
          <w:rPr>
            <w:rFonts w:ascii="Times New Roman"/>
            <w:color w:val="0562C1"/>
            <w:spacing w:val="-2"/>
            <w:sz w:val="21"/>
            <w:u w:val="single" w:color="0562C1"/>
          </w:rPr>
          <w:t>https://cons.judicial.gov.tw/docdata.aspx?fid=100&amp;id=310624</w:t>
        </w:r>
      </w:hyperlink>
    </w:p>
    <w:p w:rsidR="002C50A5" w:rsidRDefault="00A447DA">
      <w:pPr>
        <w:spacing w:before="122" w:line="225" w:lineRule="auto"/>
        <w:ind w:left="443" w:right="504" w:hanging="421"/>
        <w:rPr>
          <w:rFonts w:ascii="Times New Roman" w:eastAsia="Times New Roman" w:hAnsi="Times New Roman"/>
          <w:sz w:val="21"/>
        </w:rPr>
      </w:pPr>
      <w:r>
        <w:rPr>
          <w:color w:val="1F2937"/>
          <w:spacing w:val="-2"/>
          <w:sz w:val="21"/>
          <w:lang w:eastAsia="zh-TW"/>
        </w:rPr>
        <w:t>李翠萍、張竹宜、李晨綾（</w:t>
      </w:r>
      <w:r>
        <w:rPr>
          <w:rFonts w:ascii="Times New Roman" w:eastAsia="Times New Roman" w:hAnsi="Times New Roman"/>
          <w:color w:val="1F2937"/>
          <w:spacing w:val="-2"/>
          <w:sz w:val="21"/>
          <w:lang w:eastAsia="zh-TW"/>
        </w:rPr>
        <w:t>2022</w:t>
      </w:r>
      <w:r>
        <w:rPr>
          <w:color w:val="1F2937"/>
          <w:spacing w:val="-2"/>
          <w:sz w:val="21"/>
          <w:lang w:eastAsia="zh-TW"/>
        </w:rPr>
        <w:t>）。人工智慧在公共政策領域應用的非意圖歧視：系統性文獻綜</w:t>
      </w:r>
      <w:r>
        <w:rPr>
          <w:color w:val="1F2937"/>
          <w:sz w:val="21"/>
          <w:lang w:eastAsia="zh-TW"/>
        </w:rPr>
        <w:t>述。《公共行政學報》，</w:t>
      </w:r>
      <w:r>
        <w:rPr>
          <w:rFonts w:ascii="Times New Roman" w:eastAsia="Times New Roman" w:hAnsi="Times New Roman"/>
          <w:color w:val="1F2937"/>
          <w:sz w:val="21"/>
          <w:lang w:eastAsia="zh-TW"/>
        </w:rPr>
        <w:t>63</w:t>
      </w:r>
      <w:r>
        <w:rPr>
          <w:color w:val="1F2937"/>
          <w:sz w:val="21"/>
          <w:lang w:eastAsia="zh-TW"/>
        </w:rPr>
        <w:t>，</w:t>
      </w:r>
      <w:r>
        <w:rPr>
          <w:rFonts w:ascii="Times New Roman" w:eastAsia="Times New Roman" w:hAnsi="Times New Roman"/>
          <w:color w:val="1F2937"/>
          <w:sz w:val="21"/>
          <w:lang w:eastAsia="zh-TW"/>
        </w:rPr>
        <w:t>1</w:t>
      </w:r>
      <w:proofErr w:type="gramStart"/>
      <w:r>
        <w:rPr>
          <w:rFonts w:ascii="Times New Roman" w:eastAsia="Times New Roman" w:hAnsi="Times New Roman"/>
          <w:color w:val="1F2937"/>
          <w:sz w:val="21"/>
          <w:lang w:eastAsia="zh-TW"/>
        </w:rPr>
        <w:t>–</w:t>
      </w:r>
      <w:proofErr w:type="gramEnd"/>
      <w:r>
        <w:rPr>
          <w:rFonts w:ascii="Times New Roman" w:eastAsia="Times New Roman" w:hAnsi="Times New Roman"/>
          <w:color w:val="1F2937"/>
          <w:sz w:val="21"/>
          <w:lang w:eastAsia="zh-TW"/>
        </w:rPr>
        <w:t>49</w:t>
      </w:r>
      <w:r>
        <w:rPr>
          <w:color w:val="1F2937"/>
          <w:sz w:val="21"/>
          <w:lang w:eastAsia="zh-TW"/>
        </w:rPr>
        <w:t xml:space="preserve">。 </w:t>
      </w:r>
      <w:hyperlink r:id="rId16">
        <w:r>
          <w:rPr>
            <w:rFonts w:ascii="Times New Roman" w:eastAsia="Times New Roman" w:hAnsi="Times New Roman"/>
            <w:color w:val="0562C1"/>
            <w:sz w:val="21"/>
            <w:u w:val="single" w:color="0562C1"/>
          </w:rPr>
          <w:t>https://doi.org/10.30409/JPA.202209_(63).0001</w:t>
        </w:r>
      </w:hyperlink>
    </w:p>
    <w:p w:rsidR="002C50A5" w:rsidRDefault="00A447DA">
      <w:pPr>
        <w:spacing w:before="104" w:line="381" w:lineRule="exact"/>
        <w:ind w:left="23"/>
        <w:rPr>
          <w:sz w:val="21"/>
          <w:lang w:eastAsia="zh-TW"/>
        </w:rPr>
      </w:pPr>
      <w:proofErr w:type="spellStart"/>
      <w:r>
        <w:rPr>
          <w:color w:val="1F2937"/>
          <w:spacing w:val="-2"/>
          <w:sz w:val="21"/>
        </w:rPr>
        <w:t>法務部（無日期</w:t>
      </w:r>
      <w:proofErr w:type="spellEnd"/>
      <w:r>
        <w:rPr>
          <w:color w:val="1F2937"/>
          <w:spacing w:val="-2"/>
          <w:sz w:val="21"/>
        </w:rPr>
        <w:t>）</w:t>
      </w:r>
      <w:r>
        <w:rPr>
          <w:color w:val="1F2937"/>
          <w:spacing w:val="-3"/>
          <w:sz w:val="21"/>
        </w:rPr>
        <w:t>。</w:t>
      </w:r>
      <w:r>
        <w:rPr>
          <w:color w:val="1F2937"/>
          <w:spacing w:val="-3"/>
          <w:sz w:val="21"/>
          <w:lang w:eastAsia="zh-TW"/>
        </w:rPr>
        <w:t>行政程序法。全國法規資料庫。</w:t>
      </w:r>
    </w:p>
    <w:p w:rsidR="002C50A5" w:rsidRDefault="00D83FF3">
      <w:pPr>
        <w:spacing w:line="236" w:lineRule="exact"/>
        <w:ind w:left="443"/>
        <w:rPr>
          <w:rFonts w:ascii="Times New Roman"/>
          <w:sz w:val="21"/>
        </w:rPr>
      </w:pPr>
      <w:hyperlink r:id="rId17">
        <w:r w:rsidR="00A447DA">
          <w:rPr>
            <w:rFonts w:ascii="Times New Roman"/>
            <w:color w:val="0562C1"/>
            <w:spacing w:val="-2"/>
            <w:sz w:val="21"/>
            <w:u w:val="single" w:color="0562C1"/>
          </w:rPr>
          <w:t>https://law.moj.gov.tw/LawClass/LawAll.aspx?pcode=A0030055</w:t>
        </w:r>
      </w:hyperlink>
    </w:p>
    <w:p w:rsidR="002C50A5" w:rsidRDefault="00A447DA">
      <w:pPr>
        <w:spacing w:before="119" w:line="230" w:lineRule="auto"/>
        <w:ind w:left="443" w:right="398" w:hanging="420"/>
        <w:rPr>
          <w:rFonts w:ascii="Times New Roman" w:eastAsia="Times New Roman" w:hAnsi="Times New Roman"/>
          <w:sz w:val="21"/>
        </w:rPr>
      </w:pPr>
      <w:r>
        <w:rPr>
          <w:color w:val="1F2937"/>
          <w:sz w:val="21"/>
          <w:lang w:eastAsia="zh-TW"/>
        </w:rPr>
        <w:t>黃心怡、曾冠球、廖洲棚、陳敦源（</w:t>
      </w:r>
      <w:r>
        <w:rPr>
          <w:rFonts w:ascii="Times New Roman" w:eastAsia="Times New Roman" w:hAnsi="Times New Roman"/>
          <w:color w:val="1F2937"/>
          <w:sz w:val="21"/>
          <w:lang w:eastAsia="zh-TW"/>
        </w:rPr>
        <w:t>2021</w:t>
      </w:r>
      <w:r>
        <w:rPr>
          <w:color w:val="1F2937"/>
          <w:sz w:val="21"/>
          <w:lang w:eastAsia="zh-TW"/>
        </w:rPr>
        <w:t>）</w:t>
      </w:r>
      <w:r>
        <w:rPr>
          <w:color w:val="1F2937"/>
          <w:spacing w:val="-1"/>
          <w:sz w:val="21"/>
          <w:lang w:eastAsia="zh-TW"/>
        </w:rPr>
        <w:t xml:space="preserve">。當人工智慧進入政府：公共行政理論對 </w:t>
      </w:r>
      <w:r>
        <w:rPr>
          <w:rFonts w:ascii="Times New Roman" w:eastAsia="Times New Roman" w:hAnsi="Times New Roman"/>
          <w:color w:val="1F2937"/>
          <w:sz w:val="21"/>
          <w:lang w:eastAsia="zh-TW"/>
        </w:rPr>
        <w:t>AI</w:t>
      </w:r>
      <w:r>
        <w:rPr>
          <w:rFonts w:ascii="Times New Roman" w:eastAsia="Times New Roman" w:hAnsi="Times New Roman"/>
          <w:color w:val="1F2937"/>
          <w:spacing w:val="-13"/>
          <w:sz w:val="21"/>
          <w:lang w:eastAsia="zh-TW"/>
        </w:rPr>
        <w:t xml:space="preserve"> </w:t>
      </w:r>
      <w:r>
        <w:rPr>
          <w:color w:val="1F2937"/>
          <w:sz w:val="21"/>
          <w:lang w:eastAsia="zh-TW"/>
        </w:rPr>
        <w:t>運用的反</w:t>
      </w:r>
      <w:r>
        <w:rPr>
          <w:color w:val="1F2937"/>
          <w:spacing w:val="-2"/>
          <w:sz w:val="21"/>
          <w:lang w:eastAsia="zh-TW"/>
        </w:rPr>
        <w:t>思。《文官制度》，</w:t>
      </w:r>
      <w:r>
        <w:rPr>
          <w:rFonts w:ascii="Times New Roman" w:eastAsia="Times New Roman" w:hAnsi="Times New Roman"/>
          <w:color w:val="1F2937"/>
          <w:spacing w:val="-2"/>
          <w:sz w:val="21"/>
          <w:lang w:eastAsia="zh-TW"/>
        </w:rPr>
        <w:t>13(2)</w:t>
      </w:r>
      <w:r>
        <w:rPr>
          <w:color w:val="1F2937"/>
          <w:spacing w:val="-2"/>
          <w:sz w:val="21"/>
          <w:lang w:eastAsia="zh-TW"/>
        </w:rPr>
        <w:t>，</w:t>
      </w:r>
      <w:r>
        <w:rPr>
          <w:rFonts w:ascii="Times New Roman" w:eastAsia="Times New Roman" w:hAnsi="Times New Roman"/>
          <w:color w:val="1F2937"/>
          <w:spacing w:val="-2"/>
          <w:sz w:val="21"/>
          <w:lang w:eastAsia="zh-TW"/>
        </w:rPr>
        <w:t>91</w:t>
      </w:r>
      <w:proofErr w:type="gramStart"/>
      <w:r>
        <w:rPr>
          <w:rFonts w:ascii="Times New Roman" w:eastAsia="Times New Roman" w:hAnsi="Times New Roman"/>
          <w:color w:val="1F2937"/>
          <w:spacing w:val="-2"/>
          <w:sz w:val="21"/>
          <w:lang w:eastAsia="zh-TW"/>
        </w:rPr>
        <w:t>–</w:t>
      </w:r>
      <w:proofErr w:type="gramEnd"/>
      <w:r>
        <w:rPr>
          <w:rFonts w:ascii="Times New Roman" w:eastAsia="Times New Roman" w:hAnsi="Times New Roman"/>
          <w:color w:val="1F2937"/>
          <w:spacing w:val="-2"/>
          <w:sz w:val="21"/>
          <w:lang w:eastAsia="zh-TW"/>
        </w:rPr>
        <w:t>114</w:t>
      </w:r>
      <w:r>
        <w:rPr>
          <w:color w:val="1F2937"/>
          <w:spacing w:val="-2"/>
          <w:sz w:val="21"/>
          <w:lang w:eastAsia="zh-TW"/>
        </w:rPr>
        <w:t xml:space="preserve">。 </w:t>
      </w:r>
      <w:hyperlink r:id="rId18">
        <w:r>
          <w:rPr>
            <w:rFonts w:ascii="Times New Roman" w:eastAsia="Times New Roman" w:hAnsi="Times New Roman"/>
            <w:color w:val="0562C1"/>
            <w:sz w:val="21"/>
            <w:u w:val="single" w:color="0562C1"/>
          </w:rPr>
          <w:t>https://www.airitilibrary.com/Article/Detail?DocID=P20210507001-202111-202112300016-</w:t>
        </w:r>
      </w:hyperlink>
      <w:hyperlink r:id="rId19">
        <w:r>
          <w:rPr>
            <w:rFonts w:ascii="Times New Roman" w:eastAsia="Times New Roman" w:hAnsi="Times New Roman"/>
            <w:color w:val="0562C1"/>
            <w:spacing w:val="-2"/>
            <w:sz w:val="21"/>
            <w:u w:val="single" w:color="0562C1"/>
          </w:rPr>
          <w:t>202112300016-91-114</w:t>
        </w:r>
      </w:hyperlink>
    </w:p>
    <w:p w:rsidR="002C50A5" w:rsidRDefault="00A447DA">
      <w:pPr>
        <w:spacing w:before="113" w:line="375" w:lineRule="exact"/>
        <w:ind w:left="23"/>
        <w:rPr>
          <w:sz w:val="21"/>
          <w:lang w:eastAsia="zh-TW"/>
        </w:rPr>
      </w:pPr>
      <w:r>
        <w:rPr>
          <w:color w:val="1F2937"/>
          <w:spacing w:val="-2"/>
          <w:sz w:val="21"/>
          <w:lang w:eastAsia="zh-TW"/>
        </w:rPr>
        <w:t>黃心怡、陳敦源（</w:t>
      </w:r>
      <w:r>
        <w:rPr>
          <w:rFonts w:ascii="Times New Roman" w:eastAsia="Times New Roman"/>
          <w:color w:val="1F2937"/>
          <w:spacing w:val="-2"/>
          <w:sz w:val="21"/>
          <w:lang w:eastAsia="zh-TW"/>
        </w:rPr>
        <w:t>2023</w:t>
      </w:r>
      <w:r>
        <w:rPr>
          <w:color w:val="1F2937"/>
          <w:spacing w:val="-2"/>
          <w:sz w:val="21"/>
          <w:lang w:eastAsia="zh-TW"/>
        </w:rPr>
        <w:t>）</w:t>
      </w:r>
      <w:r>
        <w:rPr>
          <w:color w:val="1F2937"/>
          <w:spacing w:val="-3"/>
          <w:sz w:val="21"/>
          <w:lang w:eastAsia="zh-TW"/>
        </w:rPr>
        <w:t>。人工智慧協作下的公共行政研究：對公部門組織議題的多層次反思。</w:t>
      </w:r>
    </w:p>
    <w:p w:rsidR="002C50A5" w:rsidRDefault="00A447DA">
      <w:pPr>
        <w:spacing w:line="375" w:lineRule="exact"/>
        <w:ind w:left="443"/>
        <w:rPr>
          <w:rFonts w:ascii="Times New Roman" w:eastAsia="Times New Roman" w:hAnsi="Times New Roman"/>
          <w:sz w:val="21"/>
        </w:rPr>
      </w:pPr>
      <w:r>
        <w:rPr>
          <w:color w:val="1F2937"/>
          <w:spacing w:val="-2"/>
          <w:sz w:val="21"/>
          <w:lang w:eastAsia="zh-TW"/>
        </w:rPr>
        <w:t>《政治科學論叢》，</w:t>
      </w:r>
      <w:r>
        <w:rPr>
          <w:rFonts w:ascii="Times New Roman" w:eastAsia="Times New Roman" w:hAnsi="Times New Roman"/>
          <w:color w:val="1F2937"/>
          <w:spacing w:val="-2"/>
          <w:sz w:val="21"/>
          <w:lang w:eastAsia="zh-TW"/>
        </w:rPr>
        <w:t>96</w:t>
      </w:r>
      <w:r>
        <w:rPr>
          <w:color w:val="1F2937"/>
          <w:spacing w:val="-2"/>
          <w:sz w:val="21"/>
          <w:lang w:eastAsia="zh-TW"/>
        </w:rPr>
        <w:t>，</w:t>
      </w:r>
      <w:r>
        <w:rPr>
          <w:rFonts w:ascii="Times New Roman" w:eastAsia="Times New Roman" w:hAnsi="Times New Roman"/>
          <w:color w:val="1F2937"/>
          <w:spacing w:val="-2"/>
          <w:sz w:val="21"/>
          <w:lang w:eastAsia="zh-TW"/>
        </w:rPr>
        <w:t>139</w:t>
      </w:r>
      <w:proofErr w:type="gramStart"/>
      <w:r>
        <w:rPr>
          <w:rFonts w:ascii="Times New Roman" w:eastAsia="Times New Roman" w:hAnsi="Times New Roman"/>
          <w:color w:val="1F2937"/>
          <w:spacing w:val="-2"/>
          <w:sz w:val="21"/>
          <w:lang w:eastAsia="zh-TW"/>
        </w:rPr>
        <w:t>–</w:t>
      </w:r>
      <w:proofErr w:type="gramEnd"/>
      <w:r>
        <w:rPr>
          <w:rFonts w:ascii="Times New Roman" w:eastAsia="Times New Roman" w:hAnsi="Times New Roman"/>
          <w:color w:val="1F2937"/>
          <w:spacing w:val="-2"/>
          <w:sz w:val="21"/>
          <w:lang w:eastAsia="zh-TW"/>
        </w:rPr>
        <w:t>178</w:t>
      </w:r>
      <w:r>
        <w:rPr>
          <w:color w:val="1F2937"/>
          <w:spacing w:val="7"/>
          <w:sz w:val="21"/>
          <w:lang w:eastAsia="zh-TW"/>
        </w:rPr>
        <w:t xml:space="preserve">。 </w:t>
      </w:r>
      <w:hyperlink r:id="rId20">
        <w:r>
          <w:rPr>
            <w:rFonts w:ascii="Times New Roman" w:eastAsia="Times New Roman" w:hAnsi="Times New Roman"/>
            <w:color w:val="0562C1"/>
            <w:spacing w:val="-2"/>
            <w:sz w:val="21"/>
            <w:u w:val="single" w:color="0562C1"/>
          </w:rPr>
          <w:t>https://doi.org/10.6166/TJPS.202306_(96).0004</w:t>
        </w:r>
      </w:hyperlink>
    </w:p>
    <w:p w:rsidR="002C50A5" w:rsidRDefault="00A447DA">
      <w:pPr>
        <w:spacing w:before="99" w:line="235" w:lineRule="auto"/>
        <w:ind w:left="443" w:right="318" w:hanging="420"/>
        <w:rPr>
          <w:rFonts w:ascii="Times New Roman" w:eastAsia="Times New Roman"/>
          <w:sz w:val="21"/>
        </w:rPr>
      </w:pPr>
      <w:r>
        <w:rPr>
          <w:color w:val="1F2937"/>
          <w:spacing w:val="-2"/>
          <w:sz w:val="21"/>
        </w:rPr>
        <w:t>新北市政府（</w:t>
      </w:r>
      <w:r>
        <w:rPr>
          <w:rFonts w:ascii="Times New Roman" w:eastAsia="Times New Roman"/>
          <w:color w:val="1F2937"/>
          <w:spacing w:val="-2"/>
          <w:sz w:val="21"/>
        </w:rPr>
        <w:t>2025</w:t>
      </w:r>
      <w:r>
        <w:rPr>
          <w:color w:val="1F2937"/>
          <w:spacing w:val="-2"/>
          <w:sz w:val="21"/>
        </w:rPr>
        <w:t>）。</w:t>
      </w:r>
      <w:r>
        <w:rPr>
          <w:color w:val="1F2937"/>
          <w:spacing w:val="-2"/>
          <w:sz w:val="21"/>
          <w:lang w:eastAsia="zh-TW"/>
        </w:rPr>
        <w:t xml:space="preserve">新北市政府使用人工智慧作業指引。 </w:t>
      </w:r>
      <w:hyperlink r:id="rId21">
        <w:r>
          <w:rPr>
            <w:rFonts w:ascii="Times New Roman" w:eastAsia="Times New Roman"/>
            <w:color w:val="0562C1"/>
            <w:spacing w:val="-2"/>
            <w:sz w:val="21"/>
            <w:u w:val="single" w:color="0562C1"/>
          </w:rPr>
          <w:t>https://smartcity.ntpc.gov.tw/home.jsp?act=be4f48068b2b0031&amp;dataserno=40ff598e1046cb8458bf10</w:t>
        </w:r>
      </w:hyperlink>
      <w:r>
        <w:rPr>
          <w:rFonts w:ascii="Times New Roman" w:eastAsia="Times New Roman"/>
          <w:color w:val="0562C1"/>
          <w:spacing w:val="-2"/>
          <w:sz w:val="21"/>
        </w:rPr>
        <w:t xml:space="preserve"> </w:t>
      </w:r>
      <w:hyperlink r:id="rId22">
        <w:r>
          <w:rPr>
            <w:rFonts w:ascii="Times New Roman" w:eastAsia="Times New Roman"/>
            <w:color w:val="0562C1"/>
            <w:spacing w:val="-2"/>
            <w:sz w:val="21"/>
            <w:u w:val="single" w:color="0562C1"/>
          </w:rPr>
          <w:t>3100f56ca5&amp;id=1163650f96e90679</w:t>
        </w:r>
      </w:hyperlink>
    </w:p>
    <w:p w:rsidR="002C50A5" w:rsidRDefault="00A447DA">
      <w:pPr>
        <w:spacing w:before="110" w:line="381" w:lineRule="exact"/>
        <w:ind w:left="23"/>
        <w:rPr>
          <w:sz w:val="21"/>
        </w:rPr>
      </w:pPr>
      <w:r>
        <w:rPr>
          <w:color w:val="1F2937"/>
          <w:spacing w:val="-2"/>
          <w:sz w:val="21"/>
          <w:lang w:eastAsia="zh-TW"/>
        </w:rPr>
        <w:t>廖興中（</w:t>
      </w:r>
      <w:r>
        <w:rPr>
          <w:rFonts w:ascii="Times New Roman" w:eastAsia="Times New Roman" w:hAnsi="Times New Roman"/>
          <w:color w:val="1F2937"/>
          <w:spacing w:val="-2"/>
          <w:sz w:val="21"/>
          <w:lang w:eastAsia="zh-TW"/>
        </w:rPr>
        <w:t>2024</w:t>
      </w:r>
      <w:r>
        <w:rPr>
          <w:color w:val="1F2937"/>
          <w:spacing w:val="-2"/>
          <w:sz w:val="21"/>
          <w:lang w:eastAsia="zh-TW"/>
        </w:rPr>
        <w:t>）。人工智慧在公共行政的機會與挑戰。</w:t>
      </w:r>
      <w:r>
        <w:rPr>
          <w:color w:val="1F2937"/>
          <w:spacing w:val="-2"/>
          <w:sz w:val="21"/>
        </w:rPr>
        <w:t>《</w:t>
      </w:r>
      <w:proofErr w:type="spellStart"/>
      <w:r>
        <w:rPr>
          <w:color w:val="1F2937"/>
          <w:spacing w:val="-2"/>
          <w:sz w:val="21"/>
        </w:rPr>
        <w:t>文官制度</w:t>
      </w:r>
      <w:proofErr w:type="spellEnd"/>
      <w:r>
        <w:rPr>
          <w:color w:val="1F2937"/>
          <w:spacing w:val="-2"/>
          <w:sz w:val="21"/>
        </w:rPr>
        <w:t>》，</w:t>
      </w:r>
      <w:r>
        <w:rPr>
          <w:rFonts w:ascii="Times New Roman" w:eastAsia="Times New Roman" w:hAnsi="Times New Roman"/>
          <w:color w:val="1F2937"/>
          <w:spacing w:val="-2"/>
          <w:sz w:val="21"/>
        </w:rPr>
        <w:t>16(</w:t>
      </w:r>
      <w:proofErr w:type="gramStart"/>
      <w:r>
        <w:rPr>
          <w:rFonts w:ascii="Times New Roman" w:eastAsia="Times New Roman" w:hAnsi="Times New Roman"/>
          <w:color w:val="1F2937"/>
          <w:spacing w:val="-2"/>
          <w:sz w:val="21"/>
        </w:rPr>
        <w:t>2)</w:t>
      </w:r>
      <w:r>
        <w:rPr>
          <w:color w:val="1F2937"/>
          <w:spacing w:val="-2"/>
          <w:sz w:val="21"/>
        </w:rPr>
        <w:t>，</w:t>
      </w:r>
      <w:proofErr w:type="gramEnd"/>
      <w:r>
        <w:rPr>
          <w:rFonts w:ascii="Times New Roman" w:eastAsia="Times New Roman" w:hAnsi="Times New Roman"/>
          <w:color w:val="1F2937"/>
          <w:spacing w:val="-2"/>
          <w:sz w:val="21"/>
        </w:rPr>
        <w:t>1–19</w:t>
      </w:r>
      <w:r>
        <w:rPr>
          <w:color w:val="1F2937"/>
          <w:spacing w:val="-10"/>
          <w:sz w:val="21"/>
        </w:rPr>
        <w:t>。</w:t>
      </w:r>
    </w:p>
    <w:p w:rsidR="002C50A5" w:rsidRDefault="00D83FF3">
      <w:pPr>
        <w:spacing w:line="236" w:lineRule="exact"/>
        <w:ind w:left="443"/>
        <w:rPr>
          <w:rFonts w:ascii="Times New Roman"/>
          <w:sz w:val="21"/>
        </w:rPr>
      </w:pPr>
      <w:hyperlink r:id="rId23">
        <w:r w:rsidR="00A447DA">
          <w:rPr>
            <w:rFonts w:ascii="Times New Roman"/>
            <w:color w:val="0562C1"/>
            <w:spacing w:val="-2"/>
            <w:sz w:val="21"/>
            <w:u w:val="single" w:color="0562C1"/>
          </w:rPr>
          <w:t>https://www.exam.gov.tw/News_Content.aspx?n=620&amp;s=49468</w:t>
        </w:r>
      </w:hyperlink>
    </w:p>
    <w:p w:rsidR="002C50A5" w:rsidRDefault="00A447DA">
      <w:pPr>
        <w:spacing w:before="110"/>
        <w:ind w:left="23"/>
        <w:rPr>
          <w:rFonts w:ascii="Times New Roman" w:eastAsia="Times New Roman"/>
          <w:sz w:val="21"/>
        </w:rPr>
      </w:pPr>
      <w:r>
        <w:rPr>
          <w:color w:val="1F2937"/>
          <w:spacing w:val="-2"/>
          <w:sz w:val="21"/>
          <w:lang w:eastAsia="zh-TW"/>
        </w:rPr>
        <w:t>數位發展部（</w:t>
      </w:r>
      <w:r>
        <w:rPr>
          <w:rFonts w:ascii="Times New Roman" w:eastAsia="Times New Roman"/>
          <w:color w:val="1F2937"/>
          <w:spacing w:val="-2"/>
          <w:sz w:val="21"/>
          <w:lang w:eastAsia="zh-TW"/>
        </w:rPr>
        <w:t>2026a</w:t>
      </w:r>
      <w:r>
        <w:rPr>
          <w:color w:val="1F2937"/>
          <w:spacing w:val="-2"/>
          <w:sz w:val="21"/>
          <w:lang w:eastAsia="zh-TW"/>
        </w:rPr>
        <w:t>）。</w:t>
      </w:r>
      <w:r>
        <w:rPr>
          <w:rFonts w:ascii="Times New Roman" w:eastAsia="Times New Roman"/>
          <w:color w:val="1F2937"/>
          <w:spacing w:val="-2"/>
          <w:sz w:val="21"/>
          <w:lang w:eastAsia="zh-TW"/>
        </w:rPr>
        <w:t>AI</w:t>
      </w:r>
      <w:r>
        <w:rPr>
          <w:rFonts w:ascii="Times New Roman" w:eastAsia="Times New Roman"/>
          <w:color w:val="1F2937"/>
          <w:spacing w:val="1"/>
          <w:sz w:val="21"/>
          <w:lang w:eastAsia="zh-TW"/>
        </w:rPr>
        <w:t xml:space="preserve"> </w:t>
      </w:r>
      <w:r>
        <w:rPr>
          <w:color w:val="1F2937"/>
          <w:spacing w:val="1"/>
          <w:sz w:val="21"/>
          <w:lang w:eastAsia="zh-TW"/>
        </w:rPr>
        <w:t xml:space="preserve">應用影響評估。 </w:t>
      </w:r>
      <w:hyperlink r:id="rId24">
        <w:r>
          <w:rPr>
            <w:rFonts w:ascii="Times New Roman" w:eastAsia="Times New Roman"/>
            <w:color w:val="0562C1"/>
            <w:spacing w:val="-2"/>
            <w:sz w:val="21"/>
            <w:u w:val="single" w:color="0562C1"/>
          </w:rPr>
          <w:t>https://moda.gov.tw/major-policies/ai/governance/19246</w:t>
        </w:r>
      </w:hyperlink>
    </w:p>
    <w:p w:rsidR="002C50A5" w:rsidRDefault="00A447DA">
      <w:pPr>
        <w:spacing w:before="96"/>
        <w:ind w:left="23"/>
        <w:rPr>
          <w:rFonts w:ascii="Times New Roman" w:eastAsia="Times New Roman"/>
          <w:sz w:val="21"/>
        </w:rPr>
      </w:pPr>
      <w:r>
        <w:rPr>
          <w:color w:val="1F2937"/>
          <w:spacing w:val="-2"/>
          <w:sz w:val="21"/>
          <w:lang w:eastAsia="zh-TW"/>
        </w:rPr>
        <w:t>數位發展部（</w:t>
      </w:r>
      <w:r>
        <w:rPr>
          <w:rFonts w:ascii="Times New Roman" w:eastAsia="Times New Roman"/>
          <w:color w:val="1F2937"/>
          <w:spacing w:val="-2"/>
          <w:sz w:val="21"/>
          <w:lang w:eastAsia="zh-TW"/>
        </w:rPr>
        <w:t>2026b</w:t>
      </w:r>
      <w:r>
        <w:rPr>
          <w:color w:val="1F2937"/>
          <w:spacing w:val="-2"/>
          <w:sz w:val="21"/>
          <w:lang w:eastAsia="zh-TW"/>
        </w:rPr>
        <w:t>）。</w:t>
      </w:r>
      <w:r>
        <w:rPr>
          <w:rFonts w:ascii="Times New Roman" w:eastAsia="Times New Roman"/>
          <w:color w:val="1F2937"/>
          <w:spacing w:val="-2"/>
          <w:sz w:val="21"/>
          <w:lang w:eastAsia="zh-TW"/>
        </w:rPr>
        <w:t>AI</w:t>
      </w:r>
      <w:r>
        <w:rPr>
          <w:rFonts w:ascii="Times New Roman" w:eastAsia="Times New Roman"/>
          <w:color w:val="1F2937"/>
          <w:spacing w:val="1"/>
          <w:sz w:val="21"/>
          <w:lang w:eastAsia="zh-TW"/>
        </w:rPr>
        <w:t xml:space="preserve"> </w:t>
      </w:r>
      <w:r>
        <w:rPr>
          <w:color w:val="1F2937"/>
          <w:spacing w:val="1"/>
          <w:sz w:val="21"/>
          <w:lang w:eastAsia="zh-TW"/>
        </w:rPr>
        <w:t xml:space="preserve">風險分類框架。 </w:t>
      </w:r>
      <w:hyperlink r:id="rId25">
        <w:r>
          <w:rPr>
            <w:rFonts w:ascii="Times New Roman" w:eastAsia="Times New Roman"/>
            <w:color w:val="0562C1"/>
            <w:spacing w:val="-2"/>
            <w:sz w:val="21"/>
            <w:u w:val="single" w:color="0562C1"/>
          </w:rPr>
          <w:t>https://moda.gov.tw/major-policies/ai/governance/19244</w:t>
        </w:r>
      </w:hyperlink>
    </w:p>
    <w:p w:rsidR="002C50A5" w:rsidRDefault="00A447DA">
      <w:pPr>
        <w:spacing w:before="94" w:line="382" w:lineRule="exact"/>
        <w:ind w:left="23"/>
        <w:rPr>
          <w:sz w:val="21"/>
          <w:lang w:eastAsia="zh-TW"/>
        </w:rPr>
      </w:pPr>
      <w:r>
        <w:rPr>
          <w:lang w:eastAsia="zh-TW"/>
        </w:rPr>
        <w:t>盧建旭（1996a）。公共行政學的文獻回顧架構。《空大行政學報》，5，177</w:t>
      </w:r>
      <w:proofErr w:type="gramStart"/>
      <w:r>
        <w:rPr>
          <w:lang w:eastAsia="zh-TW"/>
        </w:rPr>
        <w:t>–</w:t>
      </w:r>
      <w:proofErr w:type="gramEnd"/>
      <w:r>
        <w:rPr>
          <w:lang w:eastAsia="zh-TW"/>
        </w:rPr>
        <w:t>210。</w:t>
      </w:r>
    </w:p>
    <w:p w:rsidR="002C50A5" w:rsidRDefault="00D83FF3">
      <w:pPr>
        <w:spacing w:line="238" w:lineRule="exact"/>
        <w:ind w:left="443"/>
        <w:rPr>
          <w:rFonts w:ascii="Times New Roman"/>
          <w:sz w:val="21"/>
        </w:rPr>
      </w:pPr>
      <w:hyperlink r:id="rId26">
        <w:r w:rsidR="00A447DA">
          <w:rPr>
            <w:rFonts w:ascii="Times New Roman"/>
            <w:color w:val="0562C1"/>
            <w:spacing w:val="-2"/>
            <w:sz w:val="21"/>
            <w:u w:val="single" w:color="0562C1"/>
          </w:rPr>
          <w:t>https://www2.nou.edu.tw/pa/docdetail.aspx?docid=15797&amp;pid=3444&amp;uid=4675</w:t>
        </w:r>
      </w:hyperlink>
    </w:p>
    <w:p w:rsidR="002C50A5" w:rsidRDefault="00A447DA">
      <w:r>
        <w:rPr>
          <w:lang w:eastAsia="zh-TW"/>
        </w:rPr>
        <w:t>盧建旭（2026）。重新概念化人工智慧治理：公共行政理論視角下的二十五治理座標、三種行政權力功能性移轉、三項結構效應、四條治理鏈與七項治理審計。</w:t>
      </w:r>
      <w:proofErr w:type="spellStart"/>
      <w:r>
        <w:t>個人學術網站研究稿</w:t>
      </w:r>
      <w:proofErr w:type="spellEnd"/>
      <w:r>
        <w:t>。</w:t>
      </w:r>
    </w:p>
    <w:p w:rsidR="002C50A5" w:rsidRDefault="00A447DA">
      <w:pPr>
        <w:pStyle w:val="2"/>
        <w:spacing w:before="165"/>
        <w:ind w:left="23" w:firstLine="0"/>
      </w:pPr>
      <w:bookmarkStart w:id="36" w:name="英文文獻"/>
      <w:bookmarkEnd w:id="36"/>
      <w:proofErr w:type="spellStart"/>
      <w:r>
        <w:rPr>
          <w:color w:val="1F2937"/>
          <w:spacing w:val="-6"/>
        </w:rPr>
        <w:t>英文文獻</w:t>
      </w:r>
      <w:proofErr w:type="spellEnd"/>
    </w:p>
    <w:p w:rsidR="002C50A5" w:rsidRDefault="00A447DA">
      <w:pPr>
        <w:spacing w:before="322"/>
        <w:ind w:left="443" w:right="527" w:hanging="421"/>
        <w:rPr>
          <w:rFonts w:ascii="Times New Roman" w:hAnsi="Times New Roman"/>
          <w:sz w:val="21"/>
        </w:rPr>
      </w:pPr>
      <w:proofErr w:type="spellStart"/>
      <w:r>
        <w:rPr>
          <w:rFonts w:ascii="Times New Roman" w:hAnsi="Times New Roman"/>
          <w:color w:val="1F2937"/>
          <w:sz w:val="21"/>
        </w:rPr>
        <w:t>Boin</w:t>
      </w:r>
      <w:proofErr w:type="spellEnd"/>
      <w:r>
        <w:rPr>
          <w:rFonts w:ascii="Times New Roman" w:hAnsi="Times New Roman"/>
          <w:color w:val="1F2937"/>
          <w:sz w:val="21"/>
        </w:rPr>
        <w:t>,</w:t>
      </w:r>
      <w:r>
        <w:rPr>
          <w:rFonts w:ascii="Times New Roman" w:hAnsi="Times New Roman"/>
          <w:color w:val="1F2937"/>
          <w:spacing w:val="-4"/>
          <w:sz w:val="21"/>
        </w:rPr>
        <w:t xml:space="preserve"> </w:t>
      </w:r>
      <w:r>
        <w:rPr>
          <w:rFonts w:ascii="Times New Roman" w:hAnsi="Times New Roman"/>
          <w:color w:val="1F2937"/>
          <w:sz w:val="21"/>
        </w:rPr>
        <w:t>A.,</w:t>
      </w:r>
      <w:r>
        <w:rPr>
          <w:rFonts w:ascii="Times New Roman" w:hAnsi="Times New Roman"/>
          <w:color w:val="1F2937"/>
          <w:spacing w:val="-1"/>
          <w:sz w:val="21"/>
        </w:rPr>
        <w:t xml:space="preserve"> </w:t>
      </w:r>
      <w:r>
        <w:rPr>
          <w:rFonts w:ascii="Times New Roman" w:hAnsi="Times New Roman"/>
          <w:color w:val="1F2937"/>
          <w:sz w:val="21"/>
        </w:rPr>
        <w:t>&amp;</w:t>
      </w:r>
      <w:r>
        <w:rPr>
          <w:rFonts w:ascii="Times New Roman" w:hAnsi="Times New Roman"/>
          <w:color w:val="1F2937"/>
          <w:spacing w:val="-2"/>
          <w:sz w:val="21"/>
        </w:rPr>
        <w:t xml:space="preserve"> </w:t>
      </w:r>
      <w:r>
        <w:rPr>
          <w:rFonts w:ascii="Times New Roman" w:hAnsi="Times New Roman"/>
          <w:color w:val="1F2937"/>
          <w:sz w:val="21"/>
        </w:rPr>
        <w:t>van</w:t>
      </w:r>
      <w:r>
        <w:rPr>
          <w:rFonts w:ascii="Times New Roman" w:hAnsi="Times New Roman"/>
          <w:color w:val="1F2937"/>
          <w:spacing w:val="-4"/>
          <w:sz w:val="21"/>
        </w:rPr>
        <w:t xml:space="preserve"> </w:t>
      </w:r>
      <w:proofErr w:type="spellStart"/>
      <w:r>
        <w:rPr>
          <w:rFonts w:ascii="Times New Roman" w:hAnsi="Times New Roman"/>
          <w:color w:val="1F2937"/>
          <w:sz w:val="21"/>
        </w:rPr>
        <w:t>Eeten</w:t>
      </w:r>
      <w:proofErr w:type="spellEnd"/>
      <w:r>
        <w:rPr>
          <w:rFonts w:ascii="Times New Roman" w:hAnsi="Times New Roman"/>
          <w:color w:val="1F2937"/>
          <w:sz w:val="21"/>
        </w:rPr>
        <w:t>,</w:t>
      </w:r>
      <w:r>
        <w:rPr>
          <w:rFonts w:ascii="Times New Roman" w:hAnsi="Times New Roman"/>
          <w:color w:val="1F2937"/>
          <w:spacing w:val="-1"/>
          <w:sz w:val="21"/>
        </w:rPr>
        <w:t xml:space="preserve"> </w:t>
      </w:r>
      <w:r>
        <w:rPr>
          <w:rFonts w:ascii="Times New Roman" w:hAnsi="Times New Roman"/>
          <w:color w:val="1F2937"/>
          <w:sz w:val="21"/>
        </w:rPr>
        <w:t>M.</w:t>
      </w:r>
      <w:r>
        <w:rPr>
          <w:rFonts w:ascii="Times New Roman" w:hAnsi="Times New Roman"/>
          <w:color w:val="1F2937"/>
          <w:spacing w:val="-6"/>
          <w:sz w:val="21"/>
        </w:rPr>
        <w:t xml:space="preserve"> </w:t>
      </w:r>
      <w:r>
        <w:rPr>
          <w:rFonts w:ascii="Times New Roman" w:hAnsi="Times New Roman"/>
          <w:color w:val="1F2937"/>
          <w:sz w:val="21"/>
        </w:rPr>
        <w:t>J.</w:t>
      </w:r>
      <w:r>
        <w:rPr>
          <w:rFonts w:ascii="Times New Roman" w:hAnsi="Times New Roman"/>
          <w:color w:val="1F2937"/>
          <w:spacing w:val="-4"/>
          <w:sz w:val="21"/>
        </w:rPr>
        <w:t xml:space="preserve"> </w:t>
      </w:r>
      <w:r>
        <w:rPr>
          <w:rFonts w:ascii="Times New Roman" w:hAnsi="Times New Roman"/>
          <w:color w:val="1F2937"/>
          <w:sz w:val="21"/>
        </w:rPr>
        <w:t>G.</w:t>
      </w:r>
      <w:r>
        <w:rPr>
          <w:rFonts w:ascii="Times New Roman" w:hAnsi="Times New Roman"/>
          <w:color w:val="1F2937"/>
          <w:spacing w:val="-1"/>
          <w:sz w:val="21"/>
        </w:rPr>
        <w:t xml:space="preserve"> </w:t>
      </w:r>
      <w:r>
        <w:rPr>
          <w:rFonts w:ascii="Times New Roman" w:hAnsi="Times New Roman"/>
          <w:color w:val="1F2937"/>
          <w:sz w:val="21"/>
        </w:rPr>
        <w:t>(2013).</w:t>
      </w:r>
      <w:r>
        <w:rPr>
          <w:rFonts w:ascii="Times New Roman" w:hAnsi="Times New Roman"/>
          <w:color w:val="1F2937"/>
          <w:spacing w:val="-4"/>
          <w:sz w:val="21"/>
        </w:rPr>
        <w:t xml:space="preserve"> </w:t>
      </w:r>
      <w:r>
        <w:rPr>
          <w:rFonts w:ascii="Times New Roman" w:hAnsi="Times New Roman"/>
          <w:color w:val="1F2937"/>
          <w:sz w:val="21"/>
        </w:rPr>
        <w:t>The</w:t>
      </w:r>
      <w:r>
        <w:rPr>
          <w:rFonts w:ascii="Times New Roman" w:hAnsi="Times New Roman"/>
          <w:color w:val="1F2937"/>
          <w:spacing w:val="-1"/>
          <w:sz w:val="21"/>
        </w:rPr>
        <w:t xml:space="preserve"> </w:t>
      </w:r>
      <w:r>
        <w:rPr>
          <w:rFonts w:ascii="Times New Roman" w:hAnsi="Times New Roman"/>
          <w:color w:val="1F2937"/>
          <w:sz w:val="21"/>
        </w:rPr>
        <w:t>resilient</w:t>
      </w:r>
      <w:r>
        <w:rPr>
          <w:rFonts w:ascii="Times New Roman" w:hAnsi="Times New Roman"/>
          <w:color w:val="1F2937"/>
          <w:spacing w:val="-2"/>
          <w:sz w:val="21"/>
        </w:rPr>
        <w:t xml:space="preserve"> </w:t>
      </w:r>
      <w:r>
        <w:rPr>
          <w:rFonts w:ascii="Times New Roman" w:hAnsi="Times New Roman"/>
          <w:color w:val="1F2937"/>
          <w:sz w:val="21"/>
        </w:rPr>
        <w:t>organization:</w:t>
      </w:r>
      <w:r>
        <w:rPr>
          <w:rFonts w:ascii="Times New Roman" w:hAnsi="Times New Roman"/>
          <w:color w:val="1F2937"/>
          <w:spacing w:val="-2"/>
          <w:sz w:val="21"/>
        </w:rPr>
        <w:t xml:space="preserve"> </w:t>
      </w:r>
      <w:r>
        <w:rPr>
          <w:rFonts w:ascii="Times New Roman" w:hAnsi="Times New Roman"/>
          <w:color w:val="1F2937"/>
          <w:sz w:val="21"/>
        </w:rPr>
        <w:t>A critical</w:t>
      </w:r>
      <w:r>
        <w:rPr>
          <w:rFonts w:ascii="Times New Roman" w:hAnsi="Times New Roman"/>
          <w:color w:val="1F2937"/>
          <w:spacing w:val="-2"/>
          <w:sz w:val="21"/>
        </w:rPr>
        <w:t xml:space="preserve"> </w:t>
      </w:r>
      <w:r>
        <w:rPr>
          <w:rFonts w:ascii="Times New Roman" w:hAnsi="Times New Roman"/>
          <w:color w:val="1F2937"/>
          <w:sz w:val="21"/>
        </w:rPr>
        <w:t>appraisal.</w:t>
      </w:r>
      <w:r>
        <w:rPr>
          <w:rFonts w:ascii="Times New Roman" w:hAnsi="Times New Roman"/>
          <w:color w:val="1F2937"/>
          <w:spacing w:val="-1"/>
          <w:sz w:val="21"/>
        </w:rPr>
        <w:t xml:space="preserve"> </w:t>
      </w:r>
      <w:r>
        <w:rPr>
          <w:rFonts w:ascii="Times New Roman" w:hAnsi="Times New Roman"/>
          <w:color w:val="1F2937"/>
          <w:sz w:val="21"/>
        </w:rPr>
        <w:t xml:space="preserve">Public Management Review, 15(3), 429–445. </w:t>
      </w:r>
      <w:hyperlink r:id="rId27">
        <w:r>
          <w:rPr>
            <w:rFonts w:ascii="Times New Roman" w:hAnsi="Times New Roman"/>
            <w:color w:val="0562C1"/>
            <w:sz w:val="21"/>
            <w:u w:val="single" w:color="0562C1"/>
          </w:rPr>
          <w:t>https://doi.org/10.1080/14719037.2013.769856</w:t>
        </w:r>
      </w:hyperlink>
    </w:p>
    <w:p w:rsidR="002C50A5" w:rsidRDefault="00A447DA">
      <w:pPr>
        <w:spacing w:before="119"/>
        <w:ind w:left="443" w:right="527" w:hanging="421"/>
        <w:rPr>
          <w:rFonts w:ascii="Times New Roman" w:hAnsi="Times New Roman"/>
          <w:sz w:val="21"/>
        </w:rPr>
      </w:pPr>
      <w:proofErr w:type="spellStart"/>
      <w:r>
        <w:rPr>
          <w:rFonts w:ascii="Times New Roman" w:hAnsi="Times New Roman"/>
          <w:color w:val="1F2937"/>
          <w:sz w:val="21"/>
        </w:rPr>
        <w:t>Busuioc</w:t>
      </w:r>
      <w:proofErr w:type="spellEnd"/>
      <w:r>
        <w:rPr>
          <w:rFonts w:ascii="Times New Roman" w:hAnsi="Times New Roman"/>
          <w:color w:val="1F2937"/>
          <w:sz w:val="21"/>
        </w:rPr>
        <w:t>,</w:t>
      </w:r>
      <w:r>
        <w:rPr>
          <w:rFonts w:ascii="Times New Roman" w:hAnsi="Times New Roman"/>
          <w:color w:val="1F2937"/>
          <w:spacing w:val="-5"/>
          <w:sz w:val="21"/>
        </w:rPr>
        <w:t xml:space="preserve"> </w:t>
      </w:r>
      <w:r>
        <w:rPr>
          <w:rFonts w:ascii="Times New Roman" w:hAnsi="Times New Roman"/>
          <w:color w:val="1F2937"/>
          <w:sz w:val="21"/>
        </w:rPr>
        <w:t>M.</w:t>
      </w:r>
      <w:r>
        <w:rPr>
          <w:rFonts w:ascii="Times New Roman" w:hAnsi="Times New Roman"/>
          <w:color w:val="1F2937"/>
          <w:spacing w:val="-3"/>
          <w:sz w:val="21"/>
        </w:rPr>
        <w:t xml:space="preserve"> </w:t>
      </w:r>
      <w:r>
        <w:rPr>
          <w:rFonts w:ascii="Times New Roman" w:hAnsi="Times New Roman"/>
          <w:color w:val="1F2937"/>
          <w:sz w:val="21"/>
        </w:rPr>
        <w:t>(2021).</w:t>
      </w:r>
      <w:r>
        <w:rPr>
          <w:rFonts w:ascii="Times New Roman" w:hAnsi="Times New Roman"/>
          <w:color w:val="1F2937"/>
          <w:spacing w:val="-5"/>
          <w:sz w:val="21"/>
        </w:rPr>
        <w:t xml:space="preserve"> </w:t>
      </w:r>
      <w:r>
        <w:rPr>
          <w:rFonts w:ascii="Times New Roman" w:hAnsi="Times New Roman"/>
          <w:color w:val="1F2937"/>
          <w:sz w:val="21"/>
        </w:rPr>
        <w:t>Accountable</w:t>
      </w:r>
      <w:r>
        <w:rPr>
          <w:rFonts w:ascii="Times New Roman" w:hAnsi="Times New Roman"/>
          <w:color w:val="1F2937"/>
          <w:spacing w:val="-3"/>
          <w:sz w:val="21"/>
        </w:rPr>
        <w:t xml:space="preserve"> </w:t>
      </w:r>
      <w:r>
        <w:rPr>
          <w:rFonts w:ascii="Times New Roman" w:hAnsi="Times New Roman"/>
          <w:color w:val="1F2937"/>
          <w:sz w:val="21"/>
        </w:rPr>
        <w:t>artificial</w:t>
      </w:r>
      <w:r>
        <w:rPr>
          <w:rFonts w:ascii="Times New Roman" w:hAnsi="Times New Roman"/>
          <w:color w:val="1F2937"/>
          <w:spacing w:val="-3"/>
          <w:sz w:val="21"/>
        </w:rPr>
        <w:t xml:space="preserve"> </w:t>
      </w:r>
      <w:r>
        <w:rPr>
          <w:rFonts w:ascii="Times New Roman" w:hAnsi="Times New Roman"/>
          <w:color w:val="1F2937"/>
          <w:sz w:val="21"/>
        </w:rPr>
        <w:t>intelligence:</w:t>
      </w:r>
      <w:r>
        <w:rPr>
          <w:rFonts w:ascii="Times New Roman" w:hAnsi="Times New Roman"/>
          <w:color w:val="1F2937"/>
          <w:spacing w:val="-2"/>
          <w:sz w:val="21"/>
        </w:rPr>
        <w:t xml:space="preserve"> </w:t>
      </w:r>
      <w:r>
        <w:rPr>
          <w:rFonts w:ascii="Times New Roman" w:hAnsi="Times New Roman"/>
          <w:color w:val="1F2937"/>
          <w:sz w:val="21"/>
        </w:rPr>
        <w:t>Holding</w:t>
      </w:r>
      <w:r>
        <w:rPr>
          <w:rFonts w:ascii="Times New Roman" w:hAnsi="Times New Roman"/>
          <w:color w:val="1F2937"/>
          <w:spacing w:val="-3"/>
          <w:sz w:val="21"/>
        </w:rPr>
        <w:t xml:space="preserve"> </w:t>
      </w:r>
      <w:r>
        <w:rPr>
          <w:rFonts w:ascii="Times New Roman" w:hAnsi="Times New Roman"/>
          <w:color w:val="1F2937"/>
          <w:sz w:val="21"/>
        </w:rPr>
        <w:t>algorithms</w:t>
      </w:r>
      <w:r>
        <w:rPr>
          <w:rFonts w:ascii="Times New Roman" w:hAnsi="Times New Roman"/>
          <w:color w:val="1F2937"/>
          <w:spacing w:val="-3"/>
          <w:sz w:val="21"/>
        </w:rPr>
        <w:t xml:space="preserve"> </w:t>
      </w:r>
      <w:r>
        <w:rPr>
          <w:rFonts w:ascii="Times New Roman" w:hAnsi="Times New Roman"/>
          <w:color w:val="1F2937"/>
          <w:sz w:val="21"/>
        </w:rPr>
        <w:t>to</w:t>
      </w:r>
      <w:r>
        <w:rPr>
          <w:rFonts w:ascii="Times New Roman" w:hAnsi="Times New Roman"/>
          <w:color w:val="1F2937"/>
          <w:spacing w:val="-3"/>
          <w:sz w:val="21"/>
        </w:rPr>
        <w:t xml:space="preserve"> </w:t>
      </w:r>
      <w:r>
        <w:rPr>
          <w:rFonts w:ascii="Times New Roman" w:hAnsi="Times New Roman"/>
          <w:color w:val="1F2937"/>
          <w:sz w:val="21"/>
        </w:rPr>
        <w:t>account.</w:t>
      </w:r>
      <w:r>
        <w:rPr>
          <w:rFonts w:ascii="Times New Roman" w:hAnsi="Times New Roman"/>
          <w:color w:val="1F2937"/>
          <w:spacing w:val="-5"/>
          <w:sz w:val="21"/>
        </w:rPr>
        <w:t xml:space="preserve"> </w:t>
      </w:r>
      <w:r>
        <w:rPr>
          <w:rFonts w:ascii="Times New Roman" w:hAnsi="Times New Roman"/>
          <w:color w:val="1F2937"/>
          <w:sz w:val="21"/>
        </w:rPr>
        <w:t xml:space="preserve">Public Administration Review, 81(5), 825–836. </w:t>
      </w:r>
      <w:hyperlink r:id="rId28">
        <w:r>
          <w:rPr>
            <w:rFonts w:ascii="Times New Roman" w:hAnsi="Times New Roman"/>
            <w:color w:val="0562C1"/>
            <w:sz w:val="21"/>
            <w:u w:val="single" w:color="0562C1"/>
          </w:rPr>
          <w:t>https://doi.org/10.1111/puar.13293</w:t>
        </w:r>
      </w:hyperlink>
    </w:p>
    <w:p w:rsidR="002C50A5" w:rsidRDefault="00A447DA">
      <w:pPr>
        <w:spacing w:before="122"/>
        <w:ind w:left="443" w:right="527" w:hanging="421"/>
        <w:rPr>
          <w:rFonts w:ascii="Times New Roman" w:hAnsi="Times New Roman"/>
          <w:sz w:val="21"/>
        </w:rPr>
      </w:pPr>
      <w:r>
        <w:rPr>
          <w:rFonts w:ascii="Times New Roman" w:hAnsi="Times New Roman"/>
          <w:color w:val="1F2937"/>
          <w:sz w:val="21"/>
        </w:rPr>
        <w:lastRenderedPageBreak/>
        <w:t>Cobbe,</w:t>
      </w:r>
      <w:r>
        <w:rPr>
          <w:rFonts w:ascii="Times New Roman" w:hAnsi="Times New Roman"/>
          <w:color w:val="1F2937"/>
          <w:spacing w:val="-4"/>
          <w:sz w:val="21"/>
        </w:rPr>
        <w:t xml:space="preserve"> </w:t>
      </w:r>
      <w:r>
        <w:rPr>
          <w:rFonts w:ascii="Times New Roman" w:hAnsi="Times New Roman"/>
          <w:color w:val="1F2937"/>
          <w:sz w:val="21"/>
        </w:rPr>
        <w:t>J.,</w:t>
      </w:r>
      <w:r>
        <w:rPr>
          <w:rFonts w:ascii="Times New Roman" w:hAnsi="Times New Roman"/>
          <w:color w:val="1F2937"/>
          <w:spacing w:val="-1"/>
          <w:sz w:val="21"/>
        </w:rPr>
        <w:t xml:space="preserve"> </w:t>
      </w:r>
      <w:r>
        <w:rPr>
          <w:rFonts w:ascii="Times New Roman" w:hAnsi="Times New Roman"/>
          <w:color w:val="1F2937"/>
          <w:sz w:val="21"/>
        </w:rPr>
        <w:t>Lee,</w:t>
      </w:r>
      <w:r>
        <w:rPr>
          <w:rFonts w:ascii="Times New Roman" w:hAnsi="Times New Roman"/>
          <w:color w:val="1F2937"/>
          <w:spacing w:val="-1"/>
          <w:sz w:val="21"/>
        </w:rPr>
        <w:t xml:space="preserve"> </w:t>
      </w:r>
      <w:r>
        <w:rPr>
          <w:rFonts w:ascii="Times New Roman" w:hAnsi="Times New Roman"/>
          <w:color w:val="1F2937"/>
          <w:sz w:val="21"/>
        </w:rPr>
        <w:t>M.</w:t>
      </w:r>
      <w:r>
        <w:rPr>
          <w:rFonts w:ascii="Times New Roman" w:hAnsi="Times New Roman"/>
          <w:color w:val="1F2937"/>
          <w:spacing w:val="-1"/>
          <w:sz w:val="21"/>
        </w:rPr>
        <w:t xml:space="preserve"> </w:t>
      </w:r>
      <w:r>
        <w:rPr>
          <w:rFonts w:ascii="Times New Roman" w:hAnsi="Times New Roman"/>
          <w:color w:val="1F2937"/>
          <w:sz w:val="21"/>
        </w:rPr>
        <w:t>S.</w:t>
      </w:r>
      <w:r>
        <w:rPr>
          <w:rFonts w:ascii="Times New Roman" w:hAnsi="Times New Roman"/>
          <w:color w:val="1F2937"/>
          <w:spacing w:val="-4"/>
          <w:sz w:val="21"/>
        </w:rPr>
        <w:t xml:space="preserve"> </w:t>
      </w:r>
      <w:r>
        <w:rPr>
          <w:rFonts w:ascii="Times New Roman" w:hAnsi="Times New Roman"/>
          <w:color w:val="1F2937"/>
          <w:sz w:val="21"/>
        </w:rPr>
        <w:t>A.,</w:t>
      </w:r>
      <w:r>
        <w:rPr>
          <w:rFonts w:ascii="Times New Roman" w:hAnsi="Times New Roman"/>
          <w:color w:val="1F2937"/>
          <w:spacing w:val="-1"/>
          <w:sz w:val="21"/>
        </w:rPr>
        <w:t xml:space="preserve"> </w:t>
      </w:r>
      <w:r>
        <w:rPr>
          <w:rFonts w:ascii="Times New Roman" w:hAnsi="Times New Roman"/>
          <w:color w:val="1F2937"/>
          <w:sz w:val="21"/>
        </w:rPr>
        <w:t>&amp;</w:t>
      </w:r>
      <w:r>
        <w:rPr>
          <w:rFonts w:ascii="Times New Roman" w:hAnsi="Times New Roman"/>
          <w:color w:val="1F2937"/>
          <w:spacing w:val="-5"/>
          <w:sz w:val="21"/>
        </w:rPr>
        <w:t xml:space="preserve"> </w:t>
      </w:r>
      <w:r>
        <w:rPr>
          <w:rFonts w:ascii="Times New Roman" w:hAnsi="Times New Roman"/>
          <w:color w:val="1F2937"/>
          <w:sz w:val="21"/>
        </w:rPr>
        <w:t>Singh,</w:t>
      </w:r>
      <w:r>
        <w:rPr>
          <w:rFonts w:ascii="Times New Roman" w:hAnsi="Times New Roman"/>
          <w:color w:val="1F2937"/>
          <w:spacing w:val="-4"/>
          <w:sz w:val="21"/>
        </w:rPr>
        <w:t xml:space="preserve"> </w:t>
      </w:r>
      <w:r>
        <w:rPr>
          <w:rFonts w:ascii="Times New Roman" w:hAnsi="Times New Roman"/>
          <w:color w:val="1F2937"/>
          <w:sz w:val="21"/>
        </w:rPr>
        <w:t>J.</w:t>
      </w:r>
      <w:r>
        <w:rPr>
          <w:rFonts w:ascii="Times New Roman" w:hAnsi="Times New Roman"/>
          <w:color w:val="1F2937"/>
          <w:spacing w:val="-1"/>
          <w:sz w:val="21"/>
        </w:rPr>
        <w:t xml:space="preserve"> </w:t>
      </w:r>
      <w:r>
        <w:rPr>
          <w:rFonts w:ascii="Times New Roman" w:hAnsi="Times New Roman"/>
          <w:color w:val="1F2937"/>
          <w:sz w:val="21"/>
        </w:rPr>
        <w:t>(2021).</w:t>
      </w:r>
      <w:r>
        <w:rPr>
          <w:rFonts w:ascii="Times New Roman" w:hAnsi="Times New Roman"/>
          <w:color w:val="1F2937"/>
          <w:spacing w:val="-4"/>
          <w:sz w:val="21"/>
        </w:rPr>
        <w:t xml:space="preserve"> </w:t>
      </w:r>
      <w:r>
        <w:rPr>
          <w:rFonts w:ascii="Times New Roman" w:hAnsi="Times New Roman"/>
          <w:color w:val="1F2937"/>
          <w:sz w:val="21"/>
        </w:rPr>
        <w:t>Reviewable</w:t>
      </w:r>
      <w:r>
        <w:rPr>
          <w:rFonts w:ascii="Times New Roman" w:hAnsi="Times New Roman"/>
          <w:color w:val="1F2937"/>
          <w:spacing w:val="-1"/>
          <w:sz w:val="21"/>
        </w:rPr>
        <w:t xml:space="preserve"> </w:t>
      </w:r>
      <w:r>
        <w:rPr>
          <w:rFonts w:ascii="Times New Roman" w:hAnsi="Times New Roman"/>
          <w:color w:val="1F2937"/>
          <w:sz w:val="21"/>
        </w:rPr>
        <w:t>automated</w:t>
      </w:r>
      <w:r>
        <w:rPr>
          <w:rFonts w:ascii="Times New Roman" w:hAnsi="Times New Roman"/>
          <w:color w:val="1F2937"/>
          <w:spacing w:val="-1"/>
          <w:sz w:val="21"/>
        </w:rPr>
        <w:t xml:space="preserve"> </w:t>
      </w:r>
      <w:r>
        <w:rPr>
          <w:rFonts w:ascii="Times New Roman" w:hAnsi="Times New Roman"/>
          <w:color w:val="1F2937"/>
          <w:sz w:val="21"/>
        </w:rPr>
        <w:t>decision-making:</w:t>
      </w:r>
      <w:r>
        <w:rPr>
          <w:rFonts w:ascii="Times New Roman" w:hAnsi="Times New Roman"/>
          <w:color w:val="1F2937"/>
          <w:spacing w:val="-1"/>
          <w:sz w:val="21"/>
        </w:rPr>
        <w:t xml:space="preserve"> </w:t>
      </w:r>
      <w:r>
        <w:rPr>
          <w:rFonts w:ascii="Times New Roman" w:hAnsi="Times New Roman"/>
          <w:color w:val="1F2937"/>
          <w:sz w:val="21"/>
        </w:rPr>
        <w:t>A</w:t>
      </w:r>
      <w:r>
        <w:rPr>
          <w:rFonts w:ascii="Times New Roman" w:hAnsi="Times New Roman"/>
          <w:color w:val="1F2937"/>
          <w:spacing w:val="-1"/>
          <w:sz w:val="21"/>
        </w:rPr>
        <w:t xml:space="preserve"> </w:t>
      </w:r>
      <w:r>
        <w:rPr>
          <w:rFonts w:ascii="Times New Roman" w:hAnsi="Times New Roman"/>
          <w:color w:val="1F2937"/>
          <w:sz w:val="21"/>
        </w:rPr>
        <w:t>framework</w:t>
      </w:r>
      <w:r>
        <w:rPr>
          <w:rFonts w:ascii="Times New Roman" w:hAnsi="Times New Roman"/>
          <w:color w:val="1F2937"/>
          <w:spacing w:val="-1"/>
          <w:sz w:val="21"/>
        </w:rPr>
        <w:t xml:space="preserve"> </w:t>
      </w:r>
      <w:r>
        <w:rPr>
          <w:rFonts w:ascii="Times New Roman" w:hAnsi="Times New Roman"/>
          <w:color w:val="1F2937"/>
          <w:sz w:val="21"/>
        </w:rPr>
        <w:t xml:space="preserve">for accountable algorithmic systems. Proceedings of the 2021 ACM Conference on Fairness, Accountability, and Transparency, 598–609. </w:t>
      </w:r>
      <w:hyperlink r:id="rId29">
        <w:r>
          <w:rPr>
            <w:rFonts w:ascii="Times New Roman" w:hAnsi="Times New Roman"/>
            <w:color w:val="0562C1"/>
            <w:sz w:val="21"/>
            <w:u w:val="single" w:color="0562C1"/>
          </w:rPr>
          <w:t>https://doi.org/10.1145/3442188.3445921</w:t>
        </w:r>
      </w:hyperlink>
    </w:p>
    <w:p w:rsidR="002C50A5" w:rsidRDefault="002C50A5">
      <w:pPr>
        <w:rPr>
          <w:rFonts w:ascii="Times New Roman" w:hAnsi="Times New Roman"/>
          <w:sz w:val="21"/>
        </w:rPr>
        <w:sectPr w:rsidR="002C50A5">
          <w:pgSz w:w="11906" w:h="16838"/>
          <w:pgMar w:top="1247" w:right="1417" w:bottom="1247" w:left="1417" w:header="0" w:footer="730" w:gutter="0"/>
          <w:cols w:space="720"/>
        </w:sectPr>
      </w:pPr>
    </w:p>
    <w:p w:rsidR="002C50A5" w:rsidRDefault="00A447DA">
      <w:pPr>
        <w:spacing w:before="62"/>
        <w:ind w:left="443" w:right="721" w:hanging="421"/>
        <w:rPr>
          <w:rFonts w:ascii="Times New Roman" w:hAnsi="Times New Roman"/>
          <w:sz w:val="21"/>
        </w:rPr>
      </w:pPr>
      <w:r>
        <w:rPr>
          <w:rFonts w:ascii="Times New Roman" w:hAnsi="Times New Roman"/>
          <w:color w:val="1F2937"/>
          <w:sz w:val="21"/>
        </w:rPr>
        <w:lastRenderedPageBreak/>
        <w:t>Cobbe, J., Veale, M., &amp; Singh, J. (2023). Understanding accountability in algorithmic supply chains. Proceedings</w:t>
      </w:r>
      <w:r>
        <w:rPr>
          <w:rFonts w:ascii="Times New Roman" w:hAnsi="Times New Roman"/>
          <w:color w:val="1F2937"/>
          <w:spacing w:val="-6"/>
          <w:sz w:val="21"/>
        </w:rPr>
        <w:t xml:space="preserve"> </w:t>
      </w:r>
      <w:r>
        <w:rPr>
          <w:rFonts w:ascii="Times New Roman" w:hAnsi="Times New Roman"/>
          <w:color w:val="1F2937"/>
          <w:sz w:val="21"/>
        </w:rPr>
        <w:t>of</w:t>
      </w:r>
      <w:r>
        <w:rPr>
          <w:rFonts w:ascii="Times New Roman" w:hAnsi="Times New Roman"/>
          <w:color w:val="1F2937"/>
          <w:spacing w:val="-4"/>
          <w:sz w:val="21"/>
        </w:rPr>
        <w:t xml:space="preserve"> </w:t>
      </w:r>
      <w:r>
        <w:rPr>
          <w:rFonts w:ascii="Times New Roman" w:hAnsi="Times New Roman"/>
          <w:color w:val="1F2937"/>
          <w:sz w:val="21"/>
        </w:rPr>
        <w:t>the</w:t>
      </w:r>
      <w:r>
        <w:rPr>
          <w:rFonts w:ascii="Times New Roman" w:hAnsi="Times New Roman"/>
          <w:color w:val="1F2937"/>
          <w:spacing w:val="-3"/>
          <w:sz w:val="21"/>
        </w:rPr>
        <w:t xml:space="preserve"> </w:t>
      </w:r>
      <w:r>
        <w:rPr>
          <w:rFonts w:ascii="Times New Roman" w:hAnsi="Times New Roman"/>
          <w:color w:val="1F2937"/>
          <w:sz w:val="21"/>
        </w:rPr>
        <w:t>2023</w:t>
      </w:r>
      <w:r>
        <w:rPr>
          <w:rFonts w:ascii="Times New Roman" w:hAnsi="Times New Roman"/>
          <w:color w:val="1F2937"/>
          <w:spacing w:val="-6"/>
          <w:sz w:val="21"/>
        </w:rPr>
        <w:t xml:space="preserve"> </w:t>
      </w:r>
      <w:r>
        <w:rPr>
          <w:rFonts w:ascii="Times New Roman" w:hAnsi="Times New Roman"/>
          <w:color w:val="1F2937"/>
          <w:sz w:val="21"/>
        </w:rPr>
        <w:t>ACM</w:t>
      </w:r>
      <w:r>
        <w:rPr>
          <w:rFonts w:ascii="Times New Roman" w:hAnsi="Times New Roman"/>
          <w:color w:val="1F2937"/>
          <w:spacing w:val="-4"/>
          <w:sz w:val="21"/>
        </w:rPr>
        <w:t xml:space="preserve"> </w:t>
      </w:r>
      <w:r>
        <w:rPr>
          <w:rFonts w:ascii="Times New Roman" w:hAnsi="Times New Roman"/>
          <w:color w:val="1F2937"/>
          <w:sz w:val="21"/>
        </w:rPr>
        <w:t>Conference</w:t>
      </w:r>
      <w:r>
        <w:rPr>
          <w:rFonts w:ascii="Times New Roman" w:hAnsi="Times New Roman"/>
          <w:color w:val="1F2937"/>
          <w:spacing w:val="-3"/>
          <w:sz w:val="21"/>
        </w:rPr>
        <w:t xml:space="preserve"> </w:t>
      </w:r>
      <w:r>
        <w:rPr>
          <w:rFonts w:ascii="Times New Roman" w:hAnsi="Times New Roman"/>
          <w:color w:val="1F2937"/>
          <w:sz w:val="21"/>
        </w:rPr>
        <w:t>on</w:t>
      </w:r>
      <w:r>
        <w:rPr>
          <w:rFonts w:ascii="Times New Roman" w:hAnsi="Times New Roman"/>
          <w:color w:val="1F2937"/>
          <w:spacing w:val="-3"/>
          <w:sz w:val="21"/>
        </w:rPr>
        <w:t xml:space="preserve"> </w:t>
      </w:r>
      <w:r>
        <w:rPr>
          <w:rFonts w:ascii="Times New Roman" w:hAnsi="Times New Roman"/>
          <w:color w:val="1F2937"/>
          <w:sz w:val="21"/>
        </w:rPr>
        <w:t>Fairness,</w:t>
      </w:r>
      <w:r>
        <w:rPr>
          <w:rFonts w:ascii="Times New Roman" w:hAnsi="Times New Roman"/>
          <w:color w:val="1F2937"/>
          <w:spacing w:val="-1"/>
          <w:sz w:val="21"/>
        </w:rPr>
        <w:t xml:space="preserve"> </w:t>
      </w:r>
      <w:r>
        <w:rPr>
          <w:rFonts w:ascii="Times New Roman" w:hAnsi="Times New Roman"/>
          <w:color w:val="1F2937"/>
          <w:sz w:val="21"/>
        </w:rPr>
        <w:t>Accountability,</w:t>
      </w:r>
      <w:r>
        <w:rPr>
          <w:rFonts w:ascii="Times New Roman" w:hAnsi="Times New Roman"/>
          <w:color w:val="1F2937"/>
          <w:spacing w:val="-3"/>
          <w:sz w:val="21"/>
        </w:rPr>
        <w:t xml:space="preserve"> </w:t>
      </w:r>
      <w:r>
        <w:rPr>
          <w:rFonts w:ascii="Times New Roman" w:hAnsi="Times New Roman"/>
          <w:color w:val="1F2937"/>
          <w:sz w:val="21"/>
        </w:rPr>
        <w:t>and</w:t>
      </w:r>
      <w:r>
        <w:rPr>
          <w:rFonts w:ascii="Times New Roman" w:hAnsi="Times New Roman"/>
          <w:color w:val="1F2937"/>
          <w:spacing w:val="-3"/>
          <w:sz w:val="21"/>
        </w:rPr>
        <w:t xml:space="preserve"> </w:t>
      </w:r>
      <w:r>
        <w:rPr>
          <w:rFonts w:ascii="Times New Roman" w:hAnsi="Times New Roman"/>
          <w:color w:val="1F2937"/>
          <w:sz w:val="21"/>
        </w:rPr>
        <w:t>Transparency,</w:t>
      </w:r>
      <w:r>
        <w:rPr>
          <w:rFonts w:ascii="Times New Roman" w:hAnsi="Times New Roman"/>
          <w:color w:val="1F2937"/>
          <w:spacing w:val="-3"/>
          <w:sz w:val="21"/>
        </w:rPr>
        <w:t xml:space="preserve"> </w:t>
      </w:r>
      <w:r>
        <w:rPr>
          <w:rFonts w:ascii="Times New Roman" w:hAnsi="Times New Roman"/>
          <w:color w:val="1F2937"/>
          <w:sz w:val="21"/>
        </w:rPr>
        <w:t xml:space="preserve">1186–1197. </w:t>
      </w:r>
      <w:hyperlink r:id="rId30">
        <w:r>
          <w:rPr>
            <w:rFonts w:ascii="Times New Roman" w:hAnsi="Times New Roman"/>
            <w:color w:val="0562C1"/>
            <w:sz w:val="21"/>
            <w:u w:val="single" w:color="0562C1"/>
          </w:rPr>
          <w:t>https://doi.org/10.1145/3593013.3594073</w:t>
        </w:r>
      </w:hyperlink>
    </w:p>
    <w:p w:rsidR="002C50A5" w:rsidRDefault="00A447DA">
      <w:pPr>
        <w:spacing w:before="118"/>
        <w:ind w:left="443" w:right="92" w:hanging="421"/>
        <w:rPr>
          <w:rFonts w:ascii="Times New Roman" w:hAnsi="Times New Roman"/>
          <w:sz w:val="21"/>
        </w:rPr>
      </w:pPr>
      <w:r>
        <w:rPr>
          <w:rFonts w:ascii="Times New Roman" w:hAnsi="Times New Roman"/>
          <w:color w:val="1F2937"/>
          <w:sz w:val="21"/>
        </w:rPr>
        <w:t>Cohen, W. M., &amp; Levinthal, D. A. (1990). Absorptive capacity: A new perspective on learning and innovation.</w:t>
      </w:r>
      <w:r>
        <w:rPr>
          <w:rFonts w:ascii="Times New Roman" w:hAnsi="Times New Roman"/>
          <w:color w:val="1F2937"/>
          <w:spacing w:val="-5"/>
          <w:sz w:val="21"/>
        </w:rPr>
        <w:t xml:space="preserve"> </w:t>
      </w:r>
      <w:r>
        <w:rPr>
          <w:rFonts w:ascii="Times New Roman" w:hAnsi="Times New Roman"/>
          <w:color w:val="1F2937"/>
          <w:sz w:val="21"/>
        </w:rPr>
        <w:t>Administrative</w:t>
      </w:r>
      <w:r>
        <w:rPr>
          <w:rFonts w:ascii="Times New Roman" w:hAnsi="Times New Roman"/>
          <w:color w:val="1F2937"/>
          <w:spacing w:val="-5"/>
          <w:sz w:val="21"/>
        </w:rPr>
        <w:t xml:space="preserve"> </w:t>
      </w:r>
      <w:r>
        <w:rPr>
          <w:rFonts w:ascii="Times New Roman" w:hAnsi="Times New Roman"/>
          <w:color w:val="1F2937"/>
          <w:sz w:val="21"/>
        </w:rPr>
        <w:t>Science</w:t>
      </w:r>
      <w:r>
        <w:rPr>
          <w:rFonts w:ascii="Times New Roman" w:hAnsi="Times New Roman"/>
          <w:color w:val="1F2937"/>
          <w:spacing w:val="-7"/>
          <w:sz w:val="21"/>
        </w:rPr>
        <w:t xml:space="preserve"> </w:t>
      </w:r>
      <w:r>
        <w:rPr>
          <w:rFonts w:ascii="Times New Roman" w:hAnsi="Times New Roman"/>
          <w:color w:val="1F2937"/>
          <w:sz w:val="21"/>
        </w:rPr>
        <w:t>Quarterly,</w:t>
      </w:r>
      <w:r>
        <w:rPr>
          <w:rFonts w:ascii="Times New Roman" w:hAnsi="Times New Roman"/>
          <w:color w:val="1F2937"/>
          <w:spacing w:val="-5"/>
          <w:sz w:val="21"/>
        </w:rPr>
        <w:t xml:space="preserve"> </w:t>
      </w:r>
      <w:r>
        <w:rPr>
          <w:rFonts w:ascii="Times New Roman" w:hAnsi="Times New Roman"/>
          <w:color w:val="1F2937"/>
          <w:sz w:val="21"/>
        </w:rPr>
        <w:t>35(1),</w:t>
      </w:r>
      <w:r>
        <w:rPr>
          <w:rFonts w:ascii="Times New Roman" w:hAnsi="Times New Roman"/>
          <w:color w:val="1F2937"/>
          <w:spacing w:val="-5"/>
          <w:sz w:val="21"/>
        </w:rPr>
        <w:t xml:space="preserve"> </w:t>
      </w:r>
      <w:r>
        <w:rPr>
          <w:rFonts w:ascii="Times New Roman" w:hAnsi="Times New Roman"/>
          <w:color w:val="1F2937"/>
          <w:sz w:val="21"/>
        </w:rPr>
        <w:t>128–152.</w:t>
      </w:r>
      <w:r>
        <w:rPr>
          <w:rFonts w:ascii="Times New Roman" w:hAnsi="Times New Roman"/>
          <w:color w:val="1F2937"/>
          <w:spacing w:val="-5"/>
          <w:sz w:val="21"/>
        </w:rPr>
        <w:t xml:space="preserve"> </w:t>
      </w:r>
      <w:hyperlink r:id="rId31">
        <w:r>
          <w:rPr>
            <w:rFonts w:ascii="Times New Roman" w:hAnsi="Times New Roman"/>
            <w:color w:val="0562C1"/>
            <w:sz w:val="21"/>
            <w:u w:val="single" w:color="0562C1"/>
          </w:rPr>
          <w:t>https://doi.org/10.2307/2393553</w:t>
        </w:r>
      </w:hyperlink>
    </w:p>
    <w:p w:rsidR="002C50A5" w:rsidRDefault="00A447DA">
      <w:pPr>
        <w:spacing w:before="122"/>
        <w:ind w:left="443" w:right="527" w:hanging="421"/>
        <w:rPr>
          <w:rFonts w:ascii="Times New Roman" w:hAnsi="Times New Roman"/>
          <w:sz w:val="21"/>
        </w:rPr>
      </w:pPr>
      <w:proofErr w:type="spellStart"/>
      <w:r>
        <w:rPr>
          <w:rFonts w:ascii="Times New Roman" w:hAnsi="Times New Roman"/>
          <w:color w:val="1F2937"/>
          <w:sz w:val="21"/>
        </w:rPr>
        <w:t>Criado</w:t>
      </w:r>
      <w:proofErr w:type="spellEnd"/>
      <w:r>
        <w:rPr>
          <w:rFonts w:ascii="Times New Roman" w:hAnsi="Times New Roman"/>
          <w:color w:val="1F2937"/>
          <w:sz w:val="21"/>
        </w:rPr>
        <w:t>,</w:t>
      </w:r>
      <w:r>
        <w:rPr>
          <w:rFonts w:ascii="Times New Roman" w:hAnsi="Times New Roman"/>
          <w:color w:val="1F2937"/>
          <w:spacing w:val="-5"/>
          <w:sz w:val="21"/>
        </w:rPr>
        <w:t xml:space="preserve"> </w:t>
      </w:r>
      <w:r>
        <w:rPr>
          <w:rFonts w:ascii="Times New Roman" w:hAnsi="Times New Roman"/>
          <w:color w:val="1F2937"/>
          <w:sz w:val="21"/>
        </w:rPr>
        <w:t>J.</w:t>
      </w:r>
      <w:r>
        <w:rPr>
          <w:rFonts w:ascii="Times New Roman" w:hAnsi="Times New Roman"/>
          <w:color w:val="1F2937"/>
          <w:spacing w:val="-2"/>
          <w:sz w:val="21"/>
        </w:rPr>
        <w:t xml:space="preserve"> </w:t>
      </w:r>
      <w:r>
        <w:rPr>
          <w:rFonts w:ascii="Times New Roman" w:hAnsi="Times New Roman"/>
          <w:color w:val="1F2937"/>
          <w:sz w:val="21"/>
        </w:rPr>
        <w:t>I.,</w:t>
      </w:r>
      <w:r>
        <w:rPr>
          <w:rFonts w:ascii="Times New Roman" w:hAnsi="Times New Roman"/>
          <w:color w:val="1F2937"/>
          <w:spacing w:val="-2"/>
          <w:sz w:val="21"/>
        </w:rPr>
        <w:t xml:space="preserve"> </w:t>
      </w:r>
      <w:r>
        <w:rPr>
          <w:rFonts w:ascii="Times New Roman" w:hAnsi="Times New Roman"/>
          <w:color w:val="1F2937"/>
          <w:sz w:val="21"/>
        </w:rPr>
        <w:t>Sandoval-</w:t>
      </w:r>
      <w:proofErr w:type="spellStart"/>
      <w:r>
        <w:rPr>
          <w:rFonts w:ascii="Times New Roman" w:hAnsi="Times New Roman"/>
          <w:color w:val="1F2937"/>
          <w:sz w:val="21"/>
        </w:rPr>
        <w:t>Almazán</w:t>
      </w:r>
      <w:proofErr w:type="spellEnd"/>
      <w:r>
        <w:rPr>
          <w:rFonts w:ascii="Times New Roman" w:hAnsi="Times New Roman"/>
          <w:color w:val="1F2937"/>
          <w:sz w:val="21"/>
        </w:rPr>
        <w:t>,</w:t>
      </w:r>
      <w:r>
        <w:rPr>
          <w:rFonts w:ascii="Times New Roman" w:hAnsi="Times New Roman"/>
          <w:color w:val="1F2937"/>
          <w:spacing w:val="-2"/>
          <w:sz w:val="21"/>
        </w:rPr>
        <w:t xml:space="preserve"> </w:t>
      </w:r>
      <w:r>
        <w:rPr>
          <w:rFonts w:ascii="Times New Roman" w:hAnsi="Times New Roman"/>
          <w:color w:val="1F2937"/>
          <w:sz w:val="21"/>
        </w:rPr>
        <w:t>R.,</w:t>
      </w:r>
      <w:r>
        <w:rPr>
          <w:rFonts w:ascii="Times New Roman" w:hAnsi="Times New Roman"/>
          <w:color w:val="1F2937"/>
          <w:spacing w:val="-2"/>
          <w:sz w:val="21"/>
        </w:rPr>
        <w:t xml:space="preserve"> </w:t>
      </w:r>
      <w:r>
        <w:rPr>
          <w:rFonts w:ascii="Times New Roman" w:hAnsi="Times New Roman"/>
          <w:color w:val="1F2937"/>
          <w:sz w:val="21"/>
        </w:rPr>
        <w:t>&amp;</w:t>
      </w:r>
      <w:r>
        <w:rPr>
          <w:rFonts w:ascii="Times New Roman" w:hAnsi="Times New Roman"/>
          <w:color w:val="1F2937"/>
          <w:spacing w:val="-6"/>
          <w:sz w:val="21"/>
        </w:rPr>
        <w:t xml:space="preserve"> </w:t>
      </w:r>
      <w:r>
        <w:rPr>
          <w:rFonts w:ascii="Times New Roman" w:hAnsi="Times New Roman"/>
          <w:color w:val="1F2937"/>
          <w:sz w:val="21"/>
        </w:rPr>
        <w:t>Gil-Garcia,</w:t>
      </w:r>
      <w:r>
        <w:rPr>
          <w:rFonts w:ascii="Times New Roman" w:hAnsi="Times New Roman"/>
          <w:color w:val="1F2937"/>
          <w:spacing w:val="-2"/>
          <w:sz w:val="21"/>
        </w:rPr>
        <w:t xml:space="preserve"> </w:t>
      </w:r>
      <w:r>
        <w:rPr>
          <w:rFonts w:ascii="Times New Roman" w:hAnsi="Times New Roman"/>
          <w:color w:val="1F2937"/>
          <w:sz w:val="21"/>
        </w:rPr>
        <w:t>J.</w:t>
      </w:r>
      <w:r>
        <w:rPr>
          <w:rFonts w:ascii="Times New Roman" w:hAnsi="Times New Roman"/>
          <w:color w:val="1F2937"/>
          <w:spacing w:val="-5"/>
          <w:sz w:val="21"/>
        </w:rPr>
        <w:t xml:space="preserve"> </w:t>
      </w:r>
      <w:r>
        <w:rPr>
          <w:rFonts w:ascii="Times New Roman" w:hAnsi="Times New Roman"/>
          <w:color w:val="1F2937"/>
          <w:sz w:val="21"/>
        </w:rPr>
        <w:t>R.</w:t>
      </w:r>
      <w:r>
        <w:rPr>
          <w:rFonts w:ascii="Times New Roman" w:hAnsi="Times New Roman"/>
          <w:color w:val="1F2937"/>
          <w:spacing w:val="-2"/>
          <w:sz w:val="21"/>
        </w:rPr>
        <w:t xml:space="preserve"> </w:t>
      </w:r>
      <w:r>
        <w:rPr>
          <w:rFonts w:ascii="Times New Roman" w:hAnsi="Times New Roman"/>
          <w:color w:val="1F2937"/>
          <w:sz w:val="21"/>
        </w:rPr>
        <w:t>(2025).</w:t>
      </w:r>
      <w:r>
        <w:rPr>
          <w:rFonts w:ascii="Times New Roman" w:hAnsi="Times New Roman"/>
          <w:color w:val="1F2937"/>
          <w:spacing w:val="-5"/>
          <w:sz w:val="21"/>
        </w:rPr>
        <w:t xml:space="preserve"> </w:t>
      </w:r>
      <w:r>
        <w:rPr>
          <w:rFonts w:ascii="Times New Roman" w:hAnsi="Times New Roman"/>
          <w:color w:val="1F2937"/>
          <w:sz w:val="21"/>
        </w:rPr>
        <w:t>Artificial</w:t>
      </w:r>
      <w:r>
        <w:rPr>
          <w:rFonts w:ascii="Times New Roman" w:hAnsi="Times New Roman"/>
          <w:color w:val="1F2937"/>
          <w:spacing w:val="-3"/>
          <w:sz w:val="21"/>
        </w:rPr>
        <w:t xml:space="preserve"> </w:t>
      </w:r>
      <w:r>
        <w:rPr>
          <w:rFonts w:ascii="Times New Roman" w:hAnsi="Times New Roman"/>
          <w:color w:val="1F2937"/>
          <w:sz w:val="21"/>
        </w:rPr>
        <w:t>intelligence</w:t>
      </w:r>
      <w:r>
        <w:rPr>
          <w:rFonts w:ascii="Times New Roman" w:hAnsi="Times New Roman"/>
          <w:color w:val="1F2937"/>
          <w:spacing w:val="-2"/>
          <w:sz w:val="21"/>
        </w:rPr>
        <w:t xml:space="preserve"> </w:t>
      </w:r>
      <w:r>
        <w:rPr>
          <w:rFonts w:ascii="Times New Roman" w:hAnsi="Times New Roman"/>
          <w:color w:val="1F2937"/>
          <w:sz w:val="21"/>
        </w:rPr>
        <w:t>and</w:t>
      </w:r>
      <w:r>
        <w:rPr>
          <w:rFonts w:ascii="Times New Roman" w:hAnsi="Times New Roman"/>
          <w:color w:val="1F2937"/>
          <w:spacing w:val="-2"/>
          <w:sz w:val="21"/>
        </w:rPr>
        <w:t xml:space="preserve"> </w:t>
      </w:r>
      <w:r>
        <w:rPr>
          <w:rFonts w:ascii="Times New Roman" w:hAnsi="Times New Roman"/>
          <w:color w:val="1F2937"/>
          <w:sz w:val="21"/>
        </w:rPr>
        <w:t>public administration:</w:t>
      </w:r>
      <w:r>
        <w:rPr>
          <w:rFonts w:ascii="Times New Roman" w:hAnsi="Times New Roman"/>
          <w:color w:val="1F2937"/>
          <w:spacing w:val="-1"/>
          <w:sz w:val="21"/>
        </w:rPr>
        <w:t xml:space="preserve"> </w:t>
      </w:r>
      <w:r>
        <w:rPr>
          <w:rFonts w:ascii="Times New Roman" w:hAnsi="Times New Roman"/>
          <w:color w:val="1F2937"/>
          <w:sz w:val="21"/>
        </w:rPr>
        <w:t>Understanding actors, governance, and</w:t>
      </w:r>
      <w:r>
        <w:rPr>
          <w:rFonts w:ascii="Times New Roman" w:hAnsi="Times New Roman"/>
          <w:color w:val="1F2937"/>
          <w:spacing w:val="-3"/>
          <w:sz w:val="21"/>
        </w:rPr>
        <w:t xml:space="preserve"> </w:t>
      </w:r>
      <w:r>
        <w:rPr>
          <w:rFonts w:ascii="Times New Roman" w:hAnsi="Times New Roman"/>
          <w:color w:val="1F2937"/>
          <w:sz w:val="21"/>
        </w:rPr>
        <w:t>policy</w:t>
      </w:r>
      <w:r>
        <w:rPr>
          <w:rFonts w:ascii="Times New Roman" w:hAnsi="Times New Roman"/>
          <w:color w:val="1F2937"/>
          <w:spacing w:val="-5"/>
          <w:sz w:val="21"/>
        </w:rPr>
        <w:t xml:space="preserve"> </w:t>
      </w:r>
      <w:r>
        <w:rPr>
          <w:rFonts w:ascii="Times New Roman" w:hAnsi="Times New Roman"/>
          <w:color w:val="1F2937"/>
          <w:sz w:val="21"/>
        </w:rPr>
        <w:t>from</w:t>
      </w:r>
      <w:r>
        <w:rPr>
          <w:rFonts w:ascii="Times New Roman" w:hAnsi="Times New Roman"/>
          <w:color w:val="1F2937"/>
          <w:spacing w:val="-1"/>
          <w:sz w:val="21"/>
        </w:rPr>
        <w:t xml:space="preserve"> </w:t>
      </w:r>
      <w:r>
        <w:rPr>
          <w:rFonts w:ascii="Times New Roman" w:hAnsi="Times New Roman"/>
          <w:color w:val="1F2937"/>
          <w:sz w:val="21"/>
        </w:rPr>
        <w:t xml:space="preserve">micro, meso, and macro perspectives. Public Policy and Administration, 40(2), 173–184. </w:t>
      </w:r>
      <w:hyperlink r:id="rId32">
        <w:r>
          <w:rPr>
            <w:rFonts w:ascii="Times New Roman" w:hAnsi="Times New Roman"/>
            <w:color w:val="0562C1"/>
            <w:spacing w:val="-2"/>
            <w:sz w:val="21"/>
            <w:u w:val="single" w:color="0562C1"/>
          </w:rPr>
          <w:t>https://doi.org/10.1177/09520767241272921</w:t>
        </w:r>
      </w:hyperlink>
    </w:p>
    <w:p w:rsidR="002C50A5" w:rsidRDefault="00A447DA">
      <w:pPr>
        <w:spacing w:before="119"/>
        <w:ind w:left="443" w:right="611" w:hanging="420"/>
        <w:rPr>
          <w:rFonts w:ascii="Times New Roman" w:hAnsi="Times New Roman"/>
          <w:sz w:val="21"/>
        </w:rPr>
      </w:pPr>
      <w:proofErr w:type="spellStart"/>
      <w:r>
        <w:rPr>
          <w:rFonts w:ascii="Times New Roman" w:hAnsi="Times New Roman"/>
          <w:color w:val="1F2937"/>
          <w:sz w:val="21"/>
        </w:rPr>
        <w:t>Dator</w:t>
      </w:r>
      <w:proofErr w:type="spellEnd"/>
      <w:r>
        <w:rPr>
          <w:rFonts w:ascii="Times New Roman" w:hAnsi="Times New Roman"/>
          <w:color w:val="1F2937"/>
          <w:sz w:val="21"/>
        </w:rPr>
        <w:t xml:space="preserve">, J. (2009). Alternative futures: At the Manoa School. Journal of Futures Studies, 14(2), 1–18. </w:t>
      </w:r>
      <w:hyperlink r:id="rId33">
        <w:r>
          <w:rPr>
            <w:rFonts w:ascii="Times New Roman" w:hAnsi="Times New Roman"/>
            <w:color w:val="0562C1"/>
            <w:sz w:val="21"/>
            <w:u w:val="single" w:color="0562C1"/>
          </w:rPr>
          <w:t>https://jfsdigital.org/articles-and-essays/2009-2/vol-14-no-2-november/articles/futuristsalternative-</w:t>
        </w:r>
      </w:hyperlink>
      <w:hyperlink r:id="rId34">
        <w:r>
          <w:rPr>
            <w:rFonts w:ascii="Times New Roman" w:hAnsi="Times New Roman"/>
            <w:color w:val="0562C1"/>
            <w:spacing w:val="-2"/>
            <w:sz w:val="21"/>
            <w:u w:val="single" w:color="0562C1"/>
          </w:rPr>
          <w:t>futures-at-the-manoa-school/</w:t>
        </w:r>
      </w:hyperlink>
    </w:p>
    <w:p w:rsidR="002C50A5" w:rsidRDefault="00A447DA">
      <w:pPr>
        <w:spacing w:before="120"/>
        <w:ind w:left="443" w:hanging="421"/>
        <w:rPr>
          <w:rFonts w:ascii="Times New Roman" w:hAnsi="Times New Roman"/>
          <w:sz w:val="21"/>
        </w:rPr>
      </w:pPr>
      <w:r>
        <w:rPr>
          <w:rFonts w:ascii="Times New Roman" w:hAnsi="Times New Roman"/>
          <w:color w:val="1F2937"/>
          <w:sz w:val="21"/>
        </w:rPr>
        <w:t>Dunleavy,</w:t>
      </w:r>
      <w:r>
        <w:rPr>
          <w:rFonts w:ascii="Times New Roman" w:hAnsi="Times New Roman"/>
          <w:color w:val="1F2937"/>
          <w:spacing w:val="-2"/>
          <w:sz w:val="21"/>
        </w:rPr>
        <w:t xml:space="preserve"> </w:t>
      </w:r>
      <w:r>
        <w:rPr>
          <w:rFonts w:ascii="Times New Roman" w:hAnsi="Times New Roman"/>
          <w:color w:val="1F2937"/>
          <w:sz w:val="21"/>
        </w:rPr>
        <w:t>P.,</w:t>
      </w:r>
      <w:r>
        <w:rPr>
          <w:rFonts w:ascii="Times New Roman" w:hAnsi="Times New Roman"/>
          <w:color w:val="1F2937"/>
          <w:spacing w:val="-2"/>
          <w:sz w:val="21"/>
        </w:rPr>
        <w:t xml:space="preserve"> </w:t>
      </w:r>
      <w:r>
        <w:rPr>
          <w:rFonts w:ascii="Times New Roman" w:hAnsi="Times New Roman"/>
          <w:color w:val="1F2937"/>
          <w:sz w:val="21"/>
        </w:rPr>
        <w:t>&amp;</w:t>
      </w:r>
      <w:r>
        <w:rPr>
          <w:rFonts w:ascii="Times New Roman" w:hAnsi="Times New Roman"/>
          <w:color w:val="1F2937"/>
          <w:spacing w:val="-3"/>
          <w:sz w:val="21"/>
        </w:rPr>
        <w:t xml:space="preserve"> </w:t>
      </w:r>
      <w:r>
        <w:rPr>
          <w:rFonts w:ascii="Times New Roman" w:hAnsi="Times New Roman"/>
          <w:color w:val="1F2937"/>
          <w:sz w:val="21"/>
        </w:rPr>
        <w:t>Margetts,</w:t>
      </w:r>
      <w:r>
        <w:rPr>
          <w:rFonts w:ascii="Times New Roman" w:hAnsi="Times New Roman"/>
          <w:color w:val="1F2937"/>
          <w:spacing w:val="-5"/>
          <w:sz w:val="21"/>
        </w:rPr>
        <w:t xml:space="preserve"> </w:t>
      </w:r>
      <w:r>
        <w:rPr>
          <w:rFonts w:ascii="Times New Roman" w:hAnsi="Times New Roman"/>
          <w:color w:val="1F2937"/>
          <w:sz w:val="21"/>
        </w:rPr>
        <w:t>H.</w:t>
      </w:r>
      <w:r>
        <w:rPr>
          <w:rFonts w:ascii="Times New Roman" w:hAnsi="Times New Roman"/>
          <w:color w:val="1F2937"/>
          <w:spacing w:val="-2"/>
          <w:sz w:val="21"/>
        </w:rPr>
        <w:t xml:space="preserve"> </w:t>
      </w:r>
      <w:r>
        <w:rPr>
          <w:rFonts w:ascii="Times New Roman" w:hAnsi="Times New Roman"/>
          <w:color w:val="1F2937"/>
          <w:sz w:val="21"/>
        </w:rPr>
        <w:t>(2025).</w:t>
      </w:r>
      <w:r>
        <w:rPr>
          <w:rFonts w:ascii="Times New Roman" w:hAnsi="Times New Roman"/>
          <w:color w:val="1F2937"/>
          <w:spacing w:val="-5"/>
          <w:sz w:val="21"/>
        </w:rPr>
        <w:t xml:space="preserve"> </w:t>
      </w:r>
      <w:r>
        <w:rPr>
          <w:rFonts w:ascii="Times New Roman" w:hAnsi="Times New Roman"/>
          <w:color w:val="1F2937"/>
          <w:sz w:val="21"/>
        </w:rPr>
        <w:t>Data</w:t>
      </w:r>
      <w:r>
        <w:rPr>
          <w:rFonts w:ascii="Times New Roman" w:hAnsi="Times New Roman"/>
          <w:color w:val="1F2937"/>
          <w:spacing w:val="-2"/>
          <w:sz w:val="21"/>
        </w:rPr>
        <w:t xml:space="preserve"> </w:t>
      </w:r>
      <w:r>
        <w:rPr>
          <w:rFonts w:ascii="Times New Roman" w:hAnsi="Times New Roman"/>
          <w:color w:val="1F2937"/>
          <w:sz w:val="21"/>
        </w:rPr>
        <w:t>science,</w:t>
      </w:r>
      <w:r>
        <w:rPr>
          <w:rFonts w:ascii="Times New Roman" w:hAnsi="Times New Roman"/>
          <w:color w:val="1F2937"/>
          <w:spacing w:val="-2"/>
          <w:sz w:val="21"/>
        </w:rPr>
        <w:t xml:space="preserve"> </w:t>
      </w:r>
      <w:r>
        <w:rPr>
          <w:rFonts w:ascii="Times New Roman" w:hAnsi="Times New Roman"/>
          <w:color w:val="1F2937"/>
          <w:sz w:val="21"/>
        </w:rPr>
        <w:t>artificial</w:t>
      </w:r>
      <w:r>
        <w:rPr>
          <w:rFonts w:ascii="Times New Roman" w:hAnsi="Times New Roman"/>
          <w:color w:val="1F2937"/>
          <w:spacing w:val="-3"/>
          <w:sz w:val="21"/>
        </w:rPr>
        <w:t xml:space="preserve"> </w:t>
      </w:r>
      <w:r>
        <w:rPr>
          <w:rFonts w:ascii="Times New Roman" w:hAnsi="Times New Roman"/>
          <w:color w:val="1F2937"/>
          <w:sz w:val="21"/>
        </w:rPr>
        <w:t>intelligence</w:t>
      </w:r>
      <w:r>
        <w:rPr>
          <w:rFonts w:ascii="Times New Roman" w:hAnsi="Times New Roman"/>
          <w:color w:val="1F2937"/>
          <w:spacing w:val="-2"/>
          <w:sz w:val="21"/>
        </w:rPr>
        <w:t xml:space="preserve"> </w:t>
      </w:r>
      <w:r>
        <w:rPr>
          <w:rFonts w:ascii="Times New Roman" w:hAnsi="Times New Roman"/>
          <w:color w:val="1F2937"/>
          <w:sz w:val="21"/>
        </w:rPr>
        <w:t>and</w:t>
      </w:r>
      <w:r>
        <w:rPr>
          <w:rFonts w:ascii="Times New Roman" w:hAnsi="Times New Roman"/>
          <w:color w:val="1F2937"/>
          <w:spacing w:val="-2"/>
          <w:sz w:val="21"/>
        </w:rPr>
        <w:t xml:space="preserve"> </w:t>
      </w:r>
      <w:r>
        <w:rPr>
          <w:rFonts w:ascii="Times New Roman" w:hAnsi="Times New Roman"/>
          <w:color w:val="1F2937"/>
          <w:sz w:val="21"/>
        </w:rPr>
        <w:t>the</w:t>
      </w:r>
      <w:r>
        <w:rPr>
          <w:rFonts w:ascii="Times New Roman" w:hAnsi="Times New Roman"/>
          <w:color w:val="1F2937"/>
          <w:spacing w:val="-2"/>
          <w:sz w:val="21"/>
        </w:rPr>
        <w:t xml:space="preserve"> </w:t>
      </w:r>
      <w:r>
        <w:rPr>
          <w:rFonts w:ascii="Times New Roman" w:hAnsi="Times New Roman"/>
          <w:color w:val="1F2937"/>
          <w:sz w:val="21"/>
        </w:rPr>
        <w:t>third</w:t>
      </w:r>
      <w:r>
        <w:rPr>
          <w:rFonts w:ascii="Times New Roman" w:hAnsi="Times New Roman"/>
          <w:color w:val="1F2937"/>
          <w:spacing w:val="-2"/>
          <w:sz w:val="21"/>
        </w:rPr>
        <w:t xml:space="preserve"> </w:t>
      </w:r>
      <w:r>
        <w:rPr>
          <w:rFonts w:ascii="Times New Roman" w:hAnsi="Times New Roman"/>
          <w:color w:val="1F2937"/>
          <w:sz w:val="21"/>
        </w:rPr>
        <w:t>wave</w:t>
      </w:r>
      <w:r>
        <w:rPr>
          <w:rFonts w:ascii="Times New Roman" w:hAnsi="Times New Roman"/>
          <w:color w:val="1F2937"/>
          <w:spacing w:val="-2"/>
          <w:sz w:val="21"/>
        </w:rPr>
        <w:t xml:space="preserve"> </w:t>
      </w:r>
      <w:r>
        <w:rPr>
          <w:rFonts w:ascii="Times New Roman" w:hAnsi="Times New Roman"/>
          <w:color w:val="1F2937"/>
          <w:sz w:val="21"/>
        </w:rPr>
        <w:t>of</w:t>
      </w:r>
      <w:r>
        <w:rPr>
          <w:rFonts w:ascii="Times New Roman" w:hAnsi="Times New Roman"/>
          <w:color w:val="1F2937"/>
          <w:spacing w:val="-3"/>
          <w:sz w:val="21"/>
        </w:rPr>
        <w:t xml:space="preserve"> </w:t>
      </w:r>
      <w:r>
        <w:rPr>
          <w:rFonts w:ascii="Times New Roman" w:hAnsi="Times New Roman"/>
          <w:color w:val="1F2937"/>
          <w:sz w:val="21"/>
        </w:rPr>
        <w:t>digital</w:t>
      </w:r>
      <w:r>
        <w:rPr>
          <w:rFonts w:ascii="Times New Roman" w:hAnsi="Times New Roman"/>
          <w:color w:val="1F2937"/>
          <w:spacing w:val="-3"/>
          <w:sz w:val="21"/>
        </w:rPr>
        <w:t xml:space="preserve"> </w:t>
      </w:r>
      <w:r>
        <w:rPr>
          <w:rFonts w:ascii="Times New Roman" w:hAnsi="Times New Roman"/>
          <w:color w:val="1F2937"/>
          <w:sz w:val="21"/>
        </w:rPr>
        <w:t xml:space="preserve">era governance. Public Policy and Administration, 40(2), 185–214. </w:t>
      </w:r>
      <w:hyperlink r:id="rId35">
        <w:r>
          <w:rPr>
            <w:rFonts w:ascii="Times New Roman" w:hAnsi="Times New Roman"/>
            <w:color w:val="0562C1"/>
            <w:spacing w:val="-2"/>
            <w:sz w:val="21"/>
            <w:u w:val="single" w:color="0562C1"/>
          </w:rPr>
          <w:t>https://doi.org/10.1177/09520767231198737</w:t>
        </w:r>
      </w:hyperlink>
    </w:p>
    <w:p w:rsidR="002C50A5" w:rsidRDefault="00A447DA">
      <w:pPr>
        <w:spacing w:before="120"/>
        <w:ind w:left="442" w:right="398" w:hanging="420"/>
        <w:rPr>
          <w:rFonts w:ascii="Times New Roman" w:hAnsi="Times New Roman"/>
          <w:sz w:val="21"/>
        </w:rPr>
      </w:pPr>
      <w:proofErr w:type="spellStart"/>
      <w:r>
        <w:rPr>
          <w:rFonts w:ascii="Times New Roman" w:hAnsi="Times New Roman"/>
          <w:color w:val="1F2937"/>
          <w:sz w:val="21"/>
        </w:rPr>
        <w:t>Grimmelikhuijsen</w:t>
      </w:r>
      <w:proofErr w:type="spellEnd"/>
      <w:r>
        <w:rPr>
          <w:rFonts w:ascii="Times New Roman" w:hAnsi="Times New Roman"/>
          <w:color w:val="1F2937"/>
          <w:sz w:val="21"/>
        </w:rPr>
        <w:t>, S., &amp; Meijer, A. (2022). Legitimacy of algorithmic decision-making: Six threats and the</w:t>
      </w:r>
      <w:r>
        <w:rPr>
          <w:rFonts w:ascii="Times New Roman" w:hAnsi="Times New Roman"/>
          <w:color w:val="1F2937"/>
          <w:spacing w:val="-2"/>
          <w:sz w:val="21"/>
        </w:rPr>
        <w:t xml:space="preserve"> </w:t>
      </w:r>
      <w:r>
        <w:rPr>
          <w:rFonts w:ascii="Times New Roman" w:hAnsi="Times New Roman"/>
          <w:color w:val="1F2937"/>
          <w:sz w:val="21"/>
        </w:rPr>
        <w:t>need</w:t>
      </w:r>
      <w:r>
        <w:rPr>
          <w:rFonts w:ascii="Times New Roman" w:hAnsi="Times New Roman"/>
          <w:color w:val="1F2937"/>
          <w:spacing w:val="-2"/>
          <w:sz w:val="21"/>
        </w:rPr>
        <w:t xml:space="preserve"> </w:t>
      </w:r>
      <w:r>
        <w:rPr>
          <w:rFonts w:ascii="Times New Roman" w:hAnsi="Times New Roman"/>
          <w:color w:val="1F2937"/>
          <w:sz w:val="21"/>
        </w:rPr>
        <w:t>for</w:t>
      </w:r>
      <w:r>
        <w:rPr>
          <w:rFonts w:ascii="Times New Roman" w:hAnsi="Times New Roman"/>
          <w:color w:val="1F2937"/>
          <w:spacing w:val="-3"/>
          <w:sz w:val="21"/>
        </w:rPr>
        <w:t xml:space="preserve"> </w:t>
      </w:r>
      <w:r>
        <w:rPr>
          <w:rFonts w:ascii="Times New Roman" w:hAnsi="Times New Roman"/>
          <w:color w:val="1F2937"/>
          <w:sz w:val="21"/>
        </w:rPr>
        <w:t>a</w:t>
      </w:r>
      <w:r>
        <w:rPr>
          <w:rFonts w:ascii="Times New Roman" w:hAnsi="Times New Roman"/>
          <w:color w:val="1F2937"/>
          <w:spacing w:val="-5"/>
          <w:sz w:val="21"/>
        </w:rPr>
        <w:t xml:space="preserve"> </w:t>
      </w:r>
      <w:r>
        <w:rPr>
          <w:rFonts w:ascii="Times New Roman" w:hAnsi="Times New Roman"/>
          <w:color w:val="1F2937"/>
          <w:sz w:val="21"/>
        </w:rPr>
        <w:t>calibrated</w:t>
      </w:r>
      <w:r>
        <w:rPr>
          <w:rFonts w:ascii="Times New Roman" w:hAnsi="Times New Roman"/>
          <w:color w:val="1F2937"/>
          <w:spacing w:val="-2"/>
          <w:sz w:val="21"/>
        </w:rPr>
        <w:t xml:space="preserve"> </w:t>
      </w:r>
      <w:r>
        <w:rPr>
          <w:rFonts w:ascii="Times New Roman" w:hAnsi="Times New Roman"/>
          <w:color w:val="1F2937"/>
          <w:sz w:val="21"/>
        </w:rPr>
        <w:t>institutional</w:t>
      </w:r>
      <w:r>
        <w:rPr>
          <w:rFonts w:ascii="Times New Roman" w:hAnsi="Times New Roman"/>
          <w:color w:val="1F2937"/>
          <w:spacing w:val="-3"/>
          <w:sz w:val="21"/>
        </w:rPr>
        <w:t xml:space="preserve"> </w:t>
      </w:r>
      <w:r>
        <w:rPr>
          <w:rFonts w:ascii="Times New Roman" w:hAnsi="Times New Roman"/>
          <w:color w:val="1F2937"/>
          <w:sz w:val="21"/>
        </w:rPr>
        <w:t>response.</w:t>
      </w:r>
      <w:r>
        <w:rPr>
          <w:rFonts w:ascii="Times New Roman" w:hAnsi="Times New Roman"/>
          <w:color w:val="1F2937"/>
          <w:spacing w:val="-5"/>
          <w:sz w:val="21"/>
        </w:rPr>
        <w:t xml:space="preserve"> </w:t>
      </w:r>
      <w:r>
        <w:rPr>
          <w:rFonts w:ascii="Times New Roman" w:hAnsi="Times New Roman"/>
          <w:color w:val="1F2937"/>
          <w:sz w:val="21"/>
        </w:rPr>
        <w:t>Perspectives</w:t>
      </w:r>
      <w:r>
        <w:rPr>
          <w:rFonts w:ascii="Times New Roman" w:hAnsi="Times New Roman"/>
          <w:color w:val="1F2937"/>
          <w:spacing w:val="-3"/>
          <w:sz w:val="21"/>
        </w:rPr>
        <w:t xml:space="preserve"> </w:t>
      </w:r>
      <w:r>
        <w:rPr>
          <w:rFonts w:ascii="Times New Roman" w:hAnsi="Times New Roman"/>
          <w:color w:val="1F2937"/>
          <w:sz w:val="21"/>
        </w:rPr>
        <w:t>on</w:t>
      </w:r>
      <w:r>
        <w:rPr>
          <w:rFonts w:ascii="Times New Roman" w:hAnsi="Times New Roman"/>
          <w:color w:val="1F2937"/>
          <w:spacing w:val="-5"/>
          <w:sz w:val="21"/>
        </w:rPr>
        <w:t xml:space="preserve"> </w:t>
      </w:r>
      <w:r>
        <w:rPr>
          <w:rFonts w:ascii="Times New Roman" w:hAnsi="Times New Roman"/>
          <w:color w:val="1F2937"/>
          <w:sz w:val="21"/>
        </w:rPr>
        <w:t>Public</w:t>
      </w:r>
      <w:r>
        <w:rPr>
          <w:rFonts w:ascii="Times New Roman" w:hAnsi="Times New Roman"/>
          <w:color w:val="1F2937"/>
          <w:spacing w:val="-2"/>
          <w:sz w:val="21"/>
        </w:rPr>
        <w:t xml:space="preserve"> </w:t>
      </w:r>
      <w:r>
        <w:rPr>
          <w:rFonts w:ascii="Times New Roman" w:hAnsi="Times New Roman"/>
          <w:color w:val="1F2937"/>
          <w:sz w:val="21"/>
        </w:rPr>
        <w:t>Management</w:t>
      </w:r>
      <w:r>
        <w:rPr>
          <w:rFonts w:ascii="Times New Roman" w:hAnsi="Times New Roman"/>
          <w:color w:val="1F2937"/>
          <w:spacing w:val="-3"/>
          <w:sz w:val="21"/>
        </w:rPr>
        <w:t xml:space="preserve"> </w:t>
      </w:r>
      <w:r>
        <w:rPr>
          <w:rFonts w:ascii="Times New Roman" w:hAnsi="Times New Roman"/>
          <w:color w:val="1F2937"/>
          <w:sz w:val="21"/>
        </w:rPr>
        <w:t>and</w:t>
      </w:r>
      <w:r>
        <w:rPr>
          <w:rFonts w:ascii="Times New Roman" w:hAnsi="Times New Roman"/>
          <w:color w:val="1F2937"/>
          <w:spacing w:val="-2"/>
          <w:sz w:val="21"/>
        </w:rPr>
        <w:t xml:space="preserve"> </w:t>
      </w:r>
      <w:r>
        <w:rPr>
          <w:rFonts w:ascii="Times New Roman" w:hAnsi="Times New Roman"/>
          <w:color w:val="1F2937"/>
          <w:sz w:val="21"/>
        </w:rPr>
        <w:t xml:space="preserve">Governance, 5(3), 232–242. </w:t>
      </w:r>
      <w:hyperlink r:id="rId36">
        <w:r>
          <w:rPr>
            <w:rFonts w:ascii="Times New Roman" w:hAnsi="Times New Roman"/>
            <w:color w:val="0562C1"/>
            <w:sz w:val="21"/>
            <w:u w:val="single" w:color="0562C1"/>
          </w:rPr>
          <w:t>https://doi.org/10.1093/ppmgov/gvac008</w:t>
        </w:r>
      </w:hyperlink>
    </w:p>
    <w:p w:rsidR="002C50A5" w:rsidRDefault="00A447DA">
      <w:pPr>
        <w:spacing w:before="121"/>
        <w:ind w:left="443" w:hanging="421"/>
        <w:rPr>
          <w:rFonts w:ascii="Times New Roman"/>
          <w:sz w:val="21"/>
        </w:rPr>
      </w:pPr>
      <w:r>
        <w:rPr>
          <w:rFonts w:ascii="Times New Roman"/>
          <w:color w:val="1F2937"/>
          <w:sz w:val="21"/>
        </w:rPr>
        <w:t>Levine,</w:t>
      </w:r>
      <w:r>
        <w:rPr>
          <w:rFonts w:ascii="Times New Roman"/>
          <w:color w:val="1F2937"/>
          <w:spacing w:val="-2"/>
          <w:sz w:val="21"/>
        </w:rPr>
        <w:t xml:space="preserve"> </w:t>
      </w:r>
      <w:r>
        <w:rPr>
          <w:rFonts w:ascii="Times New Roman"/>
          <w:color w:val="1F2937"/>
          <w:sz w:val="21"/>
        </w:rPr>
        <w:t>C.</w:t>
      </w:r>
      <w:r>
        <w:rPr>
          <w:rFonts w:ascii="Times New Roman"/>
          <w:color w:val="1F2937"/>
          <w:spacing w:val="-2"/>
          <w:sz w:val="21"/>
        </w:rPr>
        <w:t xml:space="preserve"> </w:t>
      </w:r>
      <w:r>
        <w:rPr>
          <w:rFonts w:ascii="Times New Roman"/>
          <w:color w:val="1F2937"/>
          <w:sz w:val="21"/>
        </w:rPr>
        <w:t>H.,</w:t>
      </w:r>
      <w:r>
        <w:rPr>
          <w:rFonts w:ascii="Times New Roman"/>
          <w:color w:val="1F2937"/>
          <w:spacing w:val="-5"/>
          <w:sz w:val="21"/>
        </w:rPr>
        <w:t xml:space="preserve"> </w:t>
      </w:r>
      <w:r>
        <w:rPr>
          <w:rFonts w:ascii="Times New Roman"/>
          <w:color w:val="1F2937"/>
          <w:sz w:val="21"/>
        </w:rPr>
        <w:t>Peters,</w:t>
      </w:r>
      <w:r>
        <w:rPr>
          <w:rFonts w:ascii="Times New Roman"/>
          <w:color w:val="1F2937"/>
          <w:spacing w:val="-2"/>
          <w:sz w:val="21"/>
        </w:rPr>
        <w:t xml:space="preserve"> </w:t>
      </w:r>
      <w:r>
        <w:rPr>
          <w:rFonts w:ascii="Times New Roman"/>
          <w:color w:val="1F2937"/>
          <w:sz w:val="21"/>
        </w:rPr>
        <w:t>B.</w:t>
      </w:r>
      <w:r>
        <w:rPr>
          <w:rFonts w:ascii="Times New Roman"/>
          <w:color w:val="1F2937"/>
          <w:spacing w:val="-2"/>
          <w:sz w:val="21"/>
        </w:rPr>
        <w:t xml:space="preserve"> </w:t>
      </w:r>
      <w:r>
        <w:rPr>
          <w:rFonts w:ascii="Times New Roman"/>
          <w:color w:val="1F2937"/>
          <w:sz w:val="21"/>
        </w:rPr>
        <w:t>G.,</w:t>
      </w:r>
      <w:r>
        <w:rPr>
          <w:rFonts w:ascii="Times New Roman"/>
          <w:color w:val="1F2937"/>
          <w:spacing w:val="-5"/>
          <w:sz w:val="21"/>
        </w:rPr>
        <w:t xml:space="preserve"> </w:t>
      </w:r>
      <w:r>
        <w:rPr>
          <w:rFonts w:ascii="Times New Roman"/>
          <w:color w:val="1F2937"/>
          <w:sz w:val="21"/>
        </w:rPr>
        <w:t>&amp;</w:t>
      </w:r>
      <w:r>
        <w:rPr>
          <w:rFonts w:ascii="Times New Roman"/>
          <w:color w:val="1F2937"/>
          <w:spacing w:val="-3"/>
          <w:sz w:val="21"/>
        </w:rPr>
        <w:t xml:space="preserve"> </w:t>
      </w:r>
      <w:r>
        <w:rPr>
          <w:rFonts w:ascii="Times New Roman"/>
          <w:color w:val="1F2937"/>
          <w:sz w:val="21"/>
        </w:rPr>
        <w:t>Thompson,</w:t>
      </w:r>
      <w:r>
        <w:rPr>
          <w:rFonts w:ascii="Times New Roman"/>
          <w:color w:val="1F2937"/>
          <w:spacing w:val="-2"/>
          <w:sz w:val="21"/>
        </w:rPr>
        <w:t xml:space="preserve"> </w:t>
      </w:r>
      <w:r>
        <w:rPr>
          <w:rFonts w:ascii="Times New Roman"/>
          <w:color w:val="1F2937"/>
          <w:sz w:val="21"/>
        </w:rPr>
        <w:t>F.</w:t>
      </w:r>
      <w:r>
        <w:rPr>
          <w:rFonts w:ascii="Times New Roman"/>
          <w:color w:val="1F2937"/>
          <w:spacing w:val="-2"/>
          <w:sz w:val="21"/>
        </w:rPr>
        <w:t xml:space="preserve"> </w:t>
      </w:r>
      <w:r>
        <w:rPr>
          <w:rFonts w:ascii="Times New Roman"/>
          <w:color w:val="1F2937"/>
          <w:sz w:val="21"/>
        </w:rPr>
        <w:t>J.</w:t>
      </w:r>
      <w:r>
        <w:rPr>
          <w:rFonts w:ascii="Times New Roman"/>
          <w:color w:val="1F2937"/>
          <w:spacing w:val="-2"/>
          <w:sz w:val="21"/>
        </w:rPr>
        <w:t xml:space="preserve"> </w:t>
      </w:r>
      <w:r>
        <w:rPr>
          <w:rFonts w:ascii="Times New Roman"/>
          <w:color w:val="1F2937"/>
          <w:sz w:val="21"/>
        </w:rPr>
        <w:t>(1990).</w:t>
      </w:r>
      <w:r>
        <w:rPr>
          <w:rFonts w:ascii="Times New Roman"/>
          <w:color w:val="1F2937"/>
          <w:spacing w:val="-5"/>
          <w:sz w:val="21"/>
        </w:rPr>
        <w:t xml:space="preserve"> </w:t>
      </w:r>
      <w:r>
        <w:rPr>
          <w:rFonts w:ascii="Times New Roman"/>
          <w:color w:val="1F2937"/>
          <w:sz w:val="21"/>
        </w:rPr>
        <w:t>Public</w:t>
      </w:r>
      <w:r>
        <w:rPr>
          <w:rFonts w:ascii="Times New Roman"/>
          <w:color w:val="1F2937"/>
          <w:spacing w:val="-2"/>
          <w:sz w:val="21"/>
        </w:rPr>
        <w:t xml:space="preserve"> </w:t>
      </w:r>
      <w:r>
        <w:rPr>
          <w:rFonts w:ascii="Times New Roman"/>
          <w:color w:val="1F2937"/>
          <w:sz w:val="21"/>
        </w:rPr>
        <w:t>administration:</w:t>
      </w:r>
      <w:r>
        <w:rPr>
          <w:rFonts w:ascii="Times New Roman"/>
          <w:color w:val="1F2937"/>
          <w:spacing w:val="-3"/>
          <w:sz w:val="21"/>
        </w:rPr>
        <w:t xml:space="preserve"> </w:t>
      </w:r>
      <w:r>
        <w:rPr>
          <w:rFonts w:ascii="Times New Roman"/>
          <w:color w:val="1F2937"/>
          <w:sz w:val="21"/>
        </w:rPr>
        <w:t>Challenges,</w:t>
      </w:r>
      <w:r>
        <w:rPr>
          <w:rFonts w:ascii="Times New Roman"/>
          <w:color w:val="1F2937"/>
          <w:spacing w:val="-2"/>
          <w:sz w:val="21"/>
        </w:rPr>
        <w:t xml:space="preserve"> </w:t>
      </w:r>
      <w:r>
        <w:rPr>
          <w:rFonts w:ascii="Times New Roman"/>
          <w:color w:val="1F2937"/>
          <w:sz w:val="21"/>
        </w:rPr>
        <w:t>choices, consequences. Scott, Foresman.</w:t>
      </w:r>
    </w:p>
    <w:p w:rsidR="002C50A5" w:rsidRDefault="00A447DA">
      <w:pPr>
        <w:spacing w:before="119"/>
        <w:ind w:left="443" w:hanging="421"/>
        <w:rPr>
          <w:rFonts w:ascii="Times New Roman"/>
          <w:sz w:val="21"/>
        </w:rPr>
      </w:pPr>
      <w:r>
        <w:rPr>
          <w:rFonts w:ascii="Times New Roman"/>
          <w:color w:val="1F2937"/>
          <w:sz w:val="21"/>
        </w:rPr>
        <w:t>Lodge,</w:t>
      </w:r>
      <w:r>
        <w:rPr>
          <w:rFonts w:ascii="Times New Roman"/>
          <w:color w:val="1F2937"/>
          <w:spacing w:val="-2"/>
          <w:sz w:val="21"/>
        </w:rPr>
        <w:t xml:space="preserve"> </w:t>
      </w:r>
      <w:r>
        <w:rPr>
          <w:rFonts w:ascii="Times New Roman"/>
          <w:color w:val="1F2937"/>
          <w:sz w:val="21"/>
        </w:rPr>
        <w:t>M.,</w:t>
      </w:r>
      <w:r>
        <w:rPr>
          <w:rFonts w:ascii="Times New Roman"/>
          <w:color w:val="1F2937"/>
          <w:spacing w:val="-2"/>
          <w:sz w:val="21"/>
        </w:rPr>
        <w:t xml:space="preserve"> </w:t>
      </w:r>
      <w:r>
        <w:rPr>
          <w:rFonts w:ascii="Times New Roman"/>
          <w:color w:val="1F2937"/>
          <w:sz w:val="21"/>
        </w:rPr>
        <w:t>&amp;</w:t>
      </w:r>
      <w:r>
        <w:rPr>
          <w:rFonts w:ascii="Times New Roman"/>
          <w:color w:val="1F2937"/>
          <w:spacing w:val="-3"/>
          <w:sz w:val="21"/>
        </w:rPr>
        <w:t xml:space="preserve"> </w:t>
      </w:r>
      <w:proofErr w:type="spellStart"/>
      <w:r>
        <w:rPr>
          <w:rFonts w:ascii="Times New Roman"/>
          <w:color w:val="1F2937"/>
          <w:sz w:val="21"/>
        </w:rPr>
        <w:t>Wegrich</w:t>
      </w:r>
      <w:proofErr w:type="spellEnd"/>
      <w:r>
        <w:rPr>
          <w:rFonts w:ascii="Times New Roman"/>
          <w:color w:val="1F2937"/>
          <w:sz w:val="21"/>
        </w:rPr>
        <w:t>,</w:t>
      </w:r>
      <w:r>
        <w:rPr>
          <w:rFonts w:ascii="Times New Roman"/>
          <w:color w:val="1F2937"/>
          <w:spacing w:val="-2"/>
          <w:sz w:val="21"/>
        </w:rPr>
        <w:t xml:space="preserve"> </w:t>
      </w:r>
      <w:r>
        <w:rPr>
          <w:rFonts w:ascii="Times New Roman"/>
          <w:color w:val="1F2937"/>
          <w:sz w:val="21"/>
        </w:rPr>
        <w:t>K.</w:t>
      </w:r>
      <w:r>
        <w:rPr>
          <w:rFonts w:ascii="Times New Roman"/>
          <w:color w:val="1F2937"/>
          <w:spacing w:val="-2"/>
          <w:sz w:val="21"/>
        </w:rPr>
        <w:t xml:space="preserve"> </w:t>
      </w:r>
      <w:r>
        <w:rPr>
          <w:rFonts w:ascii="Times New Roman"/>
          <w:color w:val="1F2937"/>
          <w:sz w:val="21"/>
        </w:rPr>
        <w:t>(Eds.).</w:t>
      </w:r>
      <w:r>
        <w:rPr>
          <w:rFonts w:ascii="Times New Roman"/>
          <w:color w:val="1F2937"/>
          <w:spacing w:val="-2"/>
          <w:sz w:val="21"/>
        </w:rPr>
        <w:t xml:space="preserve"> </w:t>
      </w:r>
      <w:r>
        <w:rPr>
          <w:rFonts w:ascii="Times New Roman"/>
          <w:color w:val="1F2937"/>
          <w:sz w:val="21"/>
        </w:rPr>
        <w:t>(2014).</w:t>
      </w:r>
      <w:r>
        <w:rPr>
          <w:rFonts w:ascii="Times New Roman"/>
          <w:color w:val="1F2937"/>
          <w:spacing w:val="-2"/>
          <w:sz w:val="21"/>
        </w:rPr>
        <w:t xml:space="preserve"> </w:t>
      </w:r>
      <w:r>
        <w:rPr>
          <w:rFonts w:ascii="Times New Roman"/>
          <w:color w:val="1F2937"/>
          <w:sz w:val="21"/>
        </w:rPr>
        <w:t>The</w:t>
      </w:r>
      <w:r>
        <w:rPr>
          <w:rFonts w:ascii="Times New Roman"/>
          <w:color w:val="1F2937"/>
          <w:spacing w:val="-2"/>
          <w:sz w:val="21"/>
        </w:rPr>
        <w:t xml:space="preserve"> </w:t>
      </w:r>
      <w:r>
        <w:rPr>
          <w:rFonts w:ascii="Times New Roman"/>
          <w:color w:val="1F2937"/>
          <w:sz w:val="21"/>
        </w:rPr>
        <w:t>problem-solving</w:t>
      </w:r>
      <w:r>
        <w:rPr>
          <w:rFonts w:ascii="Times New Roman"/>
          <w:color w:val="1F2937"/>
          <w:spacing w:val="-2"/>
          <w:sz w:val="21"/>
        </w:rPr>
        <w:t xml:space="preserve"> </w:t>
      </w:r>
      <w:r>
        <w:rPr>
          <w:rFonts w:ascii="Times New Roman"/>
          <w:color w:val="1F2937"/>
          <w:sz w:val="21"/>
        </w:rPr>
        <w:t>capacity</w:t>
      </w:r>
      <w:r>
        <w:rPr>
          <w:rFonts w:ascii="Times New Roman"/>
          <w:color w:val="1F2937"/>
          <w:spacing w:val="-7"/>
          <w:sz w:val="21"/>
        </w:rPr>
        <w:t xml:space="preserve"> </w:t>
      </w:r>
      <w:r>
        <w:rPr>
          <w:rFonts w:ascii="Times New Roman"/>
          <w:color w:val="1F2937"/>
          <w:sz w:val="21"/>
        </w:rPr>
        <w:t>of</w:t>
      </w:r>
      <w:r>
        <w:rPr>
          <w:rFonts w:ascii="Times New Roman"/>
          <w:color w:val="1F2937"/>
          <w:spacing w:val="-3"/>
          <w:sz w:val="21"/>
        </w:rPr>
        <w:t xml:space="preserve"> </w:t>
      </w:r>
      <w:r>
        <w:rPr>
          <w:rFonts w:ascii="Times New Roman"/>
          <w:color w:val="1F2937"/>
          <w:sz w:val="21"/>
        </w:rPr>
        <w:t>the</w:t>
      </w:r>
      <w:r>
        <w:rPr>
          <w:rFonts w:ascii="Times New Roman"/>
          <w:color w:val="1F2937"/>
          <w:spacing w:val="-2"/>
          <w:sz w:val="21"/>
        </w:rPr>
        <w:t xml:space="preserve"> </w:t>
      </w:r>
      <w:r>
        <w:rPr>
          <w:rFonts w:ascii="Times New Roman"/>
          <w:color w:val="1F2937"/>
          <w:sz w:val="21"/>
        </w:rPr>
        <w:t>modern</w:t>
      </w:r>
      <w:r>
        <w:rPr>
          <w:rFonts w:ascii="Times New Roman"/>
          <w:color w:val="1F2937"/>
          <w:spacing w:val="-2"/>
          <w:sz w:val="21"/>
        </w:rPr>
        <w:t xml:space="preserve"> </w:t>
      </w:r>
      <w:r>
        <w:rPr>
          <w:rFonts w:ascii="Times New Roman"/>
          <w:color w:val="1F2937"/>
          <w:sz w:val="21"/>
        </w:rPr>
        <w:t>state:</w:t>
      </w:r>
      <w:r>
        <w:rPr>
          <w:rFonts w:ascii="Times New Roman"/>
          <w:color w:val="1F2937"/>
          <w:spacing w:val="-3"/>
          <w:sz w:val="21"/>
        </w:rPr>
        <w:t xml:space="preserve"> </w:t>
      </w:r>
      <w:r>
        <w:rPr>
          <w:rFonts w:ascii="Times New Roman"/>
          <w:color w:val="1F2937"/>
          <w:sz w:val="21"/>
        </w:rPr>
        <w:t xml:space="preserve">Governance challenges and administrative capacities. Oxford University Press. </w:t>
      </w:r>
      <w:r>
        <w:rPr>
          <w:rFonts w:ascii="Times New Roman"/>
          <w:color w:val="0562C1"/>
          <w:spacing w:val="-2"/>
          <w:sz w:val="21"/>
          <w:u w:val="single" w:color="0562C1"/>
        </w:rPr>
        <w:t>https://doi.org/10.1093/acprof:oso/9780198716365.001.0001</w:t>
      </w:r>
    </w:p>
    <w:p w:rsidR="002C50A5" w:rsidRDefault="00A447DA">
      <w:pPr>
        <w:spacing w:before="121"/>
        <w:ind w:left="23"/>
        <w:rPr>
          <w:rFonts w:ascii="Times New Roman"/>
          <w:sz w:val="21"/>
        </w:rPr>
      </w:pPr>
      <w:r>
        <w:rPr>
          <w:rFonts w:ascii="Times New Roman"/>
          <w:color w:val="1F2937"/>
          <w:sz w:val="21"/>
        </w:rPr>
        <w:t>Meier,</w:t>
      </w:r>
      <w:r>
        <w:rPr>
          <w:rFonts w:ascii="Times New Roman"/>
          <w:color w:val="1F2937"/>
          <w:spacing w:val="-7"/>
          <w:sz w:val="21"/>
        </w:rPr>
        <w:t xml:space="preserve"> </w:t>
      </w:r>
      <w:r>
        <w:rPr>
          <w:rFonts w:ascii="Times New Roman"/>
          <w:color w:val="1F2937"/>
          <w:sz w:val="21"/>
        </w:rPr>
        <w:t>K.</w:t>
      </w:r>
      <w:r>
        <w:rPr>
          <w:rFonts w:ascii="Times New Roman"/>
          <w:color w:val="1F2937"/>
          <w:spacing w:val="-6"/>
          <w:sz w:val="21"/>
        </w:rPr>
        <w:t xml:space="preserve"> </w:t>
      </w:r>
      <w:r>
        <w:rPr>
          <w:rFonts w:ascii="Times New Roman"/>
          <w:color w:val="1F2937"/>
          <w:sz w:val="21"/>
        </w:rPr>
        <w:t>J.</w:t>
      </w:r>
      <w:r>
        <w:rPr>
          <w:rFonts w:ascii="Times New Roman"/>
          <w:color w:val="1F2937"/>
          <w:spacing w:val="-6"/>
          <w:sz w:val="21"/>
        </w:rPr>
        <w:t xml:space="preserve"> </w:t>
      </w:r>
      <w:r>
        <w:rPr>
          <w:rFonts w:ascii="Times New Roman"/>
          <w:color w:val="1F2937"/>
          <w:sz w:val="21"/>
        </w:rPr>
        <w:t>(2019).</w:t>
      </w:r>
      <w:r>
        <w:rPr>
          <w:rFonts w:ascii="Times New Roman"/>
          <w:color w:val="1F2937"/>
          <w:spacing w:val="-8"/>
          <w:sz w:val="21"/>
        </w:rPr>
        <w:t xml:space="preserve"> </w:t>
      </w:r>
      <w:r>
        <w:rPr>
          <w:rFonts w:ascii="Times New Roman"/>
          <w:color w:val="1F2937"/>
          <w:sz w:val="21"/>
        </w:rPr>
        <w:t>Theoretical</w:t>
      </w:r>
      <w:r>
        <w:rPr>
          <w:rFonts w:ascii="Times New Roman"/>
          <w:color w:val="1F2937"/>
          <w:spacing w:val="-7"/>
          <w:sz w:val="21"/>
        </w:rPr>
        <w:t xml:space="preserve"> </w:t>
      </w:r>
      <w:r>
        <w:rPr>
          <w:rFonts w:ascii="Times New Roman"/>
          <w:color w:val="1F2937"/>
          <w:sz w:val="21"/>
        </w:rPr>
        <w:t>frontiers</w:t>
      </w:r>
      <w:r>
        <w:rPr>
          <w:rFonts w:ascii="Times New Roman"/>
          <w:color w:val="1F2937"/>
          <w:spacing w:val="-7"/>
          <w:sz w:val="21"/>
        </w:rPr>
        <w:t xml:space="preserve"> </w:t>
      </w:r>
      <w:r>
        <w:rPr>
          <w:rFonts w:ascii="Times New Roman"/>
          <w:color w:val="1F2937"/>
          <w:sz w:val="21"/>
        </w:rPr>
        <w:t>in</w:t>
      </w:r>
      <w:r>
        <w:rPr>
          <w:rFonts w:ascii="Times New Roman"/>
          <w:color w:val="1F2937"/>
          <w:spacing w:val="-6"/>
          <w:sz w:val="21"/>
        </w:rPr>
        <w:t xml:space="preserve"> </w:t>
      </w:r>
      <w:r>
        <w:rPr>
          <w:rFonts w:ascii="Times New Roman"/>
          <w:color w:val="1F2937"/>
          <w:sz w:val="21"/>
        </w:rPr>
        <w:t>representative</w:t>
      </w:r>
      <w:r>
        <w:rPr>
          <w:rFonts w:ascii="Times New Roman"/>
          <w:color w:val="1F2937"/>
          <w:spacing w:val="-5"/>
          <w:sz w:val="21"/>
        </w:rPr>
        <w:t xml:space="preserve"> </w:t>
      </w:r>
      <w:r>
        <w:rPr>
          <w:rFonts w:ascii="Times New Roman"/>
          <w:color w:val="1F2937"/>
          <w:sz w:val="21"/>
        </w:rPr>
        <w:t>bureaucracy:</w:t>
      </w:r>
      <w:r>
        <w:rPr>
          <w:rFonts w:ascii="Times New Roman"/>
          <w:color w:val="1F2937"/>
          <w:spacing w:val="-7"/>
          <w:sz w:val="21"/>
        </w:rPr>
        <w:t xml:space="preserve"> </w:t>
      </w:r>
      <w:r>
        <w:rPr>
          <w:rFonts w:ascii="Times New Roman"/>
          <w:color w:val="1F2937"/>
          <w:sz w:val="21"/>
        </w:rPr>
        <w:t>New</w:t>
      </w:r>
      <w:r>
        <w:rPr>
          <w:rFonts w:ascii="Times New Roman"/>
          <w:color w:val="1F2937"/>
          <w:spacing w:val="-8"/>
          <w:sz w:val="21"/>
        </w:rPr>
        <w:t xml:space="preserve"> </w:t>
      </w:r>
      <w:r>
        <w:rPr>
          <w:rFonts w:ascii="Times New Roman"/>
          <w:color w:val="1F2937"/>
          <w:sz w:val="21"/>
        </w:rPr>
        <w:t>directions</w:t>
      </w:r>
      <w:r>
        <w:rPr>
          <w:rFonts w:ascii="Times New Roman"/>
          <w:color w:val="1F2937"/>
          <w:spacing w:val="-7"/>
          <w:sz w:val="21"/>
        </w:rPr>
        <w:t xml:space="preserve"> </w:t>
      </w:r>
      <w:r>
        <w:rPr>
          <w:rFonts w:ascii="Times New Roman"/>
          <w:color w:val="1F2937"/>
          <w:sz w:val="21"/>
        </w:rPr>
        <w:t>for</w:t>
      </w:r>
      <w:r>
        <w:rPr>
          <w:rFonts w:ascii="Times New Roman"/>
          <w:color w:val="1F2937"/>
          <w:spacing w:val="-6"/>
          <w:sz w:val="21"/>
        </w:rPr>
        <w:t xml:space="preserve"> </w:t>
      </w:r>
      <w:r>
        <w:rPr>
          <w:rFonts w:ascii="Times New Roman"/>
          <w:color w:val="1F2937"/>
          <w:spacing w:val="-2"/>
          <w:sz w:val="21"/>
        </w:rPr>
        <w:t>research.</w:t>
      </w:r>
    </w:p>
    <w:p w:rsidR="002C50A5" w:rsidRDefault="00A447DA">
      <w:pPr>
        <w:spacing w:before="1"/>
        <w:ind w:left="443"/>
        <w:rPr>
          <w:rFonts w:ascii="Times New Roman" w:hAnsi="Times New Roman"/>
          <w:sz w:val="21"/>
        </w:rPr>
      </w:pPr>
      <w:r>
        <w:rPr>
          <w:rFonts w:ascii="Times New Roman" w:hAnsi="Times New Roman"/>
          <w:color w:val="1F2937"/>
          <w:sz w:val="21"/>
        </w:rPr>
        <w:t>Perspectives</w:t>
      </w:r>
      <w:r>
        <w:rPr>
          <w:rFonts w:ascii="Times New Roman" w:hAnsi="Times New Roman"/>
          <w:color w:val="1F2937"/>
          <w:spacing w:val="-8"/>
          <w:sz w:val="21"/>
        </w:rPr>
        <w:t xml:space="preserve"> </w:t>
      </w:r>
      <w:r>
        <w:rPr>
          <w:rFonts w:ascii="Times New Roman" w:hAnsi="Times New Roman"/>
          <w:color w:val="1F2937"/>
          <w:sz w:val="21"/>
        </w:rPr>
        <w:t>on</w:t>
      </w:r>
      <w:r>
        <w:rPr>
          <w:rFonts w:ascii="Times New Roman" w:hAnsi="Times New Roman"/>
          <w:color w:val="1F2937"/>
          <w:spacing w:val="-9"/>
          <w:sz w:val="21"/>
        </w:rPr>
        <w:t xml:space="preserve"> </w:t>
      </w:r>
      <w:r>
        <w:rPr>
          <w:rFonts w:ascii="Times New Roman" w:hAnsi="Times New Roman"/>
          <w:color w:val="1F2937"/>
          <w:sz w:val="21"/>
        </w:rPr>
        <w:t>Public</w:t>
      </w:r>
      <w:r>
        <w:rPr>
          <w:rFonts w:ascii="Times New Roman" w:hAnsi="Times New Roman"/>
          <w:color w:val="1F2937"/>
          <w:spacing w:val="-6"/>
          <w:sz w:val="21"/>
        </w:rPr>
        <w:t xml:space="preserve"> </w:t>
      </w:r>
      <w:r>
        <w:rPr>
          <w:rFonts w:ascii="Times New Roman" w:hAnsi="Times New Roman"/>
          <w:color w:val="1F2937"/>
          <w:sz w:val="21"/>
        </w:rPr>
        <w:t>Management</w:t>
      </w:r>
      <w:r>
        <w:rPr>
          <w:rFonts w:ascii="Times New Roman" w:hAnsi="Times New Roman"/>
          <w:color w:val="1F2937"/>
          <w:spacing w:val="-7"/>
          <w:sz w:val="21"/>
        </w:rPr>
        <w:t xml:space="preserve"> </w:t>
      </w:r>
      <w:r>
        <w:rPr>
          <w:rFonts w:ascii="Times New Roman" w:hAnsi="Times New Roman"/>
          <w:color w:val="1F2937"/>
          <w:sz w:val="21"/>
        </w:rPr>
        <w:t>and</w:t>
      </w:r>
      <w:r>
        <w:rPr>
          <w:rFonts w:ascii="Times New Roman" w:hAnsi="Times New Roman"/>
          <w:color w:val="1F2937"/>
          <w:spacing w:val="-7"/>
          <w:sz w:val="21"/>
        </w:rPr>
        <w:t xml:space="preserve"> </w:t>
      </w:r>
      <w:r>
        <w:rPr>
          <w:rFonts w:ascii="Times New Roman" w:hAnsi="Times New Roman"/>
          <w:color w:val="1F2937"/>
          <w:sz w:val="21"/>
        </w:rPr>
        <w:t>Governance,</w:t>
      </w:r>
      <w:r>
        <w:rPr>
          <w:rFonts w:ascii="Times New Roman" w:hAnsi="Times New Roman"/>
          <w:color w:val="1F2937"/>
          <w:spacing w:val="-6"/>
          <w:sz w:val="21"/>
        </w:rPr>
        <w:t xml:space="preserve"> </w:t>
      </w:r>
      <w:r>
        <w:rPr>
          <w:rFonts w:ascii="Times New Roman" w:hAnsi="Times New Roman"/>
          <w:color w:val="1F2937"/>
          <w:sz w:val="21"/>
        </w:rPr>
        <w:t>2(1),</w:t>
      </w:r>
      <w:r>
        <w:rPr>
          <w:rFonts w:ascii="Times New Roman" w:hAnsi="Times New Roman"/>
          <w:color w:val="1F2937"/>
          <w:spacing w:val="-6"/>
          <w:sz w:val="21"/>
        </w:rPr>
        <w:t xml:space="preserve"> </w:t>
      </w:r>
      <w:r>
        <w:rPr>
          <w:rFonts w:ascii="Times New Roman" w:hAnsi="Times New Roman"/>
          <w:color w:val="1F2937"/>
          <w:sz w:val="21"/>
        </w:rPr>
        <w:t>39–</w:t>
      </w:r>
      <w:r>
        <w:rPr>
          <w:rFonts w:ascii="Times New Roman" w:hAnsi="Times New Roman"/>
          <w:color w:val="1F2937"/>
          <w:spacing w:val="-5"/>
          <w:sz w:val="21"/>
        </w:rPr>
        <w:t>56.</w:t>
      </w:r>
    </w:p>
    <w:p w:rsidR="002C50A5" w:rsidRDefault="00A447DA">
      <w:pPr>
        <w:spacing w:before="118"/>
        <w:ind w:left="442" w:right="817" w:hanging="420"/>
        <w:rPr>
          <w:rFonts w:ascii="Times New Roman" w:hAnsi="Times New Roman"/>
          <w:sz w:val="21"/>
        </w:rPr>
      </w:pPr>
      <w:proofErr w:type="spellStart"/>
      <w:r>
        <w:rPr>
          <w:rFonts w:ascii="Times New Roman" w:hAnsi="Times New Roman"/>
          <w:color w:val="1F2937"/>
          <w:sz w:val="21"/>
        </w:rPr>
        <w:t>Mökander</w:t>
      </w:r>
      <w:proofErr w:type="spellEnd"/>
      <w:r>
        <w:rPr>
          <w:rFonts w:ascii="Times New Roman" w:hAnsi="Times New Roman"/>
          <w:color w:val="1F2937"/>
          <w:sz w:val="21"/>
        </w:rPr>
        <w:t>,</w:t>
      </w:r>
      <w:r>
        <w:rPr>
          <w:rFonts w:ascii="Times New Roman" w:hAnsi="Times New Roman"/>
          <w:color w:val="1F2937"/>
          <w:spacing w:val="-6"/>
          <w:sz w:val="21"/>
        </w:rPr>
        <w:t xml:space="preserve"> </w:t>
      </w:r>
      <w:r>
        <w:rPr>
          <w:rFonts w:ascii="Times New Roman" w:hAnsi="Times New Roman"/>
          <w:color w:val="1F2937"/>
          <w:sz w:val="21"/>
        </w:rPr>
        <w:t>J.,</w:t>
      </w:r>
      <w:r>
        <w:rPr>
          <w:rFonts w:ascii="Times New Roman" w:hAnsi="Times New Roman"/>
          <w:color w:val="1F2937"/>
          <w:spacing w:val="-1"/>
          <w:sz w:val="21"/>
        </w:rPr>
        <w:t xml:space="preserve"> </w:t>
      </w:r>
      <w:proofErr w:type="spellStart"/>
      <w:r>
        <w:rPr>
          <w:rFonts w:ascii="Times New Roman" w:hAnsi="Times New Roman"/>
          <w:color w:val="1F2937"/>
          <w:sz w:val="21"/>
        </w:rPr>
        <w:t>Schuett</w:t>
      </w:r>
      <w:proofErr w:type="spellEnd"/>
      <w:r>
        <w:rPr>
          <w:rFonts w:ascii="Times New Roman" w:hAnsi="Times New Roman"/>
          <w:color w:val="1F2937"/>
          <w:sz w:val="21"/>
        </w:rPr>
        <w:t>,</w:t>
      </w:r>
      <w:r>
        <w:rPr>
          <w:rFonts w:ascii="Times New Roman" w:hAnsi="Times New Roman"/>
          <w:color w:val="1F2937"/>
          <w:spacing w:val="-4"/>
          <w:sz w:val="21"/>
        </w:rPr>
        <w:t xml:space="preserve"> </w:t>
      </w:r>
      <w:r>
        <w:rPr>
          <w:rFonts w:ascii="Times New Roman" w:hAnsi="Times New Roman"/>
          <w:color w:val="1F2937"/>
          <w:sz w:val="21"/>
        </w:rPr>
        <w:t>J.,</w:t>
      </w:r>
      <w:r>
        <w:rPr>
          <w:rFonts w:ascii="Times New Roman" w:hAnsi="Times New Roman"/>
          <w:color w:val="1F2937"/>
          <w:spacing w:val="-1"/>
          <w:sz w:val="21"/>
        </w:rPr>
        <w:t xml:space="preserve"> </w:t>
      </w:r>
      <w:r>
        <w:rPr>
          <w:rFonts w:ascii="Times New Roman" w:hAnsi="Times New Roman"/>
          <w:color w:val="1F2937"/>
          <w:sz w:val="21"/>
        </w:rPr>
        <w:t>Kirk,</w:t>
      </w:r>
      <w:r>
        <w:rPr>
          <w:rFonts w:ascii="Times New Roman" w:hAnsi="Times New Roman"/>
          <w:color w:val="1F2937"/>
          <w:spacing w:val="-1"/>
          <w:sz w:val="21"/>
        </w:rPr>
        <w:t xml:space="preserve"> </w:t>
      </w:r>
      <w:r>
        <w:rPr>
          <w:rFonts w:ascii="Times New Roman" w:hAnsi="Times New Roman"/>
          <w:color w:val="1F2937"/>
          <w:sz w:val="21"/>
        </w:rPr>
        <w:t>H.</w:t>
      </w:r>
      <w:r>
        <w:rPr>
          <w:rFonts w:ascii="Times New Roman" w:hAnsi="Times New Roman"/>
          <w:color w:val="1F2937"/>
          <w:spacing w:val="-4"/>
          <w:sz w:val="21"/>
        </w:rPr>
        <w:t xml:space="preserve"> </w:t>
      </w:r>
      <w:r>
        <w:rPr>
          <w:rFonts w:ascii="Times New Roman" w:hAnsi="Times New Roman"/>
          <w:color w:val="1F2937"/>
          <w:sz w:val="21"/>
        </w:rPr>
        <w:t>R.,</w:t>
      </w:r>
      <w:r>
        <w:rPr>
          <w:rFonts w:ascii="Times New Roman" w:hAnsi="Times New Roman"/>
          <w:color w:val="1F2937"/>
          <w:spacing w:val="-1"/>
          <w:sz w:val="21"/>
        </w:rPr>
        <w:t xml:space="preserve"> </w:t>
      </w:r>
      <w:r>
        <w:rPr>
          <w:rFonts w:ascii="Times New Roman" w:hAnsi="Times New Roman"/>
          <w:color w:val="1F2937"/>
          <w:sz w:val="21"/>
        </w:rPr>
        <w:t>&amp;</w:t>
      </w:r>
      <w:r>
        <w:rPr>
          <w:rFonts w:ascii="Times New Roman" w:hAnsi="Times New Roman"/>
          <w:color w:val="1F2937"/>
          <w:spacing w:val="-2"/>
          <w:sz w:val="21"/>
        </w:rPr>
        <w:t xml:space="preserve"> </w:t>
      </w:r>
      <w:proofErr w:type="spellStart"/>
      <w:r>
        <w:rPr>
          <w:rFonts w:ascii="Times New Roman" w:hAnsi="Times New Roman"/>
          <w:color w:val="1F2937"/>
          <w:sz w:val="21"/>
        </w:rPr>
        <w:t>Floridi</w:t>
      </w:r>
      <w:proofErr w:type="spellEnd"/>
      <w:r>
        <w:rPr>
          <w:rFonts w:ascii="Times New Roman" w:hAnsi="Times New Roman"/>
          <w:color w:val="1F2937"/>
          <w:sz w:val="21"/>
        </w:rPr>
        <w:t>, L.</w:t>
      </w:r>
      <w:r>
        <w:rPr>
          <w:rFonts w:ascii="Times New Roman" w:hAnsi="Times New Roman"/>
          <w:color w:val="1F2937"/>
          <w:spacing w:val="-1"/>
          <w:sz w:val="21"/>
        </w:rPr>
        <w:t xml:space="preserve"> </w:t>
      </w:r>
      <w:r>
        <w:rPr>
          <w:rFonts w:ascii="Times New Roman" w:hAnsi="Times New Roman"/>
          <w:color w:val="1F2937"/>
          <w:sz w:val="21"/>
        </w:rPr>
        <w:t>(2024).</w:t>
      </w:r>
      <w:r>
        <w:rPr>
          <w:rFonts w:ascii="Times New Roman" w:hAnsi="Times New Roman"/>
          <w:color w:val="1F2937"/>
          <w:spacing w:val="-1"/>
          <w:sz w:val="21"/>
        </w:rPr>
        <w:t xml:space="preserve"> </w:t>
      </w:r>
      <w:r>
        <w:rPr>
          <w:rFonts w:ascii="Times New Roman" w:hAnsi="Times New Roman"/>
          <w:color w:val="1F2937"/>
          <w:sz w:val="21"/>
        </w:rPr>
        <w:t>Auditing</w:t>
      </w:r>
      <w:r>
        <w:rPr>
          <w:rFonts w:ascii="Times New Roman" w:hAnsi="Times New Roman"/>
          <w:color w:val="1F2937"/>
          <w:spacing w:val="-1"/>
          <w:sz w:val="21"/>
        </w:rPr>
        <w:t xml:space="preserve"> </w:t>
      </w:r>
      <w:r>
        <w:rPr>
          <w:rFonts w:ascii="Times New Roman" w:hAnsi="Times New Roman"/>
          <w:color w:val="1F2937"/>
          <w:sz w:val="21"/>
        </w:rPr>
        <w:t>large</w:t>
      </w:r>
      <w:r>
        <w:rPr>
          <w:rFonts w:ascii="Times New Roman" w:hAnsi="Times New Roman"/>
          <w:color w:val="1F2937"/>
          <w:spacing w:val="-1"/>
          <w:sz w:val="21"/>
        </w:rPr>
        <w:t xml:space="preserve"> </w:t>
      </w:r>
      <w:r>
        <w:rPr>
          <w:rFonts w:ascii="Times New Roman" w:hAnsi="Times New Roman"/>
          <w:color w:val="1F2937"/>
          <w:sz w:val="21"/>
        </w:rPr>
        <w:t>language</w:t>
      </w:r>
      <w:r>
        <w:rPr>
          <w:rFonts w:ascii="Times New Roman" w:hAnsi="Times New Roman"/>
          <w:color w:val="1F2937"/>
          <w:spacing w:val="-4"/>
          <w:sz w:val="21"/>
        </w:rPr>
        <w:t xml:space="preserve"> </w:t>
      </w:r>
      <w:r>
        <w:rPr>
          <w:rFonts w:ascii="Times New Roman" w:hAnsi="Times New Roman"/>
          <w:color w:val="1F2937"/>
          <w:sz w:val="21"/>
        </w:rPr>
        <w:t>models:</w:t>
      </w:r>
      <w:r>
        <w:rPr>
          <w:rFonts w:ascii="Times New Roman" w:hAnsi="Times New Roman"/>
          <w:color w:val="1F2937"/>
          <w:spacing w:val="-2"/>
          <w:sz w:val="21"/>
        </w:rPr>
        <w:t xml:space="preserve"> </w:t>
      </w:r>
      <w:r>
        <w:rPr>
          <w:rFonts w:ascii="Times New Roman" w:hAnsi="Times New Roman"/>
          <w:color w:val="1F2937"/>
          <w:sz w:val="21"/>
        </w:rPr>
        <w:t xml:space="preserve">A three-layered approach. AI and Ethics, 4, 1085–1115. </w:t>
      </w:r>
      <w:hyperlink r:id="rId37">
        <w:r>
          <w:rPr>
            <w:rFonts w:ascii="Times New Roman" w:hAnsi="Times New Roman"/>
            <w:color w:val="0562C1"/>
            <w:sz w:val="21"/>
            <w:u w:val="single" w:color="0562C1"/>
          </w:rPr>
          <w:t>https://doi.org/10.1007/s43681-023-00289-2</w:t>
        </w:r>
      </w:hyperlink>
    </w:p>
    <w:p w:rsidR="002C50A5" w:rsidRDefault="00A447DA">
      <w:pPr>
        <w:spacing w:before="3" w:line="360" w:lineRule="atLeast"/>
        <w:ind w:left="23" w:right="92"/>
        <w:rPr>
          <w:rFonts w:ascii="Times New Roman"/>
          <w:sz w:val="21"/>
        </w:rPr>
      </w:pPr>
      <w:r>
        <w:rPr>
          <w:rFonts w:ascii="Times New Roman"/>
          <w:color w:val="1F2937"/>
          <w:sz w:val="21"/>
        </w:rPr>
        <w:t>Schwartz,</w:t>
      </w:r>
      <w:r>
        <w:rPr>
          <w:rFonts w:ascii="Times New Roman"/>
          <w:color w:val="1F2937"/>
          <w:spacing w:val="-5"/>
          <w:sz w:val="21"/>
        </w:rPr>
        <w:t xml:space="preserve"> </w:t>
      </w:r>
      <w:r>
        <w:rPr>
          <w:rFonts w:ascii="Times New Roman"/>
          <w:color w:val="1F2937"/>
          <w:sz w:val="21"/>
        </w:rPr>
        <w:t>P.</w:t>
      </w:r>
      <w:r>
        <w:rPr>
          <w:rFonts w:ascii="Times New Roman"/>
          <w:color w:val="1F2937"/>
          <w:spacing w:val="-2"/>
          <w:sz w:val="21"/>
        </w:rPr>
        <w:t xml:space="preserve"> </w:t>
      </w:r>
      <w:r>
        <w:rPr>
          <w:rFonts w:ascii="Times New Roman"/>
          <w:color w:val="1F2937"/>
          <w:sz w:val="21"/>
        </w:rPr>
        <w:t>(1991).</w:t>
      </w:r>
      <w:r>
        <w:rPr>
          <w:rFonts w:ascii="Times New Roman"/>
          <w:color w:val="1F2937"/>
          <w:spacing w:val="-5"/>
          <w:sz w:val="21"/>
        </w:rPr>
        <w:t xml:space="preserve"> </w:t>
      </w:r>
      <w:r>
        <w:rPr>
          <w:rFonts w:ascii="Times New Roman"/>
          <w:color w:val="1F2937"/>
          <w:sz w:val="21"/>
        </w:rPr>
        <w:t>The</w:t>
      </w:r>
      <w:r>
        <w:rPr>
          <w:rFonts w:ascii="Times New Roman"/>
          <w:color w:val="1F2937"/>
          <w:spacing w:val="-2"/>
          <w:sz w:val="21"/>
        </w:rPr>
        <w:t xml:space="preserve"> </w:t>
      </w:r>
      <w:r>
        <w:rPr>
          <w:rFonts w:ascii="Times New Roman"/>
          <w:color w:val="1F2937"/>
          <w:sz w:val="21"/>
        </w:rPr>
        <w:t>art</w:t>
      </w:r>
      <w:r>
        <w:rPr>
          <w:rFonts w:ascii="Times New Roman"/>
          <w:color w:val="1F2937"/>
          <w:spacing w:val="-6"/>
          <w:sz w:val="21"/>
        </w:rPr>
        <w:t xml:space="preserve"> </w:t>
      </w:r>
      <w:r>
        <w:rPr>
          <w:rFonts w:ascii="Times New Roman"/>
          <w:color w:val="1F2937"/>
          <w:sz w:val="21"/>
        </w:rPr>
        <w:t>of</w:t>
      </w:r>
      <w:r>
        <w:rPr>
          <w:rFonts w:ascii="Times New Roman"/>
          <w:color w:val="1F2937"/>
          <w:spacing w:val="-3"/>
          <w:sz w:val="21"/>
        </w:rPr>
        <w:t xml:space="preserve"> </w:t>
      </w:r>
      <w:r>
        <w:rPr>
          <w:rFonts w:ascii="Times New Roman"/>
          <w:color w:val="1F2937"/>
          <w:sz w:val="21"/>
        </w:rPr>
        <w:t>the</w:t>
      </w:r>
      <w:r>
        <w:rPr>
          <w:rFonts w:ascii="Times New Roman"/>
          <w:color w:val="1F2937"/>
          <w:spacing w:val="-2"/>
          <w:sz w:val="21"/>
        </w:rPr>
        <w:t xml:space="preserve"> </w:t>
      </w:r>
      <w:r>
        <w:rPr>
          <w:rFonts w:ascii="Times New Roman"/>
          <w:color w:val="1F2937"/>
          <w:sz w:val="21"/>
        </w:rPr>
        <w:t>long</w:t>
      </w:r>
      <w:r>
        <w:rPr>
          <w:rFonts w:ascii="Times New Roman"/>
          <w:color w:val="1F2937"/>
          <w:spacing w:val="-2"/>
          <w:sz w:val="21"/>
        </w:rPr>
        <w:t xml:space="preserve"> </w:t>
      </w:r>
      <w:r>
        <w:rPr>
          <w:rFonts w:ascii="Times New Roman"/>
          <w:color w:val="1F2937"/>
          <w:sz w:val="21"/>
        </w:rPr>
        <w:t>view:</w:t>
      </w:r>
      <w:r>
        <w:rPr>
          <w:rFonts w:ascii="Times New Roman"/>
          <w:color w:val="1F2937"/>
          <w:spacing w:val="-3"/>
          <w:sz w:val="21"/>
        </w:rPr>
        <w:t xml:space="preserve"> </w:t>
      </w:r>
      <w:r>
        <w:rPr>
          <w:rFonts w:ascii="Times New Roman"/>
          <w:color w:val="1F2937"/>
          <w:sz w:val="21"/>
        </w:rPr>
        <w:t>Planning</w:t>
      </w:r>
      <w:r>
        <w:rPr>
          <w:rFonts w:ascii="Times New Roman"/>
          <w:color w:val="1F2937"/>
          <w:spacing w:val="-2"/>
          <w:sz w:val="21"/>
        </w:rPr>
        <w:t xml:space="preserve"> </w:t>
      </w:r>
      <w:r>
        <w:rPr>
          <w:rFonts w:ascii="Times New Roman"/>
          <w:color w:val="1F2937"/>
          <w:sz w:val="21"/>
        </w:rPr>
        <w:t>for</w:t>
      </w:r>
      <w:r>
        <w:rPr>
          <w:rFonts w:ascii="Times New Roman"/>
          <w:color w:val="1F2937"/>
          <w:spacing w:val="-3"/>
          <w:sz w:val="21"/>
        </w:rPr>
        <w:t xml:space="preserve"> </w:t>
      </w:r>
      <w:r>
        <w:rPr>
          <w:rFonts w:ascii="Times New Roman"/>
          <w:color w:val="1F2937"/>
          <w:sz w:val="21"/>
        </w:rPr>
        <w:t>the</w:t>
      </w:r>
      <w:r>
        <w:rPr>
          <w:rFonts w:ascii="Times New Roman"/>
          <w:color w:val="1F2937"/>
          <w:spacing w:val="-2"/>
          <w:sz w:val="21"/>
        </w:rPr>
        <w:t xml:space="preserve"> </w:t>
      </w:r>
      <w:r>
        <w:rPr>
          <w:rFonts w:ascii="Times New Roman"/>
          <w:color w:val="1F2937"/>
          <w:sz w:val="21"/>
        </w:rPr>
        <w:t>future</w:t>
      </w:r>
      <w:r>
        <w:rPr>
          <w:rFonts w:ascii="Times New Roman"/>
          <w:color w:val="1F2937"/>
          <w:spacing w:val="-2"/>
          <w:sz w:val="21"/>
        </w:rPr>
        <w:t xml:space="preserve"> </w:t>
      </w:r>
      <w:r>
        <w:rPr>
          <w:rFonts w:ascii="Times New Roman"/>
          <w:color w:val="1F2937"/>
          <w:sz w:val="21"/>
        </w:rPr>
        <w:t>in</w:t>
      </w:r>
      <w:r>
        <w:rPr>
          <w:rFonts w:ascii="Times New Roman"/>
          <w:color w:val="1F2937"/>
          <w:spacing w:val="-2"/>
          <w:sz w:val="21"/>
        </w:rPr>
        <w:t xml:space="preserve"> </w:t>
      </w:r>
      <w:r>
        <w:rPr>
          <w:rFonts w:ascii="Times New Roman"/>
          <w:color w:val="1F2937"/>
          <w:sz w:val="21"/>
        </w:rPr>
        <w:t>an</w:t>
      </w:r>
      <w:r>
        <w:rPr>
          <w:rFonts w:ascii="Times New Roman"/>
          <w:color w:val="1F2937"/>
          <w:spacing w:val="-2"/>
          <w:sz w:val="21"/>
        </w:rPr>
        <w:t xml:space="preserve"> </w:t>
      </w:r>
      <w:r>
        <w:rPr>
          <w:rFonts w:ascii="Times New Roman"/>
          <w:color w:val="1F2937"/>
          <w:sz w:val="21"/>
        </w:rPr>
        <w:t>uncertain</w:t>
      </w:r>
      <w:r>
        <w:rPr>
          <w:rFonts w:ascii="Times New Roman"/>
          <w:color w:val="1F2937"/>
          <w:spacing w:val="-2"/>
          <w:sz w:val="21"/>
        </w:rPr>
        <w:t xml:space="preserve"> </w:t>
      </w:r>
      <w:r>
        <w:rPr>
          <w:rFonts w:ascii="Times New Roman"/>
          <w:color w:val="1F2937"/>
          <w:sz w:val="21"/>
        </w:rPr>
        <w:t>world.</w:t>
      </w:r>
      <w:r>
        <w:rPr>
          <w:rFonts w:ascii="Times New Roman"/>
          <w:color w:val="1F2937"/>
          <w:spacing w:val="-2"/>
          <w:sz w:val="21"/>
        </w:rPr>
        <w:t xml:space="preserve"> </w:t>
      </w:r>
      <w:r>
        <w:rPr>
          <w:rFonts w:ascii="Times New Roman"/>
          <w:color w:val="1F2937"/>
          <w:sz w:val="21"/>
        </w:rPr>
        <w:t xml:space="preserve">Doubleday. </w:t>
      </w:r>
      <w:proofErr w:type="spellStart"/>
      <w:r>
        <w:rPr>
          <w:rFonts w:ascii="Times New Roman"/>
          <w:color w:val="1F2937"/>
          <w:sz w:val="21"/>
        </w:rPr>
        <w:t>Skitka</w:t>
      </w:r>
      <w:proofErr w:type="spellEnd"/>
      <w:r>
        <w:rPr>
          <w:rFonts w:ascii="Times New Roman"/>
          <w:color w:val="1F2937"/>
          <w:sz w:val="21"/>
        </w:rPr>
        <w:t>, L. J., Mosier, K. L., &amp; Burdick, M. D. (1999). Does automation bias decision-making?</w:t>
      </w:r>
    </w:p>
    <w:p w:rsidR="002C50A5" w:rsidRDefault="00A447DA">
      <w:pPr>
        <w:ind w:left="442" w:right="92"/>
        <w:rPr>
          <w:rFonts w:ascii="Times New Roman" w:hAnsi="Times New Roman"/>
          <w:sz w:val="21"/>
        </w:rPr>
      </w:pPr>
      <w:r>
        <w:rPr>
          <w:rFonts w:ascii="Times New Roman" w:hAnsi="Times New Roman"/>
          <w:color w:val="1F2937"/>
          <w:sz w:val="21"/>
        </w:rPr>
        <w:t>International</w:t>
      </w:r>
      <w:r>
        <w:rPr>
          <w:rFonts w:ascii="Times New Roman" w:hAnsi="Times New Roman"/>
          <w:color w:val="1F2937"/>
          <w:spacing w:val="-5"/>
          <w:sz w:val="21"/>
        </w:rPr>
        <w:t xml:space="preserve"> </w:t>
      </w:r>
      <w:r>
        <w:rPr>
          <w:rFonts w:ascii="Times New Roman" w:hAnsi="Times New Roman"/>
          <w:color w:val="1F2937"/>
          <w:sz w:val="21"/>
        </w:rPr>
        <w:t>Journal</w:t>
      </w:r>
      <w:r>
        <w:rPr>
          <w:rFonts w:ascii="Times New Roman" w:hAnsi="Times New Roman"/>
          <w:color w:val="1F2937"/>
          <w:spacing w:val="-5"/>
          <w:sz w:val="21"/>
        </w:rPr>
        <w:t xml:space="preserve"> </w:t>
      </w:r>
      <w:r>
        <w:rPr>
          <w:rFonts w:ascii="Times New Roman" w:hAnsi="Times New Roman"/>
          <w:color w:val="1F2937"/>
          <w:sz w:val="21"/>
        </w:rPr>
        <w:t>of</w:t>
      </w:r>
      <w:r>
        <w:rPr>
          <w:rFonts w:ascii="Times New Roman" w:hAnsi="Times New Roman"/>
          <w:color w:val="1F2937"/>
          <w:spacing w:val="-7"/>
          <w:sz w:val="21"/>
        </w:rPr>
        <w:t xml:space="preserve"> </w:t>
      </w:r>
      <w:r>
        <w:rPr>
          <w:rFonts w:ascii="Times New Roman" w:hAnsi="Times New Roman"/>
          <w:color w:val="1F2937"/>
          <w:sz w:val="21"/>
        </w:rPr>
        <w:t>Human-Computer</w:t>
      </w:r>
      <w:r>
        <w:rPr>
          <w:rFonts w:ascii="Times New Roman" w:hAnsi="Times New Roman"/>
          <w:color w:val="1F2937"/>
          <w:spacing w:val="-5"/>
          <w:sz w:val="21"/>
        </w:rPr>
        <w:t xml:space="preserve"> </w:t>
      </w:r>
      <w:r>
        <w:rPr>
          <w:rFonts w:ascii="Times New Roman" w:hAnsi="Times New Roman"/>
          <w:color w:val="1F2937"/>
          <w:sz w:val="21"/>
        </w:rPr>
        <w:t>Studies,</w:t>
      </w:r>
      <w:r>
        <w:rPr>
          <w:rFonts w:ascii="Times New Roman" w:hAnsi="Times New Roman"/>
          <w:color w:val="1F2937"/>
          <w:spacing w:val="-4"/>
          <w:sz w:val="21"/>
        </w:rPr>
        <w:t xml:space="preserve"> </w:t>
      </w:r>
      <w:r>
        <w:rPr>
          <w:rFonts w:ascii="Times New Roman" w:hAnsi="Times New Roman"/>
          <w:color w:val="1F2937"/>
          <w:sz w:val="21"/>
        </w:rPr>
        <w:t>51(5),</w:t>
      </w:r>
      <w:r>
        <w:rPr>
          <w:rFonts w:ascii="Times New Roman" w:hAnsi="Times New Roman"/>
          <w:color w:val="1F2937"/>
          <w:spacing w:val="-7"/>
          <w:sz w:val="21"/>
        </w:rPr>
        <w:t xml:space="preserve"> </w:t>
      </w:r>
      <w:r>
        <w:rPr>
          <w:rFonts w:ascii="Times New Roman" w:hAnsi="Times New Roman"/>
          <w:color w:val="1F2937"/>
          <w:sz w:val="21"/>
        </w:rPr>
        <w:t xml:space="preserve">991–1006. </w:t>
      </w:r>
      <w:hyperlink r:id="rId38">
        <w:r>
          <w:rPr>
            <w:rFonts w:ascii="Times New Roman" w:hAnsi="Times New Roman"/>
            <w:color w:val="0562C1"/>
            <w:spacing w:val="-2"/>
            <w:sz w:val="21"/>
            <w:u w:val="single" w:color="0562C1"/>
          </w:rPr>
          <w:t>https://doi.org/10.1006/ijhc.1999.0252</w:t>
        </w:r>
      </w:hyperlink>
    </w:p>
    <w:p w:rsidR="002C50A5" w:rsidRDefault="00A447DA">
      <w:pPr>
        <w:spacing w:before="121"/>
        <w:ind w:left="443" w:hanging="421"/>
        <w:rPr>
          <w:rFonts w:ascii="Times New Roman" w:hAnsi="Times New Roman"/>
          <w:sz w:val="21"/>
        </w:rPr>
      </w:pPr>
      <w:r>
        <w:rPr>
          <w:rFonts w:ascii="Times New Roman" w:hAnsi="Times New Roman"/>
          <w:color w:val="1F2937"/>
          <w:sz w:val="21"/>
        </w:rPr>
        <w:t>Sunstein,</w:t>
      </w:r>
      <w:r>
        <w:rPr>
          <w:rFonts w:ascii="Times New Roman" w:hAnsi="Times New Roman"/>
          <w:color w:val="1F2937"/>
          <w:spacing w:val="-2"/>
          <w:sz w:val="21"/>
        </w:rPr>
        <w:t xml:space="preserve"> </w:t>
      </w:r>
      <w:r>
        <w:rPr>
          <w:rFonts w:ascii="Times New Roman" w:hAnsi="Times New Roman"/>
          <w:color w:val="1F2937"/>
          <w:sz w:val="21"/>
        </w:rPr>
        <w:t>C.</w:t>
      </w:r>
      <w:r>
        <w:rPr>
          <w:rFonts w:ascii="Times New Roman" w:hAnsi="Times New Roman"/>
          <w:color w:val="1F2937"/>
          <w:spacing w:val="-2"/>
          <w:sz w:val="21"/>
        </w:rPr>
        <w:t xml:space="preserve"> </w:t>
      </w:r>
      <w:r>
        <w:rPr>
          <w:rFonts w:ascii="Times New Roman" w:hAnsi="Times New Roman"/>
          <w:color w:val="1F2937"/>
          <w:sz w:val="21"/>
        </w:rPr>
        <w:t>R.</w:t>
      </w:r>
      <w:r>
        <w:rPr>
          <w:rFonts w:ascii="Times New Roman" w:hAnsi="Times New Roman"/>
          <w:color w:val="1F2937"/>
          <w:spacing w:val="-5"/>
          <w:sz w:val="21"/>
        </w:rPr>
        <w:t xml:space="preserve"> </w:t>
      </w:r>
      <w:r>
        <w:rPr>
          <w:rFonts w:ascii="Times New Roman" w:hAnsi="Times New Roman"/>
          <w:color w:val="1F2937"/>
          <w:sz w:val="21"/>
        </w:rPr>
        <w:t>(2000).</w:t>
      </w:r>
      <w:r>
        <w:rPr>
          <w:rFonts w:ascii="Times New Roman" w:hAnsi="Times New Roman"/>
          <w:color w:val="1F2937"/>
          <w:spacing w:val="-5"/>
          <w:sz w:val="21"/>
        </w:rPr>
        <w:t xml:space="preserve"> </w:t>
      </w:r>
      <w:r>
        <w:rPr>
          <w:rFonts w:ascii="Times New Roman" w:hAnsi="Times New Roman"/>
          <w:color w:val="1F2937"/>
          <w:sz w:val="21"/>
        </w:rPr>
        <w:t>Nondelegation</w:t>
      </w:r>
      <w:r>
        <w:rPr>
          <w:rFonts w:ascii="Times New Roman" w:hAnsi="Times New Roman"/>
          <w:color w:val="1F2937"/>
          <w:spacing w:val="-2"/>
          <w:sz w:val="21"/>
        </w:rPr>
        <w:t xml:space="preserve"> </w:t>
      </w:r>
      <w:r>
        <w:rPr>
          <w:rFonts w:ascii="Times New Roman" w:hAnsi="Times New Roman"/>
          <w:color w:val="1F2937"/>
          <w:sz w:val="21"/>
        </w:rPr>
        <w:t>canons.</w:t>
      </w:r>
      <w:r>
        <w:rPr>
          <w:rFonts w:ascii="Times New Roman" w:hAnsi="Times New Roman"/>
          <w:color w:val="1F2937"/>
          <w:spacing w:val="-2"/>
          <w:sz w:val="21"/>
        </w:rPr>
        <w:t xml:space="preserve"> </w:t>
      </w:r>
      <w:r>
        <w:rPr>
          <w:rFonts w:ascii="Times New Roman" w:hAnsi="Times New Roman"/>
          <w:color w:val="1F2937"/>
          <w:sz w:val="21"/>
        </w:rPr>
        <w:t>University</w:t>
      </w:r>
      <w:r>
        <w:rPr>
          <w:rFonts w:ascii="Times New Roman" w:hAnsi="Times New Roman"/>
          <w:color w:val="1F2937"/>
          <w:spacing w:val="-2"/>
          <w:sz w:val="21"/>
        </w:rPr>
        <w:t xml:space="preserve"> </w:t>
      </w:r>
      <w:r>
        <w:rPr>
          <w:rFonts w:ascii="Times New Roman" w:hAnsi="Times New Roman"/>
          <w:color w:val="1F2937"/>
          <w:sz w:val="21"/>
        </w:rPr>
        <w:t>of</w:t>
      </w:r>
      <w:r>
        <w:rPr>
          <w:rFonts w:ascii="Times New Roman" w:hAnsi="Times New Roman"/>
          <w:color w:val="1F2937"/>
          <w:spacing w:val="-3"/>
          <w:sz w:val="21"/>
        </w:rPr>
        <w:t xml:space="preserve"> </w:t>
      </w:r>
      <w:r>
        <w:rPr>
          <w:rFonts w:ascii="Times New Roman" w:hAnsi="Times New Roman"/>
          <w:color w:val="1F2937"/>
          <w:sz w:val="21"/>
        </w:rPr>
        <w:t>Chicago</w:t>
      </w:r>
      <w:r>
        <w:rPr>
          <w:rFonts w:ascii="Times New Roman" w:hAnsi="Times New Roman"/>
          <w:color w:val="1F2937"/>
          <w:spacing w:val="-2"/>
          <w:sz w:val="21"/>
        </w:rPr>
        <w:t xml:space="preserve"> </w:t>
      </w:r>
      <w:r>
        <w:rPr>
          <w:rFonts w:ascii="Times New Roman" w:hAnsi="Times New Roman"/>
          <w:color w:val="1F2937"/>
          <w:sz w:val="21"/>
        </w:rPr>
        <w:t>Law</w:t>
      </w:r>
      <w:r>
        <w:rPr>
          <w:rFonts w:ascii="Times New Roman" w:hAnsi="Times New Roman"/>
          <w:color w:val="1F2937"/>
          <w:spacing w:val="-4"/>
          <w:sz w:val="21"/>
        </w:rPr>
        <w:t xml:space="preserve"> </w:t>
      </w:r>
      <w:r>
        <w:rPr>
          <w:rFonts w:ascii="Times New Roman" w:hAnsi="Times New Roman"/>
          <w:color w:val="1F2937"/>
          <w:sz w:val="21"/>
        </w:rPr>
        <w:t>Review,</w:t>
      </w:r>
      <w:r>
        <w:rPr>
          <w:rFonts w:ascii="Times New Roman" w:hAnsi="Times New Roman"/>
          <w:color w:val="1F2937"/>
          <w:spacing w:val="-2"/>
          <w:sz w:val="21"/>
        </w:rPr>
        <w:t xml:space="preserve"> </w:t>
      </w:r>
      <w:r>
        <w:rPr>
          <w:rFonts w:ascii="Times New Roman" w:hAnsi="Times New Roman"/>
          <w:color w:val="1F2937"/>
          <w:sz w:val="21"/>
        </w:rPr>
        <w:t>67(2),</w:t>
      </w:r>
      <w:r>
        <w:rPr>
          <w:rFonts w:ascii="Times New Roman" w:hAnsi="Times New Roman"/>
          <w:color w:val="1F2937"/>
          <w:spacing w:val="-2"/>
          <w:sz w:val="21"/>
        </w:rPr>
        <w:t xml:space="preserve"> </w:t>
      </w:r>
      <w:r>
        <w:rPr>
          <w:rFonts w:ascii="Times New Roman" w:hAnsi="Times New Roman"/>
          <w:color w:val="1F2937"/>
          <w:sz w:val="21"/>
        </w:rPr>
        <w:t xml:space="preserve">315–343. </w:t>
      </w:r>
      <w:hyperlink r:id="rId39">
        <w:r>
          <w:rPr>
            <w:rFonts w:ascii="Times New Roman" w:hAnsi="Times New Roman"/>
            <w:color w:val="0562C1"/>
            <w:spacing w:val="-2"/>
            <w:sz w:val="21"/>
            <w:u w:val="single" w:color="0562C1"/>
          </w:rPr>
          <w:t>https://doi.org/10.2307/1600374</w:t>
        </w:r>
      </w:hyperlink>
    </w:p>
    <w:p w:rsidR="002C50A5" w:rsidRDefault="00A447DA">
      <w:pPr>
        <w:spacing w:before="119"/>
        <w:ind w:left="443" w:right="92" w:hanging="421"/>
        <w:rPr>
          <w:rFonts w:ascii="Times New Roman" w:hAnsi="Times New Roman"/>
          <w:sz w:val="21"/>
        </w:rPr>
      </w:pPr>
      <w:proofErr w:type="spellStart"/>
      <w:r>
        <w:rPr>
          <w:rFonts w:ascii="Times New Roman" w:hAnsi="Times New Roman"/>
          <w:color w:val="1F2937"/>
          <w:sz w:val="21"/>
        </w:rPr>
        <w:t>Ulnicane</w:t>
      </w:r>
      <w:proofErr w:type="spellEnd"/>
      <w:r>
        <w:rPr>
          <w:rFonts w:ascii="Times New Roman" w:hAnsi="Times New Roman"/>
          <w:color w:val="1F2937"/>
          <w:sz w:val="21"/>
        </w:rPr>
        <w:t>,</w:t>
      </w:r>
      <w:r>
        <w:rPr>
          <w:rFonts w:ascii="Times New Roman" w:hAnsi="Times New Roman"/>
          <w:color w:val="1F2937"/>
          <w:spacing w:val="-2"/>
          <w:sz w:val="21"/>
        </w:rPr>
        <w:t xml:space="preserve"> </w:t>
      </w:r>
      <w:r>
        <w:rPr>
          <w:rFonts w:ascii="Times New Roman" w:hAnsi="Times New Roman"/>
          <w:color w:val="1F2937"/>
          <w:sz w:val="21"/>
        </w:rPr>
        <w:t>I.,</w:t>
      </w:r>
      <w:r>
        <w:rPr>
          <w:rFonts w:ascii="Times New Roman" w:hAnsi="Times New Roman"/>
          <w:color w:val="1F2937"/>
          <w:spacing w:val="-2"/>
          <w:sz w:val="21"/>
        </w:rPr>
        <w:t xml:space="preserve"> </w:t>
      </w:r>
      <w:r>
        <w:rPr>
          <w:rFonts w:ascii="Times New Roman" w:hAnsi="Times New Roman"/>
          <w:color w:val="1F2937"/>
          <w:sz w:val="21"/>
        </w:rPr>
        <w:t>Knight,</w:t>
      </w:r>
      <w:r>
        <w:rPr>
          <w:rFonts w:ascii="Times New Roman" w:hAnsi="Times New Roman"/>
          <w:color w:val="1F2937"/>
          <w:spacing w:val="-2"/>
          <w:sz w:val="21"/>
        </w:rPr>
        <w:t xml:space="preserve"> </w:t>
      </w:r>
      <w:r>
        <w:rPr>
          <w:rFonts w:ascii="Times New Roman" w:hAnsi="Times New Roman"/>
          <w:color w:val="1F2937"/>
          <w:sz w:val="21"/>
        </w:rPr>
        <w:t>W.,</w:t>
      </w:r>
      <w:r>
        <w:rPr>
          <w:rFonts w:ascii="Times New Roman" w:hAnsi="Times New Roman"/>
          <w:color w:val="1F2937"/>
          <w:spacing w:val="-2"/>
          <w:sz w:val="21"/>
        </w:rPr>
        <w:t xml:space="preserve"> </w:t>
      </w:r>
      <w:r>
        <w:rPr>
          <w:rFonts w:ascii="Times New Roman" w:hAnsi="Times New Roman"/>
          <w:color w:val="1F2937"/>
          <w:sz w:val="21"/>
        </w:rPr>
        <w:t>Leach,</w:t>
      </w:r>
      <w:r>
        <w:rPr>
          <w:rFonts w:ascii="Times New Roman" w:hAnsi="Times New Roman"/>
          <w:color w:val="1F2937"/>
          <w:spacing w:val="-2"/>
          <w:sz w:val="21"/>
        </w:rPr>
        <w:t xml:space="preserve"> </w:t>
      </w:r>
      <w:r>
        <w:rPr>
          <w:rFonts w:ascii="Times New Roman" w:hAnsi="Times New Roman"/>
          <w:color w:val="1F2937"/>
          <w:sz w:val="21"/>
        </w:rPr>
        <w:t>T.,</w:t>
      </w:r>
      <w:r>
        <w:rPr>
          <w:rFonts w:ascii="Times New Roman" w:hAnsi="Times New Roman"/>
          <w:color w:val="1F2937"/>
          <w:spacing w:val="-5"/>
          <w:sz w:val="21"/>
        </w:rPr>
        <w:t xml:space="preserve"> </w:t>
      </w:r>
      <w:r>
        <w:rPr>
          <w:rFonts w:ascii="Times New Roman" w:hAnsi="Times New Roman"/>
          <w:color w:val="1F2937"/>
          <w:sz w:val="21"/>
        </w:rPr>
        <w:t>Stahl,</w:t>
      </w:r>
      <w:r>
        <w:rPr>
          <w:rFonts w:ascii="Times New Roman" w:hAnsi="Times New Roman"/>
          <w:color w:val="1F2937"/>
          <w:spacing w:val="-5"/>
          <w:sz w:val="21"/>
        </w:rPr>
        <w:t xml:space="preserve"> </w:t>
      </w:r>
      <w:r>
        <w:rPr>
          <w:rFonts w:ascii="Times New Roman" w:hAnsi="Times New Roman"/>
          <w:color w:val="1F2937"/>
          <w:sz w:val="21"/>
        </w:rPr>
        <w:t>B.</w:t>
      </w:r>
      <w:r>
        <w:rPr>
          <w:rFonts w:ascii="Times New Roman" w:hAnsi="Times New Roman"/>
          <w:color w:val="1F2937"/>
          <w:spacing w:val="-2"/>
          <w:sz w:val="21"/>
        </w:rPr>
        <w:t xml:space="preserve"> </w:t>
      </w:r>
      <w:r>
        <w:rPr>
          <w:rFonts w:ascii="Times New Roman" w:hAnsi="Times New Roman"/>
          <w:color w:val="1F2937"/>
          <w:sz w:val="21"/>
        </w:rPr>
        <w:t>C.,</w:t>
      </w:r>
      <w:r>
        <w:rPr>
          <w:rFonts w:ascii="Times New Roman" w:hAnsi="Times New Roman"/>
          <w:color w:val="1F2937"/>
          <w:spacing w:val="-2"/>
          <w:sz w:val="21"/>
        </w:rPr>
        <w:t xml:space="preserve"> </w:t>
      </w:r>
      <w:r>
        <w:rPr>
          <w:rFonts w:ascii="Times New Roman" w:hAnsi="Times New Roman"/>
          <w:color w:val="1F2937"/>
          <w:sz w:val="21"/>
        </w:rPr>
        <w:t>&amp;</w:t>
      </w:r>
      <w:r>
        <w:rPr>
          <w:rFonts w:ascii="Times New Roman" w:hAnsi="Times New Roman"/>
          <w:color w:val="1F2937"/>
          <w:spacing w:val="-3"/>
          <w:sz w:val="21"/>
        </w:rPr>
        <w:t xml:space="preserve"> </w:t>
      </w:r>
      <w:r>
        <w:rPr>
          <w:rFonts w:ascii="Times New Roman" w:hAnsi="Times New Roman"/>
          <w:color w:val="1F2937"/>
          <w:sz w:val="21"/>
        </w:rPr>
        <w:t>Wanjiku,</w:t>
      </w:r>
      <w:r>
        <w:rPr>
          <w:rFonts w:ascii="Times New Roman" w:hAnsi="Times New Roman"/>
          <w:color w:val="1F2937"/>
          <w:spacing w:val="-2"/>
          <w:sz w:val="21"/>
        </w:rPr>
        <w:t xml:space="preserve"> </w:t>
      </w:r>
      <w:r>
        <w:rPr>
          <w:rFonts w:ascii="Times New Roman" w:hAnsi="Times New Roman"/>
          <w:color w:val="1F2937"/>
          <w:sz w:val="21"/>
        </w:rPr>
        <w:t>W.-G.</w:t>
      </w:r>
      <w:r>
        <w:rPr>
          <w:rFonts w:ascii="Times New Roman" w:hAnsi="Times New Roman"/>
          <w:color w:val="1F2937"/>
          <w:spacing w:val="-2"/>
          <w:sz w:val="21"/>
        </w:rPr>
        <w:t xml:space="preserve"> </w:t>
      </w:r>
      <w:r>
        <w:rPr>
          <w:rFonts w:ascii="Times New Roman" w:hAnsi="Times New Roman"/>
          <w:color w:val="1F2937"/>
          <w:sz w:val="21"/>
        </w:rPr>
        <w:t>(2021).</w:t>
      </w:r>
      <w:r>
        <w:rPr>
          <w:rFonts w:ascii="Times New Roman" w:hAnsi="Times New Roman"/>
          <w:color w:val="1F2937"/>
          <w:spacing w:val="-2"/>
          <w:sz w:val="21"/>
        </w:rPr>
        <w:t xml:space="preserve"> </w:t>
      </w:r>
      <w:r>
        <w:rPr>
          <w:rFonts w:ascii="Times New Roman" w:hAnsi="Times New Roman"/>
          <w:color w:val="1F2937"/>
          <w:sz w:val="21"/>
        </w:rPr>
        <w:t>Framing</w:t>
      </w:r>
      <w:r>
        <w:rPr>
          <w:rFonts w:ascii="Times New Roman" w:hAnsi="Times New Roman"/>
          <w:color w:val="1F2937"/>
          <w:spacing w:val="-2"/>
          <w:sz w:val="21"/>
        </w:rPr>
        <w:t xml:space="preserve"> </w:t>
      </w:r>
      <w:r>
        <w:rPr>
          <w:rFonts w:ascii="Times New Roman" w:hAnsi="Times New Roman"/>
          <w:color w:val="1F2937"/>
          <w:sz w:val="21"/>
        </w:rPr>
        <w:t>governance</w:t>
      </w:r>
      <w:r>
        <w:rPr>
          <w:rFonts w:ascii="Times New Roman" w:hAnsi="Times New Roman"/>
          <w:color w:val="1F2937"/>
          <w:spacing w:val="-2"/>
          <w:sz w:val="21"/>
        </w:rPr>
        <w:t xml:space="preserve"> </w:t>
      </w:r>
      <w:r>
        <w:rPr>
          <w:rFonts w:ascii="Times New Roman" w:hAnsi="Times New Roman"/>
          <w:color w:val="1F2937"/>
          <w:sz w:val="21"/>
        </w:rPr>
        <w:t>for</w:t>
      </w:r>
      <w:r>
        <w:rPr>
          <w:rFonts w:ascii="Times New Roman" w:hAnsi="Times New Roman"/>
          <w:color w:val="1F2937"/>
          <w:spacing w:val="-3"/>
          <w:sz w:val="21"/>
        </w:rPr>
        <w:t xml:space="preserve"> </w:t>
      </w:r>
      <w:r>
        <w:rPr>
          <w:rFonts w:ascii="Times New Roman" w:hAnsi="Times New Roman"/>
          <w:color w:val="1F2937"/>
          <w:sz w:val="21"/>
        </w:rPr>
        <w:t xml:space="preserve">a contested emerging technology: Insights from AI policy. Policy and Society, 40(2), 158–177. </w:t>
      </w:r>
      <w:hyperlink r:id="rId40">
        <w:r>
          <w:rPr>
            <w:rFonts w:ascii="Times New Roman" w:hAnsi="Times New Roman"/>
            <w:color w:val="0562C1"/>
            <w:spacing w:val="-2"/>
            <w:sz w:val="21"/>
            <w:u w:val="single" w:color="0562C1"/>
          </w:rPr>
          <w:t>https://doi.org/10.1080/14494035.2020.1855800</w:t>
        </w:r>
      </w:hyperlink>
    </w:p>
    <w:p w:rsidR="002C50A5" w:rsidRDefault="00A447DA">
      <w:pPr>
        <w:spacing w:before="2" w:line="360" w:lineRule="atLeast"/>
        <w:ind w:left="23" w:right="2498"/>
        <w:rPr>
          <w:rFonts w:ascii="Times New Roman" w:hAnsi="Times New Roman"/>
          <w:sz w:val="21"/>
        </w:rPr>
      </w:pPr>
      <w:r>
        <w:rPr>
          <w:rFonts w:ascii="Times New Roman" w:hAnsi="Times New Roman"/>
          <w:color w:val="1F2937"/>
          <w:sz w:val="21"/>
        </w:rPr>
        <w:t xml:space="preserve">van der Heijden, K. (1996). Scenarios: The art of strategic conversation. Wiley. </w:t>
      </w:r>
      <w:proofErr w:type="spellStart"/>
      <w:r>
        <w:rPr>
          <w:rFonts w:ascii="Times New Roman" w:hAnsi="Times New Roman"/>
          <w:color w:val="1F2937"/>
          <w:sz w:val="21"/>
        </w:rPr>
        <w:t>Voros</w:t>
      </w:r>
      <w:proofErr w:type="spellEnd"/>
      <w:r>
        <w:rPr>
          <w:rFonts w:ascii="Times New Roman" w:hAnsi="Times New Roman"/>
          <w:color w:val="1F2937"/>
          <w:sz w:val="21"/>
        </w:rPr>
        <w:t>,</w:t>
      </w:r>
      <w:r>
        <w:rPr>
          <w:rFonts w:ascii="Times New Roman" w:hAnsi="Times New Roman"/>
          <w:color w:val="1F2937"/>
          <w:spacing w:val="-5"/>
          <w:sz w:val="21"/>
        </w:rPr>
        <w:t xml:space="preserve"> </w:t>
      </w:r>
      <w:r>
        <w:rPr>
          <w:rFonts w:ascii="Times New Roman" w:hAnsi="Times New Roman"/>
          <w:color w:val="1F2937"/>
          <w:sz w:val="21"/>
        </w:rPr>
        <w:t>J.</w:t>
      </w:r>
      <w:r>
        <w:rPr>
          <w:rFonts w:ascii="Times New Roman" w:hAnsi="Times New Roman"/>
          <w:color w:val="1F2937"/>
          <w:spacing w:val="-5"/>
          <w:sz w:val="21"/>
        </w:rPr>
        <w:t xml:space="preserve"> </w:t>
      </w:r>
      <w:r>
        <w:rPr>
          <w:rFonts w:ascii="Times New Roman" w:hAnsi="Times New Roman"/>
          <w:color w:val="1F2937"/>
          <w:sz w:val="21"/>
        </w:rPr>
        <w:t>(2003).</w:t>
      </w:r>
      <w:r>
        <w:rPr>
          <w:rFonts w:ascii="Times New Roman" w:hAnsi="Times New Roman"/>
          <w:color w:val="1F2937"/>
          <w:spacing w:val="-5"/>
          <w:sz w:val="21"/>
        </w:rPr>
        <w:t xml:space="preserve"> </w:t>
      </w:r>
      <w:r>
        <w:rPr>
          <w:rFonts w:ascii="Times New Roman" w:hAnsi="Times New Roman"/>
          <w:color w:val="1F2937"/>
          <w:sz w:val="21"/>
        </w:rPr>
        <w:t>A</w:t>
      </w:r>
      <w:r>
        <w:rPr>
          <w:rFonts w:ascii="Times New Roman" w:hAnsi="Times New Roman"/>
          <w:color w:val="1F2937"/>
          <w:spacing w:val="-4"/>
          <w:sz w:val="21"/>
        </w:rPr>
        <w:t xml:space="preserve"> </w:t>
      </w:r>
      <w:r>
        <w:rPr>
          <w:rFonts w:ascii="Times New Roman" w:hAnsi="Times New Roman"/>
          <w:color w:val="1F2937"/>
          <w:sz w:val="21"/>
        </w:rPr>
        <w:t>generic</w:t>
      </w:r>
      <w:r>
        <w:rPr>
          <w:rFonts w:ascii="Times New Roman" w:hAnsi="Times New Roman"/>
          <w:color w:val="1F2937"/>
          <w:spacing w:val="-2"/>
          <w:sz w:val="21"/>
        </w:rPr>
        <w:t xml:space="preserve"> </w:t>
      </w:r>
      <w:r>
        <w:rPr>
          <w:rFonts w:ascii="Times New Roman" w:hAnsi="Times New Roman"/>
          <w:color w:val="1F2937"/>
          <w:sz w:val="21"/>
        </w:rPr>
        <w:t>foresight</w:t>
      </w:r>
      <w:r>
        <w:rPr>
          <w:rFonts w:ascii="Times New Roman" w:hAnsi="Times New Roman"/>
          <w:color w:val="1F2937"/>
          <w:spacing w:val="-3"/>
          <w:sz w:val="21"/>
        </w:rPr>
        <w:t xml:space="preserve"> </w:t>
      </w:r>
      <w:r>
        <w:rPr>
          <w:rFonts w:ascii="Times New Roman" w:hAnsi="Times New Roman"/>
          <w:color w:val="1F2937"/>
          <w:sz w:val="21"/>
        </w:rPr>
        <w:t>process</w:t>
      </w:r>
      <w:r>
        <w:rPr>
          <w:rFonts w:ascii="Times New Roman" w:hAnsi="Times New Roman"/>
          <w:color w:val="1F2937"/>
          <w:spacing w:val="-3"/>
          <w:sz w:val="21"/>
        </w:rPr>
        <w:t xml:space="preserve"> </w:t>
      </w:r>
      <w:r>
        <w:rPr>
          <w:rFonts w:ascii="Times New Roman" w:hAnsi="Times New Roman"/>
          <w:color w:val="1F2937"/>
          <w:sz w:val="21"/>
        </w:rPr>
        <w:t>framework.</w:t>
      </w:r>
      <w:r>
        <w:rPr>
          <w:rFonts w:ascii="Times New Roman" w:hAnsi="Times New Roman"/>
          <w:color w:val="1F2937"/>
          <w:spacing w:val="-2"/>
          <w:sz w:val="21"/>
        </w:rPr>
        <w:t xml:space="preserve"> </w:t>
      </w:r>
      <w:r>
        <w:rPr>
          <w:rFonts w:ascii="Times New Roman" w:hAnsi="Times New Roman"/>
          <w:color w:val="1F2937"/>
          <w:sz w:val="21"/>
        </w:rPr>
        <w:t>Foresight,</w:t>
      </w:r>
      <w:r>
        <w:rPr>
          <w:rFonts w:ascii="Times New Roman" w:hAnsi="Times New Roman"/>
          <w:color w:val="1F2937"/>
          <w:spacing w:val="-2"/>
          <w:sz w:val="21"/>
        </w:rPr>
        <w:t xml:space="preserve"> </w:t>
      </w:r>
      <w:r>
        <w:rPr>
          <w:rFonts w:ascii="Times New Roman" w:hAnsi="Times New Roman"/>
          <w:color w:val="1F2937"/>
          <w:sz w:val="21"/>
        </w:rPr>
        <w:lastRenderedPageBreak/>
        <w:t>5(3),</w:t>
      </w:r>
      <w:r>
        <w:rPr>
          <w:rFonts w:ascii="Times New Roman" w:hAnsi="Times New Roman"/>
          <w:color w:val="1F2937"/>
          <w:spacing w:val="-2"/>
          <w:sz w:val="21"/>
        </w:rPr>
        <w:t xml:space="preserve"> </w:t>
      </w:r>
      <w:r>
        <w:rPr>
          <w:rFonts w:ascii="Times New Roman" w:hAnsi="Times New Roman"/>
          <w:color w:val="1F2937"/>
          <w:sz w:val="21"/>
        </w:rPr>
        <w:t>10–21.</w:t>
      </w:r>
    </w:p>
    <w:p w:rsidR="002C50A5" w:rsidRDefault="00D83FF3">
      <w:pPr>
        <w:spacing w:before="1"/>
        <w:ind w:left="443"/>
        <w:rPr>
          <w:rFonts w:ascii="Times New Roman"/>
          <w:sz w:val="21"/>
        </w:rPr>
      </w:pPr>
      <w:hyperlink r:id="rId41">
        <w:r w:rsidR="00A447DA">
          <w:rPr>
            <w:rFonts w:ascii="Times New Roman"/>
            <w:color w:val="0562C1"/>
            <w:spacing w:val="-2"/>
            <w:sz w:val="21"/>
            <w:u w:val="single" w:color="0562C1"/>
          </w:rPr>
          <w:t>https://doi.org/10.1108/14636680310698379</w:t>
        </w:r>
      </w:hyperlink>
    </w:p>
    <w:p w:rsidR="002C50A5" w:rsidRDefault="00A447DA">
      <w:pPr>
        <w:spacing w:before="121"/>
        <w:ind w:left="443" w:right="2498" w:hanging="421"/>
        <w:rPr>
          <w:rFonts w:ascii="Times New Roman"/>
          <w:sz w:val="21"/>
        </w:rPr>
      </w:pPr>
      <w:proofErr w:type="spellStart"/>
      <w:r>
        <w:rPr>
          <w:rFonts w:ascii="Times New Roman"/>
          <w:color w:val="1F2937"/>
          <w:sz w:val="21"/>
        </w:rPr>
        <w:t>Voros</w:t>
      </w:r>
      <w:proofErr w:type="spellEnd"/>
      <w:r>
        <w:rPr>
          <w:rFonts w:ascii="Times New Roman"/>
          <w:color w:val="1F2937"/>
          <w:sz w:val="21"/>
        </w:rPr>
        <w:t>,</w:t>
      </w:r>
      <w:r>
        <w:rPr>
          <w:rFonts w:ascii="Times New Roman"/>
          <w:color w:val="1F2937"/>
          <w:spacing w:val="-4"/>
          <w:sz w:val="21"/>
        </w:rPr>
        <w:t xml:space="preserve"> </w:t>
      </w:r>
      <w:r>
        <w:rPr>
          <w:rFonts w:ascii="Times New Roman"/>
          <w:color w:val="1F2937"/>
          <w:sz w:val="21"/>
        </w:rPr>
        <w:t>J.</w:t>
      </w:r>
      <w:r>
        <w:rPr>
          <w:rFonts w:ascii="Times New Roman"/>
          <w:color w:val="1F2937"/>
          <w:spacing w:val="-4"/>
          <w:sz w:val="21"/>
        </w:rPr>
        <w:t xml:space="preserve"> </w:t>
      </w:r>
      <w:r>
        <w:rPr>
          <w:rFonts w:ascii="Times New Roman"/>
          <w:color w:val="1F2937"/>
          <w:sz w:val="21"/>
        </w:rPr>
        <w:t>(2017,</w:t>
      </w:r>
      <w:r>
        <w:rPr>
          <w:rFonts w:ascii="Times New Roman"/>
          <w:color w:val="1F2937"/>
          <w:spacing w:val="-1"/>
          <w:sz w:val="21"/>
        </w:rPr>
        <w:t xml:space="preserve"> </w:t>
      </w:r>
      <w:r>
        <w:rPr>
          <w:rFonts w:ascii="Times New Roman"/>
          <w:color w:val="1F2937"/>
          <w:sz w:val="21"/>
        </w:rPr>
        <w:t>February</w:t>
      </w:r>
      <w:r>
        <w:rPr>
          <w:rFonts w:ascii="Times New Roman"/>
          <w:color w:val="1F2937"/>
          <w:spacing w:val="-6"/>
          <w:sz w:val="21"/>
        </w:rPr>
        <w:t xml:space="preserve"> </w:t>
      </w:r>
      <w:r>
        <w:rPr>
          <w:rFonts w:ascii="Times New Roman"/>
          <w:color w:val="1F2937"/>
          <w:sz w:val="21"/>
        </w:rPr>
        <w:t>24).</w:t>
      </w:r>
      <w:r>
        <w:rPr>
          <w:rFonts w:ascii="Times New Roman"/>
          <w:color w:val="1F2937"/>
          <w:spacing w:val="-1"/>
          <w:sz w:val="21"/>
        </w:rPr>
        <w:t xml:space="preserve"> </w:t>
      </w:r>
      <w:r>
        <w:rPr>
          <w:rFonts w:ascii="Times New Roman"/>
          <w:color w:val="1F2937"/>
          <w:sz w:val="21"/>
        </w:rPr>
        <w:t>The</w:t>
      </w:r>
      <w:r>
        <w:rPr>
          <w:rFonts w:ascii="Times New Roman"/>
          <w:color w:val="1F2937"/>
          <w:spacing w:val="-1"/>
          <w:sz w:val="21"/>
        </w:rPr>
        <w:t xml:space="preserve"> </w:t>
      </w:r>
      <w:r>
        <w:rPr>
          <w:rFonts w:ascii="Times New Roman"/>
          <w:color w:val="1F2937"/>
          <w:sz w:val="21"/>
        </w:rPr>
        <w:t>futures</w:t>
      </w:r>
      <w:r>
        <w:rPr>
          <w:rFonts w:ascii="Times New Roman"/>
          <w:color w:val="1F2937"/>
          <w:spacing w:val="-2"/>
          <w:sz w:val="21"/>
        </w:rPr>
        <w:t xml:space="preserve"> </w:t>
      </w:r>
      <w:r>
        <w:rPr>
          <w:rFonts w:ascii="Times New Roman"/>
          <w:color w:val="1F2937"/>
          <w:sz w:val="21"/>
        </w:rPr>
        <w:t>cone,</w:t>
      </w:r>
      <w:r>
        <w:rPr>
          <w:rFonts w:ascii="Times New Roman"/>
          <w:color w:val="1F2937"/>
          <w:spacing w:val="-4"/>
          <w:sz w:val="21"/>
        </w:rPr>
        <w:t xml:space="preserve"> </w:t>
      </w:r>
      <w:r>
        <w:rPr>
          <w:rFonts w:ascii="Times New Roman"/>
          <w:color w:val="1F2937"/>
          <w:sz w:val="21"/>
        </w:rPr>
        <w:t>use</w:t>
      </w:r>
      <w:r>
        <w:rPr>
          <w:rFonts w:ascii="Times New Roman"/>
          <w:color w:val="1F2937"/>
          <w:spacing w:val="-1"/>
          <w:sz w:val="21"/>
        </w:rPr>
        <w:t xml:space="preserve"> </w:t>
      </w:r>
      <w:r>
        <w:rPr>
          <w:rFonts w:ascii="Times New Roman"/>
          <w:color w:val="1F2937"/>
          <w:sz w:val="21"/>
        </w:rPr>
        <w:t>and</w:t>
      </w:r>
      <w:r>
        <w:rPr>
          <w:rFonts w:ascii="Times New Roman"/>
          <w:color w:val="1F2937"/>
          <w:spacing w:val="-4"/>
          <w:sz w:val="21"/>
        </w:rPr>
        <w:t xml:space="preserve"> </w:t>
      </w:r>
      <w:r>
        <w:rPr>
          <w:rFonts w:ascii="Times New Roman"/>
          <w:color w:val="1F2937"/>
          <w:sz w:val="21"/>
        </w:rPr>
        <w:t>history.</w:t>
      </w:r>
      <w:r>
        <w:rPr>
          <w:rFonts w:ascii="Times New Roman"/>
          <w:color w:val="1F2937"/>
          <w:spacing w:val="-1"/>
          <w:sz w:val="21"/>
        </w:rPr>
        <w:t xml:space="preserve"> </w:t>
      </w:r>
      <w:r>
        <w:rPr>
          <w:rFonts w:ascii="Times New Roman"/>
          <w:color w:val="1F2937"/>
          <w:sz w:val="21"/>
        </w:rPr>
        <w:t>The</w:t>
      </w:r>
      <w:r>
        <w:rPr>
          <w:rFonts w:ascii="Times New Roman"/>
          <w:color w:val="1F2937"/>
          <w:spacing w:val="-1"/>
          <w:sz w:val="21"/>
        </w:rPr>
        <w:t xml:space="preserve"> </w:t>
      </w:r>
      <w:proofErr w:type="spellStart"/>
      <w:r>
        <w:rPr>
          <w:rFonts w:ascii="Times New Roman"/>
          <w:color w:val="1F2937"/>
          <w:sz w:val="21"/>
        </w:rPr>
        <w:t>Voroscope</w:t>
      </w:r>
      <w:proofErr w:type="spellEnd"/>
      <w:r>
        <w:rPr>
          <w:rFonts w:ascii="Times New Roman"/>
          <w:color w:val="1F2937"/>
          <w:sz w:val="21"/>
        </w:rPr>
        <w:t xml:space="preserve">. </w:t>
      </w:r>
      <w:hyperlink r:id="rId42">
        <w:r>
          <w:rPr>
            <w:rFonts w:ascii="Times New Roman"/>
            <w:color w:val="0562C1"/>
            <w:spacing w:val="-2"/>
            <w:sz w:val="21"/>
            <w:u w:val="single" w:color="0562C1"/>
          </w:rPr>
          <w:t>https://thevoroscope.com/2017/02/24/the-futures-cone-use-and-history/</w:t>
        </w:r>
      </w:hyperlink>
    </w:p>
    <w:p w:rsidR="002C50A5" w:rsidRDefault="00A447DA">
      <w:pPr>
        <w:spacing w:before="119"/>
        <w:ind w:left="23"/>
        <w:rPr>
          <w:rFonts w:ascii="Times New Roman"/>
          <w:sz w:val="21"/>
        </w:rPr>
      </w:pPr>
      <w:r>
        <w:rPr>
          <w:rFonts w:ascii="Times New Roman"/>
          <w:color w:val="1F2937"/>
          <w:sz w:val="21"/>
        </w:rPr>
        <w:t>Webb,</w:t>
      </w:r>
      <w:r>
        <w:rPr>
          <w:rFonts w:ascii="Times New Roman"/>
          <w:color w:val="1F2937"/>
          <w:spacing w:val="-9"/>
          <w:sz w:val="21"/>
        </w:rPr>
        <w:t xml:space="preserve"> </w:t>
      </w:r>
      <w:r>
        <w:rPr>
          <w:rFonts w:ascii="Times New Roman"/>
          <w:color w:val="1F2937"/>
          <w:sz w:val="21"/>
        </w:rPr>
        <w:t>A.</w:t>
      </w:r>
      <w:r>
        <w:rPr>
          <w:rFonts w:ascii="Times New Roman"/>
          <w:color w:val="1F2937"/>
          <w:spacing w:val="-4"/>
          <w:sz w:val="21"/>
        </w:rPr>
        <w:t xml:space="preserve"> </w:t>
      </w:r>
      <w:r>
        <w:rPr>
          <w:rFonts w:ascii="Times New Roman"/>
          <w:color w:val="1F2937"/>
          <w:sz w:val="21"/>
        </w:rPr>
        <w:t>(2019).</w:t>
      </w:r>
      <w:r>
        <w:rPr>
          <w:rFonts w:ascii="Times New Roman"/>
          <w:color w:val="1F2937"/>
          <w:spacing w:val="-6"/>
          <w:sz w:val="21"/>
        </w:rPr>
        <w:t xml:space="preserve"> </w:t>
      </w:r>
      <w:r>
        <w:rPr>
          <w:rFonts w:ascii="Times New Roman"/>
          <w:color w:val="1F2937"/>
          <w:sz w:val="21"/>
        </w:rPr>
        <w:t>The</w:t>
      </w:r>
      <w:r>
        <w:rPr>
          <w:rFonts w:ascii="Times New Roman"/>
          <w:color w:val="1F2937"/>
          <w:spacing w:val="-7"/>
          <w:sz w:val="21"/>
        </w:rPr>
        <w:t xml:space="preserve"> </w:t>
      </w:r>
      <w:r>
        <w:rPr>
          <w:rFonts w:ascii="Times New Roman"/>
          <w:color w:val="1F2937"/>
          <w:sz w:val="21"/>
        </w:rPr>
        <w:t>big</w:t>
      </w:r>
      <w:r>
        <w:rPr>
          <w:rFonts w:ascii="Times New Roman"/>
          <w:color w:val="1F2937"/>
          <w:spacing w:val="-4"/>
          <w:sz w:val="21"/>
        </w:rPr>
        <w:t xml:space="preserve"> </w:t>
      </w:r>
      <w:r>
        <w:rPr>
          <w:rFonts w:ascii="Times New Roman"/>
          <w:color w:val="1F2937"/>
          <w:sz w:val="21"/>
        </w:rPr>
        <w:t>nine:</w:t>
      </w:r>
      <w:r>
        <w:rPr>
          <w:rFonts w:ascii="Times New Roman"/>
          <w:color w:val="1F2937"/>
          <w:spacing w:val="-4"/>
          <w:sz w:val="21"/>
        </w:rPr>
        <w:t xml:space="preserve"> </w:t>
      </w:r>
      <w:r>
        <w:rPr>
          <w:rFonts w:ascii="Times New Roman"/>
          <w:color w:val="1F2937"/>
          <w:sz w:val="21"/>
        </w:rPr>
        <w:t>How</w:t>
      </w:r>
      <w:r>
        <w:rPr>
          <w:rFonts w:ascii="Times New Roman"/>
          <w:color w:val="1F2937"/>
          <w:spacing w:val="-6"/>
          <w:sz w:val="21"/>
        </w:rPr>
        <w:t xml:space="preserve"> </w:t>
      </w:r>
      <w:r>
        <w:rPr>
          <w:rFonts w:ascii="Times New Roman"/>
          <w:color w:val="1F2937"/>
          <w:sz w:val="21"/>
        </w:rPr>
        <w:t>the</w:t>
      </w:r>
      <w:r>
        <w:rPr>
          <w:rFonts w:ascii="Times New Roman"/>
          <w:color w:val="1F2937"/>
          <w:spacing w:val="-4"/>
          <w:sz w:val="21"/>
        </w:rPr>
        <w:t xml:space="preserve"> </w:t>
      </w:r>
      <w:r>
        <w:rPr>
          <w:rFonts w:ascii="Times New Roman"/>
          <w:color w:val="1F2937"/>
          <w:sz w:val="21"/>
        </w:rPr>
        <w:t>tech</w:t>
      </w:r>
      <w:r>
        <w:rPr>
          <w:rFonts w:ascii="Times New Roman"/>
          <w:color w:val="1F2937"/>
          <w:spacing w:val="-4"/>
          <w:sz w:val="21"/>
        </w:rPr>
        <w:t xml:space="preserve"> </w:t>
      </w:r>
      <w:r>
        <w:rPr>
          <w:rFonts w:ascii="Times New Roman"/>
          <w:color w:val="1F2937"/>
          <w:sz w:val="21"/>
        </w:rPr>
        <w:t>titans</w:t>
      </w:r>
      <w:r>
        <w:rPr>
          <w:rFonts w:ascii="Times New Roman"/>
          <w:color w:val="1F2937"/>
          <w:spacing w:val="-4"/>
          <w:sz w:val="21"/>
        </w:rPr>
        <w:t xml:space="preserve"> </w:t>
      </w:r>
      <w:r>
        <w:rPr>
          <w:rFonts w:ascii="Times New Roman"/>
          <w:color w:val="1F2937"/>
          <w:sz w:val="21"/>
        </w:rPr>
        <w:t>and</w:t>
      </w:r>
      <w:r>
        <w:rPr>
          <w:rFonts w:ascii="Times New Roman"/>
          <w:color w:val="1F2937"/>
          <w:spacing w:val="-4"/>
          <w:sz w:val="21"/>
        </w:rPr>
        <w:t xml:space="preserve"> </w:t>
      </w:r>
      <w:r>
        <w:rPr>
          <w:rFonts w:ascii="Times New Roman"/>
          <w:color w:val="1F2937"/>
          <w:sz w:val="21"/>
        </w:rPr>
        <w:t>their</w:t>
      </w:r>
      <w:r>
        <w:rPr>
          <w:rFonts w:ascii="Times New Roman"/>
          <w:color w:val="1F2937"/>
          <w:spacing w:val="-5"/>
          <w:sz w:val="21"/>
        </w:rPr>
        <w:t xml:space="preserve"> </w:t>
      </w:r>
      <w:r>
        <w:rPr>
          <w:rFonts w:ascii="Times New Roman"/>
          <w:color w:val="1F2937"/>
          <w:sz w:val="21"/>
        </w:rPr>
        <w:t>thinking</w:t>
      </w:r>
      <w:r>
        <w:rPr>
          <w:rFonts w:ascii="Times New Roman"/>
          <w:color w:val="1F2937"/>
          <w:spacing w:val="-3"/>
          <w:sz w:val="21"/>
        </w:rPr>
        <w:t xml:space="preserve"> </w:t>
      </w:r>
      <w:r>
        <w:rPr>
          <w:rFonts w:ascii="Times New Roman"/>
          <w:color w:val="1F2937"/>
          <w:sz w:val="21"/>
        </w:rPr>
        <w:t>machines</w:t>
      </w:r>
      <w:r>
        <w:rPr>
          <w:rFonts w:ascii="Times New Roman"/>
          <w:color w:val="1F2937"/>
          <w:spacing w:val="-5"/>
          <w:sz w:val="21"/>
        </w:rPr>
        <w:t xml:space="preserve"> </w:t>
      </w:r>
      <w:r>
        <w:rPr>
          <w:rFonts w:ascii="Times New Roman"/>
          <w:color w:val="1F2937"/>
          <w:sz w:val="21"/>
        </w:rPr>
        <w:t>could</w:t>
      </w:r>
      <w:r>
        <w:rPr>
          <w:rFonts w:ascii="Times New Roman"/>
          <w:color w:val="1F2937"/>
          <w:spacing w:val="-7"/>
          <w:sz w:val="21"/>
        </w:rPr>
        <w:t xml:space="preserve"> </w:t>
      </w:r>
      <w:r>
        <w:rPr>
          <w:rFonts w:ascii="Times New Roman"/>
          <w:color w:val="1F2937"/>
          <w:sz w:val="21"/>
        </w:rPr>
        <w:t>warp</w:t>
      </w:r>
      <w:r>
        <w:rPr>
          <w:rFonts w:ascii="Times New Roman"/>
          <w:color w:val="1F2937"/>
          <w:spacing w:val="-3"/>
          <w:sz w:val="21"/>
        </w:rPr>
        <w:t xml:space="preserve"> </w:t>
      </w:r>
      <w:r>
        <w:rPr>
          <w:rFonts w:ascii="Times New Roman"/>
          <w:color w:val="1F2937"/>
          <w:spacing w:val="-2"/>
          <w:sz w:val="21"/>
        </w:rPr>
        <w:t>humanity.</w:t>
      </w:r>
    </w:p>
    <w:p w:rsidR="002C50A5" w:rsidRDefault="00A447DA">
      <w:pPr>
        <w:spacing w:before="1"/>
        <w:ind w:left="443"/>
        <w:rPr>
          <w:rFonts w:ascii="Times New Roman"/>
          <w:sz w:val="21"/>
        </w:rPr>
      </w:pPr>
      <w:proofErr w:type="spellStart"/>
      <w:r>
        <w:rPr>
          <w:rFonts w:ascii="Times New Roman"/>
          <w:color w:val="1F2937"/>
          <w:spacing w:val="-2"/>
          <w:sz w:val="21"/>
        </w:rPr>
        <w:t>PublicAffairs</w:t>
      </w:r>
      <w:proofErr w:type="spellEnd"/>
      <w:r>
        <w:rPr>
          <w:rFonts w:ascii="Times New Roman"/>
          <w:color w:val="1F2937"/>
          <w:spacing w:val="-2"/>
          <w:sz w:val="21"/>
        </w:rPr>
        <w:t>.</w:t>
      </w:r>
    </w:p>
    <w:p w:rsidR="002C50A5" w:rsidRDefault="00A447DA">
      <w:pPr>
        <w:spacing w:before="119"/>
        <w:ind w:left="442" w:right="527" w:hanging="420"/>
        <w:rPr>
          <w:rFonts w:ascii="Times New Roman"/>
          <w:sz w:val="21"/>
        </w:rPr>
      </w:pPr>
      <w:r>
        <w:rPr>
          <w:rFonts w:ascii="Times New Roman"/>
          <w:color w:val="1F2937"/>
          <w:sz w:val="21"/>
        </w:rPr>
        <w:t>Young,</w:t>
      </w:r>
      <w:r>
        <w:rPr>
          <w:rFonts w:ascii="Times New Roman"/>
          <w:color w:val="1F2937"/>
          <w:spacing w:val="-1"/>
          <w:sz w:val="21"/>
        </w:rPr>
        <w:t xml:space="preserve"> </w:t>
      </w:r>
      <w:r>
        <w:rPr>
          <w:rFonts w:ascii="Times New Roman"/>
          <w:color w:val="1F2937"/>
          <w:sz w:val="21"/>
        </w:rPr>
        <w:t>M.</w:t>
      </w:r>
      <w:r>
        <w:rPr>
          <w:rFonts w:ascii="Times New Roman"/>
          <w:color w:val="1F2937"/>
          <w:spacing w:val="-4"/>
          <w:sz w:val="21"/>
        </w:rPr>
        <w:t xml:space="preserve"> </w:t>
      </w:r>
      <w:r>
        <w:rPr>
          <w:rFonts w:ascii="Times New Roman"/>
          <w:color w:val="1F2937"/>
          <w:sz w:val="21"/>
        </w:rPr>
        <w:t>M.,</w:t>
      </w:r>
      <w:r>
        <w:rPr>
          <w:rFonts w:ascii="Times New Roman"/>
          <w:color w:val="1F2937"/>
          <w:spacing w:val="-4"/>
          <w:sz w:val="21"/>
        </w:rPr>
        <w:t xml:space="preserve"> </w:t>
      </w:r>
      <w:r>
        <w:rPr>
          <w:rFonts w:ascii="Times New Roman"/>
          <w:color w:val="1F2937"/>
          <w:sz w:val="21"/>
        </w:rPr>
        <w:t>Bullock,</w:t>
      </w:r>
      <w:r>
        <w:rPr>
          <w:rFonts w:ascii="Times New Roman"/>
          <w:color w:val="1F2937"/>
          <w:spacing w:val="-4"/>
          <w:sz w:val="21"/>
        </w:rPr>
        <w:t xml:space="preserve"> </w:t>
      </w:r>
      <w:r>
        <w:rPr>
          <w:rFonts w:ascii="Times New Roman"/>
          <w:color w:val="1F2937"/>
          <w:sz w:val="21"/>
        </w:rPr>
        <w:t>J.</w:t>
      </w:r>
      <w:r>
        <w:rPr>
          <w:rFonts w:ascii="Times New Roman"/>
          <w:color w:val="1F2937"/>
          <w:spacing w:val="-4"/>
          <w:sz w:val="21"/>
        </w:rPr>
        <w:t xml:space="preserve"> </w:t>
      </w:r>
      <w:r>
        <w:rPr>
          <w:rFonts w:ascii="Times New Roman"/>
          <w:color w:val="1F2937"/>
          <w:sz w:val="21"/>
        </w:rPr>
        <w:t>B.,</w:t>
      </w:r>
      <w:r>
        <w:rPr>
          <w:rFonts w:ascii="Times New Roman"/>
          <w:color w:val="1F2937"/>
          <w:spacing w:val="-1"/>
          <w:sz w:val="21"/>
        </w:rPr>
        <w:t xml:space="preserve"> </w:t>
      </w:r>
      <w:r>
        <w:rPr>
          <w:rFonts w:ascii="Times New Roman"/>
          <w:color w:val="1F2937"/>
          <w:sz w:val="21"/>
        </w:rPr>
        <w:t>&amp;</w:t>
      </w:r>
      <w:r>
        <w:rPr>
          <w:rFonts w:ascii="Times New Roman"/>
          <w:color w:val="1F2937"/>
          <w:spacing w:val="-2"/>
          <w:sz w:val="21"/>
        </w:rPr>
        <w:t xml:space="preserve"> </w:t>
      </w:r>
      <w:proofErr w:type="spellStart"/>
      <w:r>
        <w:rPr>
          <w:rFonts w:ascii="Times New Roman"/>
          <w:color w:val="1F2937"/>
          <w:sz w:val="21"/>
        </w:rPr>
        <w:t>Lecy</w:t>
      </w:r>
      <w:proofErr w:type="spellEnd"/>
      <w:r>
        <w:rPr>
          <w:rFonts w:ascii="Times New Roman"/>
          <w:color w:val="1F2937"/>
          <w:sz w:val="21"/>
        </w:rPr>
        <w:t>,</w:t>
      </w:r>
      <w:r>
        <w:rPr>
          <w:rFonts w:ascii="Times New Roman"/>
          <w:color w:val="1F2937"/>
          <w:spacing w:val="-1"/>
          <w:sz w:val="21"/>
        </w:rPr>
        <w:t xml:space="preserve"> </w:t>
      </w:r>
      <w:r>
        <w:rPr>
          <w:rFonts w:ascii="Times New Roman"/>
          <w:color w:val="1F2937"/>
          <w:sz w:val="21"/>
        </w:rPr>
        <w:t>J.</w:t>
      </w:r>
      <w:r>
        <w:rPr>
          <w:rFonts w:ascii="Times New Roman"/>
          <w:color w:val="1F2937"/>
          <w:spacing w:val="-1"/>
          <w:sz w:val="21"/>
        </w:rPr>
        <w:t xml:space="preserve"> </w:t>
      </w:r>
      <w:r>
        <w:rPr>
          <w:rFonts w:ascii="Times New Roman"/>
          <w:color w:val="1F2937"/>
          <w:sz w:val="21"/>
        </w:rPr>
        <w:t>D.</w:t>
      </w:r>
      <w:r>
        <w:rPr>
          <w:rFonts w:ascii="Times New Roman"/>
          <w:color w:val="1F2937"/>
          <w:spacing w:val="-1"/>
          <w:sz w:val="21"/>
        </w:rPr>
        <w:t xml:space="preserve"> </w:t>
      </w:r>
      <w:r>
        <w:rPr>
          <w:rFonts w:ascii="Times New Roman"/>
          <w:color w:val="1F2937"/>
          <w:sz w:val="21"/>
        </w:rPr>
        <w:t>(2019).</w:t>
      </w:r>
      <w:r>
        <w:rPr>
          <w:rFonts w:ascii="Times New Roman"/>
          <w:color w:val="1F2937"/>
          <w:spacing w:val="-4"/>
          <w:sz w:val="21"/>
        </w:rPr>
        <w:t xml:space="preserve"> </w:t>
      </w:r>
      <w:r>
        <w:rPr>
          <w:rFonts w:ascii="Times New Roman"/>
          <w:color w:val="1F2937"/>
          <w:sz w:val="21"/>
        </w:rPr>
        <w:t>Artificial</w:t>
      </w:r>
      <w:r>
        <w:rPr>
          <w:rFonts w:ascii="Times New Roman"/>
          <w:color w:val="1F2937"/>
          <w:spacing w:val="-2"/>
          <w:sz w:val="21"/>
        </w:rPr>
        <w:t xml:space="preserve"> </w:t>
      </w:r>
      <w:r>
        <w:rPr>
          <w:rFonts w:ascii="Times New Roman"/>
          <w:color w:val="1F2937"/>
          <w:sz w:val="21"/>
        </w:rPr>
        <w:t>discretion</w:t>
      </w:r>
      <w:r>
        <w:rPr>
          <w:rFonts w:ascii="Times New Roman"/>
          <w:color w:val="1F2937"/>
          <w:spacing w:val="-1"/>
          <w:sz w:val="21"/>
        </w:rPr>
        <w:t xml:space="preserve"> </w:t>
      </w:r>
      <w:r>
        <w:rPr>
          <w:rFonts w:ascii="Times New Roman"/>
          <w:color w:val="1F2937"/>
          <w:sz w:val="21"/>
        </w:rPr>
        <w:t>as</w:t>
      </w:r>
      <w:r>
        <w:rPr>
          <w:rFonts w:ascii="Times New Roman"/>
          <w:color w:val="1F2937"/>
          <w:spacing w:val="-2"/>
          <w:sz w:val="21"/>
        </w:rPr>
        <w:t xml:space="preserve"> </w:t>
      </w:r>
      <w:r>
        <w:rPr>
          <w:rFonts w:ascii="Times New Roman"/>
          <w:color w:val="1F2937"/>
          <w:sz w:val="21"/>
        </w:rPr>
        <w:t>a</w:t>
      </w:r>
      <w:r>
        <w:rPr>
          <w:rFonts w:ascii="Times New Roman"/>
          <w:color w:val="1F2937"/>
          <w:spacing w:val="-1"/>
          <w:sz w:val="21"/>
        </w:rPr>
        <w:t xml:space="preserve"> </w:t>
      </w:r>
      <w:r>
        <w:rPr>
          <w:rFonts w:ascii="Times New Roman"/>
          <w:color w:val="1F2937"/>
          <w:sz w:val="21"/>
        </w:rPr>
        <w:t>tool</w:t>
      </w:r>
      <w:r>
        <w:rPr>
          <w:rFonts w:ascii="Times New Roman"/>
          <w:color w:val="1F2937"/>
          <w:spacing w:val="-2"/>
          <w:sz w:val="21"/>
        </w:rPr>
        <w:t xml:space="preserve"> </w:t>
      </w:r>
      <w:r>
        <w:rPr>
          <w:rFonts w:ascii="Times New Roman"/>
          <w:color w:val="1F2937"/>
          <w:sz w:val="21"/>
        </w:rPr>
        <w:t>of</w:t>
      </w:r>
      <w:r>
        <w:rPr>
          <w:rFonts w:ascii="Times New Roman"/>
          <w:color w:val="1F2937"/>
          <w:spacing w:val="-2"/>
          <w:sz w:val="21"/>
        </w:rPr>
        <w:t xml:space="preserve"> </w:t>
      </w:r>
      <w:r>
        <w:rPr>
          <w:rFonts w:ascii="Times New Roman"/>
          <w:color w:val="1F2937"/>
          <w:sz w:val="21"/>
        </w:rPr>
        <w:t>governance:</w:t>
      </w:r>
      <w:r>
        <w:rPr>
          <w:rFonts w:ascii="Times New Roman"/>
          <w:color w:val="1F2937"/>
          <w:spacing w:val="-2"/>
          <w:sz w:val="21"/>
        </w:rPr>
        <w:t xml:space="preserve"> </w:t>
      </w:r>
      <w:r>
        <w:rPr>
          <w:rFonts w:ascii="Times New Roman"/>
          <w:color w:val="1F2937"/>
          <w:sz w:val="21"/>
        </w:rPr>
        <w:t>A framework for understanding the impact of artificial intelligence on public administration.</w:t>
      </w:r>
    </w:p>
    <w:p w:rsidR="002C50A5" w:rsidRDefault="00A447DA">
      <w:pPr>
        <w:ind w:left="442"/>
        <w:rPr>
          <w:rFonts w:ascii="Times New Roman" w:hAnsi="Times New Roman"/>
          <w:sz w:val="21"/>
        </w:rPr>
      </w:pPr>
      <w:r>
        <w:rPr>
          <w:rFonts w:ascii="Times New Roman" w:hAnsi="Times New Roman"/>
          <w:color w:val="1F2937"/>
          <w:sz w:val="21"/>
        </w:rPr>
        <w:t>Perspectives</w:t>
      </w:r>
      <w:r>
        <w:rPr>
          <w:rFonts w:ascii="Times New Roman" w:hAnsi="Times New Roman"/>
          <w:color w:val="1F2937"/>
          <w:spacing w:val="-5"/>
          <w:sz w:val="21"/>
        </w:rPr>
        <w:t xml:space="preserve"> </w:t>
      </w:r>
      <w:r>
        <w:rPr>
          <w:rFonts w:ascii="Times New Roman" w:hAnsi="Times New Roman"/>
          <w:color w:val="1F2937"/>
          <w:sz w:val="21"/>
        </w:rPr>
        <w:t>on</w:t>
      </w:r>
      <w:r>
        <w:rPr>
          <w:rFonts w:ascii="Times New Roman" w:hAnsi="Times New Roman"/>
          <w:color w:val="1F2937"/>
          <w:spacing w:val="-7"/>
          <w:sz w:val="21"/>
        </w:rPr>
        <w:t xml:space="preserve"> </w:t>
      </w:r>
      <w:r>
        <w:rPr>
          <w:rFonts w:ascii="Times New Roman" w:hAnsi="Times New Roman"/>
          <w:color w:val="1F2937"/>
          <w:sz w:val="21"/>
        </w:rPr>
        <w:t>Public</w:t>
      </w:r>
      <w:r>
        <w:rPr>
          <w:rFonts w:ascii="Times New Roman" w:hAnsi="Times New Roman"/>
          <w:color w:val="1F2937"/>
          <w:spacing w:val="-4"/>
          <w:sz w:val="21"/>
        </w:rPr>
        <w:t xml:space="preserve"> </w:t>
      </w:r>
      <w:r>
        <w:rPr>
          <w:rFonts w:ascii="Times New Roman" w:hAnsi="Times New Roman"/>
          <w:color w:val="1F2937"/>
          <w:sz w:val="21"/>
        </w:rPr>
        <w:t>Management</w:t>
      </w:r>
      <w:r>
        <w:rPr>
          <w:rFonts w:ascii="Times New Roman" w:hAnsi="Times New Roman"/>
          <w:color w:val="1F2937"/>
          <w:spacing w:val="-5"/>
          <w:sz w:val="21"/>
        </w:rPr>
        <w:t xml:space="preserve"> </w:t>
      </w:r>
      <w:r>
        <w:rPr>
          <w:rFonts w:ascii="Times New Roman" w:hAnsi="Times New Roman"/>
          <w:color w:val="1F2937"/>
          <w:sz w:val="21"/>
        </w:rPr>
        <w:t>and</w:t>
      </w:r>
      <w:r>
        <w:rPr>
          <w:rFonts w:ascii="Times New Roman" w:hAnsi="Times New Roman"/>
          <w:color w:val="1F2937"/>
          <w:spacing w:val="-4"/>
          <w:sz w:val="21"/>
        </w:rPr>
        <w:t xml:space="preserve"> </w:t>
      </w:r>
      <w:r>
        <w:rPr>
          <w:rFonts w:ascii="Times New Roman" w:hAnsi="Times New Roman"/>
          <w:color w:val="1F2937"/>
          <w:sz w:val="21"/>
        </w:rPr>
        <w:t>Governance,</w:t>
      </w:r>
      <w:r>
        <w:rPr>
          <w:rFonts w:ascii="Times New Roman" w:hAnsi="Times New Roman"/>
          <w:color w:val="1F2937"/>
          <w:spacing w:val="-4"/>
          <w:sz w:val="21"/>
        </w:rPr>
        <w:t xml:space="preserve"> </w:t>
      </w:r>
      <w:r>
        <w:rPr>
          <w:rFonts w:ascii="Times New Roman" w:hAnsi="Times New Roman"/>
          <w:color w:val="1F2937"/>
          <w:sz w:val="21"/>
        </w:rPr>
        <w:t>2(4),</w:t>
      </w:r>
      <w:r>
        <w:rPr>
          <w:rFonts w:ascii="Times New Roman" w:hAnsi="Times New Roman"/>
          <w:color w:val="1F2937"/>
          <w:spacing w:val="-4"/>
          <w:sz w:val="21"/>
        </w:rPr>
        <w:t xml:space="preserve"> </w:t>
      </w:r>
      <w:r>
        <w:rPr>
          <w:rFonts w:ascii="Times New Roman" w:hAnsi="Times New Roman"/>
          <w:color w:val="1F2937"/>
          <w:sz w:val="21"/>
        </w:rPr>
        <w:t xml:space="preserve">301–313. </w:t>
      </w:r>
      <w:hyperlink r:id="rId43">
        <w:r>
          <w:rPr>
            <w:rFonts w:ascii="Times New Roman" w:hAnsi="Times New Roman"/>
            <w:color w:val="0562C1"/>
            <w:spacing w:val="-2"/>
            <w:sz w:val="21"/>
            <w:u w:val="single" w:color="0562C1"/>
          </w:rPr>
          <w:t>https://doi.org/10.1093/ppmgov/gvz014</w:t>
        </w:r>
      </w:hyperlink>
    </w:p>
    <w:sectPr w:rsidR="002C50A5">
      <w:pgSz w:w="11906" w:h="16838"/>
      <w:pgMar w:top="1247" w:right="1417" w:bottom="1247" w:left="1417" w:header="0"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FF3" w:rsidRDefault="00D83FF3">
      <w:r>
        <w:separator/>
      </w:r>
    </w:p>
  </w:endnote>
  <w:endnote w:type="continuationSeparator" w:id="0">
    <w:p w:rsidR="00D83FF3" w:rsidRDefault="00D83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50A5" w:rsidRDefault="00A447DA">
    <w:pPr>
      <w:pStyle w:val="a3"/>
      <w:spacing w:before="0" w:line="14" w:lineRule="auto"/>
      <w:ind w:left="0" w:right="0" w:firstLine="0"/>
      <w:jc w:val="left"/>
      <w:rPr>
        <w:sz w:val="20"/>
      </w:rPr>
    </w:pPr>
    <w:r>
      <w:rPr>
        <w:noProof/>
        <w:sz w:val="20"/>
      </w:rPr>
      <mc:AlternateContent>
        <mc:Choice Requires="wps">
          <w:drawing>
            <wp:anchor distT="0" distB="0" distL="0" distR="0" simplePos="0" relativeHeight="487171584" behindDoc="1" locked="0" layoutInCell="1" allowOverlap="1">
              <wp:simplePos x="0" y="0"/>
              <wp:positionH relativeFrom="page">
                <wp:posOffset>3839971</wp:posOffset>
              </wp:positionH>
              <wp:positionV relativeFrom="page">
                <wp:posOffset>10089289</wp:posOffset>
              </wp:positionV>
              <wp:extent cx="147320" cy="1587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58750"/>
                      </a:xfrm>
                      <a:prstGeom prst="rect">
                        <a:avLst/>
                      </a:prstGeom>
                    </wps:spPr>
                    <wps:txbx>
                      <w:txbxContent>
                        <w:p w:rsidR="002C50A5" w:rsidRDefault="00A447DA">
                          <w:pPr>
                            <w:spacing w:before="11"/>
                            <w:ind w:left="20"/>
                            <w:rPr>
                              <w:rFonts w:ascii="Times New Roman"/>
                              <w:sz w:val="19"/>
                            </w:rPr>
                          </w:pPr>
                          <w:r>
                            <w:rPr>
                              <w:rFonts w:ascii="Times New Roman"/>
                              <w:color w:val="585858"/>
                              <w:spacing w:val="-5"/>
                              <w:sz w:val="19"/>
                            </w:rPr>
                            <w:fldChar w:fldCharType="begin"/>
                          </w:r>
                          <w:r>
                            <w:rPr>
                              <w:rFonts w:ascii="Times New Roman"/>
                              <w:color w:val="585858"/>
                              <w:spacing w:val="-5"/>
                              <w:sz w:val="19"/>
                            </w:rPr>
                            <w:instrText xml:space="preserve"> PAGE </w:instrText>
                          </w:r>
                          <w:r>
                            <w:rPr>
                              <w:rFonts w:ascii="Times New Roman"/>
                              <w:color w:val="585858"/>
                              <w:spacing w:val="-5"/>
                              <w:sz w:val="19"/>
                            </w:rPr>
                            <w:fldChar w:fldCharType="separate"/>
                          </w:r>
                          <w:r>
                            <w:rPr>
                              <w:rFonts w:ascii="Times New Roman"/>
                              <w:color w:val="585858"/>
                              <w:spacing w:val="-5"/>
                              <w:sz w:val="19"/>
                            </w:rPr>
                            <w:t>10</w:t>
                          </w:r>
                          <w:r>
                            <w:rPr>
                              <w:rFonts w:ascii="Times New Roman"/>
                              <w:color w:val="585858"/>
                              <w:spacing w:val="-5"/>
                              <w:sz w:val="19"/>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2.35pt;margin-top:794.45pt;width:11.6pt;height:12.5pt;z-index:-161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" filled="f" stroked="f">
              <v:textbox inset="0,0,0,0">
                <w:txbxContent>
                  <w:p w:rsidR="002C50A5" w:rsidRDefault="00A447DA">
                    <w:pPr>
                      <w:spacing w:before="11"/>
                      <w:ind w:left="20"/>
                      <w:rPr>
                        <w:rFonts w:ascii="Times New Roman"/>
                        <w:sz w:val="19"/>
                      </w:rPr>
                    </w:pPr>
                    <w:r>
                      <w:rPr>
                        <w:rFonts w:ascii="Times New Roman"/>
                        <w:color w:val="585858"/>
                        <w:spacing w:val="-5"/>
                        <w:sz w:val="19"/>
                      </w:rPr>
                      <w:fldChar w:fldCharType="begin"/>
                    </w:r>
                    <w:r>
                      <w:rPr>
                        <w:rFonts w:ascii="Times New Roman"/>
                        <w:color w:val="585858"/>
                        <w:spacing w:val="-5"/>
                        <w:sz w:val="19"/>
                      </w:rPr>
                      <w:instrText xml:space="preserve"> PAGE </w:instrText>
                    </w:r>
                    <w:r>
                      <w:rPr>
                        <w:rFonts w:ascii="Times New Roman"/>
                        <w:color w:val="585858"/>
                        <w:spacing w:val="-5"/>
                        <w:sz w:val="19"/>
                      </w:rPr>
                      <w:fldChar w:fldCharType="separate"/>
                    </w:r>
                    <w:r>
                      <w:rPr>
                        <w:rFonts w:ascii="Times New Roman"/>
                        <w:color w:val="585858"/>
                        <w:spacing w:val="-5"/>
                        <w:sz w:val="19"/>
                      </w:rPr>
                      <w:t>10</w:t>
                    </w:r>
                    <w:r>
                      <w:rPr>
                        <w:rFonts w:ascii="Times New Roman"/>
                        <w:color w:val="585858"/>
                        <w:spacing w:val="-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FF3" w:rsidRDefault="00D83FF3">
      <w:r>
        <w:separator/>
      </w:r>
    </w:p>
  </w:footnote>
  <w:footnote w:type="continuationSeparator" w:id="0">
    <w:p w:rsidR="00D83FF3" w:rsidRDefault="00D83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8C" w:rsidRDefault="00B86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245D"/>
    <w:multiLevelType w:val="hybridMultilevel"/>
    <w:tmpl w:val="53E01230"/>
    <w:lvl w:ilvl="0" w:tplc="2D708706">
      <w:start w:val="1"/>
      <w:numFmt w:val="chineseCountingThousand"/>
      <w:lvlText w:val="（%1）"/>
      <w:lvlJc w:val="left"/>
      <w:pPr>
        <w:ind w:left="744" w:hanging="721"/>
        <w:jc w:val="left"/>
      </w:pPr>
      <w:rPr>
        <w:rFonts w:ascii="微軟正黑體" w:eastAsia="微軟正黑體" w:hAnsi="微軟正黑體" w:cs="微軟正黑體" w:hint="default"/>
        <w:b/>
        <w:bCs/>
        <w:i w:val="0"/>
        <w:iCs w:val="0"/>
        <w:color w:val="1F2937"/>
        <w:spacing w:val="0"/>
        <w:w w:val="100"/>
        <w:sz w:val="22"/>
        <w:szCs w:val="22"/>
        <w:lang w:val="en-US" w:eastAsia="en-US" w:bidi="ar-SA"/>
      </w:rPr>
    </w:lvl>
    <w:lvl w:ilvl="1" w:tplc="8E643F62">
      <w:numFmt w:val="bullet"/>
      <w:lvlText w:val="•"/>
      <w:lvlJc w:val="left"/>
      <w:pPr>
        <w:ind w:left="1601" w:hanging="721"/>
      </w:pPr>
      <w:rPr>
        <w:rFonts w:hint="default"/>
        <w:lang w:val="en-US" w:eastAsia="en-US" w:bidi="ar-SA"/>
      </w:rPr>
    </w:lvl>
    <w:lvl w:ilvl="2" w:tplc="157A3312">
      <w:numFmt w:val="bullet"/>
      <w:lvlText w:val="•"/>
      <w:lvlJc w:val="left"/>
      <w:pPr>
        <w:ind w:left="2463" w:hanging="721"/>
      </w:pPr>
      <w:rPr>
        <w:rFonts w:hint="default"/>
        <w:lang w:val="en-US" w:eastAsia="en-US" w:bidi="ar-SA"/>
      </w:rPr>
    </w:lvl>
    <w:lvl w:ilvl="3" w:tplc="87CAEB76">
      <w:numFmt w:val="bullet"/>
      <w:lvlText w:val="•"/>
      <w:lvlJc w:val="left"/>
      <w:pPr>
        <w:ind w:left="3324" w:hanging="721"/>
      </w:pPr>
      <w:rPr>
        <w:rFonts w:hint="default"/>
        <w:lang w:val="en-US" w:eastAsia="en-US" w:bidi="ar-SA"/>
      </w:rPr>
    </w:lvl>
    <w:lvl w:ilvl="4" w:tplc="BA167AFC">
      <w:numFmt w:val="bullet"/>
      <w:lvlText w:val="•"/>
      <w:lvlJc w:val="left"/>
      <w:pPr>
        <w:ind w:left="4186" w:hanging="721"/>
      </w:pPr>
      <w:rPr>
        <w:rFonts w:hint="default"/>
        <w:lang w:val="en-US" w:eastAsia="en-US" w:bidi="ar-SA"/>
      </w:rPr>
    </w:lvl>
    <w:lvl w:ilvl="5" w:tplc="967801E4">
      <w:numFmt w:val="bullet"/>
      <w:lvlText w:val="•"/>
      <w:lvlJc w:val="left"/>
      <w:pPr>
        <w:ind w:left="5048" w:hanging="721"/>
      </w:pPr>
      <w:rPr>
        <w:rFonts w:hint="default"/>
        <w:lang w:val="en-US" w:eastAsia="en-US" w:bidi="ar-SA"/>
      </w:rPr>
    </w:lvl>
    <w:lvl w:ilvl="6" w:tplc="C05AEE6C">
      <w:numFmt w:val="bullet"/>
      <w:lvlText w:val="•"/>
      <w:lvlJc w:val="left"/>
      <w:pPr>
        <w:ind w:left="5909" w:hanging="721"/>
      </w:pPr>
      <w:rPr>
        <w:rFonts w:hint="default"/>
        <w:lang w:val="en-US" w:eastAsia="en-US" w:bidi="ar-SA"/>
      </w:rPr>
    </w:lvl>
    <w:lvl w:ilvl="7" w:tplc="59C8B6A4">
      <w:numFmt w:val="bullet"/>
      <w:lvlText w:val="•"/>
      <w:lvlJc w:val="left"/>
      <w:pPr>
        <w:ind w:left="6771" w:hanging="721"/>
      </w:pPr>
      <w:rPr>
        <w:rFonts w:hint="default"/>
        <w:lang w:val="en-US" w:eastAsia="en-US" w:bidi="ar-SA"/>
      </w:rPr>
    </w:lvl>
    <w:lvl w:ilvl="8" w:tplc="20026ACC">
      <w:numFmt w:val="bullet"/>
      <w:lvlText w:val="•"/>
      <w:lvlJc w:val="left"/>
      <w:pPr>
        <w:ind w:left="7633" w:hanging="721"/>
      </w:pPr>
      <w:rPr>
        <w:rFonts w:hint="default"/>
        <w:lang w:val="en-US" w:eastAsia="en-US" w:bidi="ar-SA"/>
      </w:rPr>
    </w:lvl>
  </w:abstractNum>
  <w:abstractNum w:abstractNumId="1" w15:restartNumberingAfterBreak="0">
    <w:nsid w:val="08461D6F"/>
    <w:multiLevelType w:val="hybridMultilevel"/>
    <w:tmpl w:val="DC30D016"/>
    <w:lvl w:ilvl="0" w:tplc="566CE726">
      <w:start w:val="1"/>
      <w:numFmt w:val="chineseCountingThousand"/>
      <w:lvlText w:val="（%1）"/>
      <w:lvlJc w:val="left"/>
      <w:pPr>
        <w:ind w:left="744" w:hanging="721"/>
        <w:jc w:val="left"/>
      </w:pPr>
      <w:rPr>
        <w:rFonts w:ascii="微軟正黑體" w:eastAsia="微軟正黑體" w:hAnsi="微軟正黑體" w:cs="微軟正黑體" w:hint="default"/>
        <w:b/>
        <w:bCs/>
        <w:i w:val="0"/>
        <w:iCs w:val="0"/>
        <w:color w:val="1F2937"/>
        <w:spacing w:val="0"/>
        <w:w w:val="100"/>
        <w:sz w:val="22"/>
        <w:szCs w:val="22"/>
        <w:lang w:val="en-US" w:eastAsia="en-US" w:bidi="ar-SA"/>
      </w:rPr>
    </w:lvl>
    <w:lvl w:ilvl="1" w:tplc="221A8DDC">
      <w:numFmt w:val="bullet"/>
      <w:lvlText w:val="•"/>
      <w:lvlJc w:val="left"/>
      <w:pPr>
        <w:ind w:left="1601" w:hanging="721"/>
      </w:pPr>
      <w:rPr>
        <w:rFonts w:hint="default"/>
        <w:lang w:val="en-US" w:eastAsia="en-US" w:bidi="ar-SA"/>
      </w:rPr>
    </w:lvl>
    <w:lvl w:ilvl="2" w:tplc="AC305756">
      <w:numFmt w:val="bullet"/>
      <w:lvlText w:val="•"/>
      <w:lvlJc w:val="left"/>
      <w:pPr>
        <w:ind w:left="2463" w:hanging="721"/>
      </w:pPr>
      <w:rPr>
        <w:rFonts w:hint="default"/>
        <w:lang w:val="en-US" w:eastAsia="en-US" w:bidi="ar-SA"/>
      </w:rPr>
    </w:lvl>
    <w:lvl w:ilvl="3" w:tplc="0C4ACA1C">
      <w:numFmt w:val="bullet"/>
      <w:lvlText w:val="•"/>
      <w:lvlJc w:val="left"/>
      <w:pPr>
        <w:ind w:left="3324" w:hanging="721"/>
      </w:pPr>
      <w:rPr>
        <w:rFonts w:hint="default"/>
        <w:lang w:val="en-US" w:eastAsia="en-US" w:bidi="ar-SA"/>
      </w:rPr>
    </w:lvl>
    <w:lvl w:ilvl="4" w:tplc="3A88FF38">
      <w:numFmt w:val="bullet"/>
      <w:lvlText w:val="•"/>
      <w:lvlJc w:val="left"/>
      <w:pPr>
        <w:ind w:left="4186" w:hanging="721"/>
      </w:pPr>
      <w:rPr>
        <w:rFonts w:hint="default"/>
        <w:lang w:val="en-US" w:eastAsia="en-US" w:bidi="ar-SA"/>
      </w:rPr>
    </w:lvl>
    <w:lvl w:ilvl="5" w:tplc="C262E43C">
      <w:numFmt w:val="bullet"/>
      <w:lvlText w:val="•"/>
      <w:lvlJc w:val="left"/>
      <w:pPr>
        <w:ind w:left="5048" w:hanging="721"/>
      </w:pPr>
      <w:rPr>
        <w:rFonts w:hint="default"/>
        <w:lang w:val="en-US" w:eastAsia="en-US" w:bidi="ar-SA"/>
      </w:rPr>
    </w:lvl>
    <w:lvl w:ilvl="6" w:tplc="8BE694E6">
      <w:numFmt w:val="bullet"/>
      <w:lvlText w:val="•"/>
      <w:lvlJc w:val="left"/>
      <w:pPr>
        <w:ind w:left="5909" w:hanging="721"/>
      </w:pPr>
      <w:rPr>
        <w:rFonts w:hint="default"/>
        <w:lang w:val="en-US" w:eastAsia="en-US" w:bidi="ar-SA"/>
      </w:rPr>
    </w:lvl>
    <w:lvl w:ilvl="7" w:tplc="BC92ADB6">
      <w:numFmt w:val="bullet"/>
      <w:lvlText w:val="•"/>
      <w:lvlJc w:val="left"/>
      <w:pPr>
        <w:ind w:left="6771" w:hanging="721"/>
      </w:pPr>
      <w:rPr>
        <w:rFonts w:hint="default"/>
        <w:lang w:val="en-US" w:eastAsia="en-US" w:bidi="ar-SA"/>
      </w:rPr>
    </w:lvl>
    <w:lvl w:ilvl="8" w:tplc="A142E5DC">
      <w:numFmt w:val="bullet"/>
      <w:lvlText w:val="•"/>
      <w:lvlJc w:val="left"/>
      <w:pPr>
        <w:ind w:left="7633" w:hanging="721"/>
      </w:pPr>
      <w:rPr>
        <w:rFonts w:hint="default"/>
        <w:lang w:val="en-US" w:eastAsia="en-US" w:bidi="ar-SA"/>
      </w:rPr>
    </w:lvl>
  </w:abstractNum>
  <w:abstractNum w:abstractNumId="2" w15:restartNumberingAfterBreak="0">
    <w:nsid w:val="2BA63E8A"/>
    <w:multiLevelType w:val="hybridMultilevel"/>
    <w:tmpl w:val="0C4E686C"/>
    <w:lvl w:ilvl="0" w:tplc="4E1C119C">
      <w:start w:val="4"/>
      <w:numFmt w:val="chineseCountingThousand"/>
      <w:lvlText w:val="%1、"/>
      <w:lvlJc w:val="left"/>
      <w:pPr>
        <w:ind w:left="523" w:hanging="501"/>
        <w:jc w:val="left"/>
      </w:pPr>
      <w:rPr>
        <w:rFonts w:ascii="微軟正黑體" w:eastAsia="微軟正黑體" w:hAnsi="微軟正黑體" w:cs="微軟正黑體" w:hint="default"/>
        <w:b/>
        <w:bCs/>
        <w:i w:val="0"/>
        <w:iCs w:val="0"/>
        <w:color w:val="1F2937"/>
        <w:spacing w:val="0"/>
        <w:w w:val="99"/>
        <w:sz w:val="23"/>
        <w:szCs w:val="23"/>
        <w:lang w:val="en-US" w:eastAsia="en-US" w:bidi="ar-SA"/>
      </w:rPr>
    </w:lvl>
    <w:lvl w:ilvl="1" w:tplc="0220F6A6">
      <w:numFmt w:val="bullet"/>
      <w:lvlText w:val="•"/>
      <w:lvlJc w:val="left"/>
      <w:pPr>
        <w:ind w:left="1403" w:hanging="501"/>
      </w:pPr>
      <w:rPr>
        <w:rFonts w:hint="default"/>
        <w:lang w:val="en-US" w:eastAsia="en-US" w:bidi="ar-SA"/>
      </w:rPr>
    </w:lvl>
    <w:lvl w:ilvl="2" w:tplc="E6FE271C">
      <w:numFmt w:val="bullet"/>
      <w:lvlText w:val="•"/>
      <w:lvlJc w:val="left"/>
      <w:pPr>
        <w:ind w:left="2287" w:hanging="501"/>
      </w:pPr>
      <w:rPr>
        <w:rFonts w:hint="default"/>
        <w:lang w:val="en-US" w:eastAsia="en-US" w:bidi="ar-SA"/>
      </w:rPr>
    </w:lvl>
    <w:lvl w:ilvl="3" w:tplc="CCB00124">
      <w:numFmt w:val="bullet"/>
      <w:lvlText w:val="•"/>
      <w:lvlJc w:val="left"/>
      <w:pPr>
        <w:ind w:left="3170" w:hanging="501"/>
      </w:pPr>
      <w:rPr>
        <w:rFonts w:hint="default"/>
        <w:lang w:val="en-US" w:eastAsia="en-US" w:bidi="ar-SA"/>
      </w:rPr>
    </w:lvl>
    <w:lvl w:ilvl="4" w:tplc="446C31E6">
      <w:numFmt w:val="bullet"/>
      <w:lvlText w:val="•"/>
      <w:lvlJc w:val="left"/>
      <w:pPr>
        <w:ind w:left="4054" w:hanging="501"/>
      </w:pPr>
      <w:rPr>
        <w:rFonts w:hint="default"/>
        <w:lang w:val="en-US" w:eastAsia="en-US" w:bidi="ar-SA"/>
      </w:rPr>
    </w:lvl>
    <w:lvl w:ilvl="5" w:tplc="935A88E0">
      <w:numFmt w:val="bullet"/>
      <w:lvlText w:val="•"/>
      <w:lvlJc w:val="left"/>
      <w:pPr>
        <w:ind w:left="4938" w:hanging="501"/>
      </w:pPr>
      <w:rPr>
        <w:rFonts w:hint="default"/>
        <w:lang w:val="en-US" w:eastAsia="en-US" w:bidi="ar-SA"/>
      </w:rPr>
    </w:lvl>
    <w:lvl w:ilvl="6" w:tplc="5A143EDA">
      <w:numFmt w:val="bullet"/>
      <w:lvlText w:val="•"/>
      <w:lvlJc w:val="left"/>
      <w:pPr>
        <w:ind w:left="5821" w:hanging="501"/>
      </w:pPr>
      <w:rPr>
        <w:rFonts w:hint="default"/>
        <w:lang w:val="en-US" w:eastAsia="en-US" w:bidi="ar-SA"/>
      </w:rPr>
    </w:lvl>
    <w:lvl w:ilvl="7" w:tplc="ADAA0266">
      <w:numFmt w:val="bullet"/>
      <w:lvlText w:val="•"/>
      <w:lvlJc w:val="left"/>
      <w:pPr>
        <w:ind w:left="6705" w:hanging="501"/>
      </w:pPr>
      <w:rPr>
        <w:rFonts w:hint="default"/>
        <w:lang w:val="en-US" w:eastAsia="en-US" w:bidi="ar-SA"/>
      </w:rPr>
    </w:lvl>
    <w:lvl w:ilvl="8" w:tplc="6FEC390C">
      <w:numFmt w:val="bullet"/>
      <w:lvlText w:val="•"/>
      <w:lvlJc w:val="left"/>
      <w:pPr>
        <w:ind w:left="7589" w:hanging="501"/>
      </w:pPr>
      <w:rPr>
        <w:rFonts w:hint="default"/>
        <w:lang w:val="en-US" w:eastAsia="en-US" w:bidi="ar-SA"/>
      </w:rPr>
    </w:lvl>
  </w:abstractNum>
  <w:abstractNum w:abstractNumId="3" w15:restartNumberingAfterBreak="0">
    <w:nsid w:val="3A04670E"/>
    <w:multiLevelType w:val="hybridMultilevel"/>
    <w:tmpl w:val="8F4A922C"/>
    <w:lvl w:ilvl="0" w:tplc="16CE37DA">
      <w:start w:val="1"/>
      <w:numFmt w:val="chineseCountingThousand"/>
      <w:lvlText w:val="（%1）"/>
      <w:lvlJc w:val="left"/>
      <w:pPr>
        <w:ind w:left="744" w:hanging="721"/>
        <w:jc w:val="left"/>
      </w:pPr>
      <w:rPr>
        <w:rFonts w:ascii="微軟正黑體" w:eastAsia="微軟正黑體" w:hAnsi="微軟正黑體" w:cs="微軟正黑體" w:hint="default"/>
        <w:b/>
        <w:bCs/>
        <w:i w:val="0"/>
        <w:iCs w:val="0"/>
        <w:color w:val="1F2937"/>
        <w:spacing w:val="0"/>
        <w:w w:val="100"/>
        <w:sz w:val="22"/>
        <w:szCs w:val="22"/>
        <w:lang w:val="en-US" w:eastAsia="en-US" w:bidi="ar-SA"/>
      </w:rPr>
    </w:lvl>
    <w:lvl w:ilvl="1" w:tplc="1ED05DCE">
      <w:numFmt w:val="bullet"/>
      <w:lvlText w:val="•"/>
      <w:lvlJc w:val="left"/>
      <w:pPr>
        <w:ind w:left="1601" w:hanging="721"/>
      </w:pPr>
      <w:rPr>
        <w:rFonts w:hint="default"/>
        <w:lang w:val="en-US" w:eastAsia="en-US" w:bidi="ar-SA"/>
      </w:rPr>
    </w:lvl>
    <w:lvl w:ilvl="2" w:tplc="3386F596">
      <w:numFmt w:val="bullet"/>
      <w:lvlText w:val="•"/>
      <w:lvlJc w:val="left"/>
      <w:pPr>
        <w:ind w:left="2463" w:hanging="721"/>
      </w:pPr>
      <w:rPr>
        <w:rFonts w:hint="default"/>
        <w:lang w:val="en-US" w:eastAsia="en-US" w:bidi="ar-SA"/>
      </w:rPr>
    </w:lvl>
    <w:lvl w:ilvl="3" w:tplc="1D4685B6">
      <w:numFmt w:val="bullet"/>
      <w:lvlText w:val="•"/>
      <w:lvlJc w:val="left"/>
      <w:pPr>
        <w:ind w:left="3324" w:hanging="721"/>
      </w:pPr>
      <w:rPr>
        <w:rFonts w:hint="default"/>
        <w:lang w:val="en-US" w:eastAsia="en-US" w:bidi="ar-SA"/>
      </w:rPr>
    </w:lvl>
    <w:lvl w:ilvl="4" w:tplc="292E315E">
      <w:numFmt w:val="bullet"/>
      <w:lvlText w:val="•"/>
      <w:lvlJc w:val="left"/>
      <w:pPr>
        <w:ind w:left="4186" w:hanging="721"/>
      </w:pPr>
      <w:rPr>
        <w:rFonts w:hint="default"/>
        <w:lang w:val="en-US" w:eastAsia="en-US" w:bidi="ar-SA"/>
      </w:rPr>
    </w:lvl>
    <w:lvl w:ilvl="5" w:tplc="60C289B0">
      <w:numFmt w:val="bullet"/>
      <w:lvlText w:val="•"/>
      <w:lvlJc w:val="left"/>
      <w:pPr>
        <w:ind w:left="5048" w:hanging="721"/>
      </w:pPr>
      <w:rPr>
        <w:rFonts w:hint="default"/>
        <w:lang w:val="en-US" w:eastAsia="en-US" w:bidi="ar-SA"/>
      </w:rPr>
    </w:lvl>
    <w:lvl w:ilvl="6" w:tplc="BC522FD2">
      <w:numFmt w:val="bullet"/>
      <w:lvlText w:val="•"/>
      <w:lvlJc w:val="left"/>
      <w:pPr>
        <w:ind w:left="5909" w:hanging="721"/>
      </w:pPr>
      <w:rPr>
        <w:rFonts w:hint="default"/>
        <w:lang w:val="en-US" w:eastAsia="en-US" w:bidi="ar-SA"/>
      </w:rPr>
    </w:lvl>
    <w:lvl w:ilvl="7" w:tplc="0624F7FC">
      <w:numFmt w:val="bullet"/>
      <w:lvlText w:val="•"/>
      <w:lvlJc w:val="left"/>
      <w:pPr>
        <w:ind w:left="6771" w:hanging="721"/>
      </w:pPr>
      <w:rPr>
        <w:rFonts w:hint="default"/>
        <w:lang w:val="en-US" w:eastAsia="en-US" w:bidi="ar-SA"/>
      </w:rPr>
    </w:lvl>
    <w:lvl w:ilvl="8" w:tplc="0EE00EFA">
      <w:numFmt w:val="bullet"/>
      <w:lvlText w:val="•"/>
      <w:lvlJc w:val="left"/>
      <w:pPr>
        <w:ind w:left="7633" w:hanging="721"/>
      </w:pPr>
      <w:rPr>
        <w:rFonts w:hint="default"/>
        <w:lang w:val="en-US" w:eastAsia="en-US" w:bidi="ar-SA"/>
      </w:rPr>
    </w:lvl>
  </w:abstractNum>
  <w:abstractNum w:abstractNumId="4" w15:restartNumberingAfterBreak="0">
    <w:nsid w:val="44761C2C"/>
    <w:multiLevelType w:val="hybridMultilevel"/>
    <w:tmpl w:val="DBC0D686"/>
    <w:lvl w:ilvl="0" w:tplc="4A529D38">
      <w:start w:val="1"/>
      <w:numFmt w:val="chineseCountingThousand"/>
      <w:lvlText w:val="（%1）"/>
      <w:lvlJc w:val="left"/>
      <w:pPr>
        <w:ind w:left="744" w:hanging="721"/>
        <w:jc w:val="left"/>
      </w:pPr>
      <w:rPr>
        <w:rFonts w:ascii="微軟正黑體" w:eastAsia="微軟正黑體" w:hAnsi="微軟正黑體" w:cs="微軟正黑體" w:hint="default"/>
        <w:b/>
        <w:bCs/>
        <w:i w:val="0"/>
        <w:iCs w:val="0"/>
        <w:color w:val="1F2937"/>
        <w:spacing w:val="0"/>
        <w:w w:val="100"/>
        <w:sz w:val="22"/>
        <w:szCs w:val="22"/>
        <w:lang w:val="en-US" w:eastAsia="en-US" w:bidi="ar-SA"/>
      </w:rPr>
    </w:lvl>
    <w:lvl w:ilvl="1" w:tplc="0F220CC8">
      <w:numFmt w:val="bullet"/>
      <w:lvlText w:val="•"/>
      <w:lvlJc w:val="left"/>
      <w:pPr>
        <w:ind w:left="1601" w:hanging="721"/>
      </w:pPr>
      <w:rPr>
        <w:rFonts w:hint="default"/>
        <w:lang w:val="en-US" w:eastAsia="en-US" w:bidi="ar-SA"/>
      </w:rPr>
    </w:lvl>
    <w:lvl w:ilvl="2" w:tplc="AB44FF5E">
      <w:numFmt w:val="bullet"/>
      <w:lvlText w:val="•"/>
      <w:lvlJc w:val="left"/>
      <w:pPr>
        <w:ind w:left="2463" w:hanging="721"/>
      </w:pPr>
      <w:rPr>
        <w:rFonts w:hint="default"/>
        <w:lang w:val="en-US" w:eastAsia="en-US" w:bidi="ar-SA"/>
      </w:rPr>
    </w:lvl>
    <w:lvl w:ilvl="3" w:tplc="59A0E3CA">
      <w:numFmt w:val="bullet"/>
      <w:lvlText w:val="•"/>
      <w:lvlJc w:val="left"/>
      <w:pPr>
        <w:ind w:left="3324" w:hanging="721"/>
      </w:pPr>
      <w:rPr>
        <w:rFonts w:hint="default"/>
        <w:lang w:val="en-US" w:eastAsia="en-US" w:bidi="ar-SA"/>
      </w:rPr>
    </w:lvl>
    <w:lvl w:ilvl="4" w:tplc="62689792">
      <w:numFmt w:val="bullet"/>
      <w:lvlText w:val="•"/>
      <w:lvlJc w:val="left"/>
      <w:pPr>
        <w:ind w:left="4186" w:hanging="721"/>
      </w:pPr>
      <w:rPr>
        <w:rFonts w:hint="default"/>
        <w:lang w:val="en-US" w:eastAsia="en-US" w:bidi="ar-SA"/>
      </w:rPr>
    </w:lvl>
    <w:lvl w:ilvl="5" w:tplc="661CD052">
      <w:numFmt w:val="bullet"/>
      <w:lvlText w:val="•"/>
      <w:lvlJc w:val="left"/>
      <w:pPr>
        <w:ind w:left="5048" w:hanging="721"/>
      </w:pPr>
      <w:rPr>
        <w:rFonts w:hint="default"/>
        <w:lang w:val="en-US" w:eastAsia="en-US" w:bidi="ar-SA"/>
      </w:rPr>
    </w:lvl>
    <w:lvl w:ilvl="6" w:tplc="5F7EFAC6">
      <w:numFmt w:val="bullet"/>
      <w:lvlText w:val="•"/>
      <w:lvlJc w:val="left"/>
      <w:pPr>
        <w:ind w:left="5909" w:hanging="721"/>
      </w:pPr>
      <w:rPr>
        <w:rFonts w:hint="default"/>
        <w:lang w:val="en-US" w:eastAsia="en-US" w:bidi="ar-SA"/>
      </w:rPr>
    </w:lvl>
    <w:lvl w:ilvl="7" w:tplc="0D586CA4">
      <w:numFmt w:val="bullet"/>
      <w:lvlText w:val="•"/>
      <w:lvlJc w:val="left"/>
      <w:pPr>
        <w:ind w:left="6771" w:hanging="721"/>
      </w:pPr>
      <w:rPr>
        <w:rFonts w:hint="default"/>
        <w:lang w:val="en-US" w:eastAsia="en-US" w:bidi="ar-SA"/>
      </w:rPr>
    </w:lvl>
    <w:lvl w:ilvl="8" w:tplc="4BDE102A">
      <w:numFmt w:val="bullet"/>
      <w:lvlText w:val="•"/>
      <w:lvlJc w:val="left"/>
      <w:pPr>
        <w:ind w:left="7633" w:hanging="721"/>
      </w:pPr>
      <w:rPr>
        <w:rFonts w:hint="default"/>
        <w:lang w:val="en-US" w:eastAsia="en-US" w:bidi="ar-SA"/>
      </w:rPr>
    </w:lvl>
  </w:abstractNum>
  <w:abstractNum w:abstractNumId="5" w15:restartNumberingAfterBreak="0">
    <w:nsid w:val="52D920F6"/>
    <w:multiLevelType w:val="hybridMultilevel"/>
    <w:tmpl w:val="8594E874"/>
    <w:lvl w:ilvl="0" w:tplc="63205298">
      <w:start w:val="1"/>
      <w:numFmt w:val="chineseCountingThousand"/>
      <w:lvlText w:val="（%1）"/>
      <w:lvlJc w:val="left"/>
      <w:pPr>
        <w:ind w:left="744" w:hanging="721"/>
        <w:jc w:val="left"/>
      </w:pPr>
      <w:rPr>
        <w:rFonts w:ascii="微軟正黑體" w:eastAsia="微軟正黑體" w:hAnsi="微軟正黑體" w:cs="微軟正黑體" w:hint="default"/>
        <w:b/>
        <w:bCs/>
        <w:i w:val="0"/>
        <w:iCs w:val="0"/>
        <w:color w:val="1F2937"/>
        <w:spacing w:val="0"/>
        <w:w w:val="100"/>
        <w:sz w:val="22"/>
        <w:szCs w:val="22"/>
        <w:lang w:val="en-US" w:eastAsia="en-US" w:bidi="ar-SA"/>
      </w:rPr>
    </w:lvl>
    <w:lvl w:ilvl="1" w:tplc="09CEA61E">
      <w:numFmt w:val="bullet"/>
      <w:lvlText w:val="•"/>
      <w:lvlJc w:val="left"/>
      <w:pPr>
        <w:ind w:left="1601" w:hanging="721"/>
      </w:pPr>
      <w:rPr>
        <w:rFonts w:hint="default"/>
        <w:lang w:val="en-US" w:eastAsia="en-US" w:bidi="ar-SA"/>
      </w:rPr>
    </w:lvl>
    <w:lvl w:ilvl="2" w:tplc="67081B86">
      <w:numFmt w:val="bullet"/>
      <w:lvlText w:val="•"/>
      <w:lvlJc w:val="left"/>
      <w:pPr>
        <w:ind w:left="2463" w:hanging="721"/>
      </w:pPr>
      <w:rPr>
        <w:rFonts w:hint="default"/>
        <w:lang w:val="en-US" w:eastAsia="en-US" w:bidi="ar-SA"/>
      </w:rPr>
    </w:lvl>
    <w:lvl w:ilvl="3" w:tplc="522A9E76">
      <w:numFmt w:val="bullet"/>
      <w:lvlText w:val="•"/>
      <w:lvlJc w:val="left"/>
      <w:pPr>
        <w:ind w:left="3324" w:hanging="721"/>
      </w:pPr>
      <w:rPr>
        <w:rFonts w:hint="default"/>
        <w:lang w:val="en-US" w:eastAsia="en-US" w:bidi="ar-SA"/>
      </w:rPr>
    </w:lvl>
    <w:lvl w:ilvl="4" w:tplc="B3508ECE">
      <w:numFmt w:val="bullet"/>
      <w:lvlText w:val="•"/>
      <w:lvlJc w:val="left"/>
      <w:pPr>
        <w:ind w:left="4186" w:hanging="721"/>
      </w:pPr>
      <w:rPr>
        <w:rFonts w:hint="default"/>
        <w:lang w:val="en-US" w:eastAsia="en-US" w:bidi="ar-SA"/>
      </w:rPr>
    </w:lvl>
    <w:lvl w:ilvl="5" w:tplc="064251B0">
      <w:numFmt w:val="bullet"/>
      <w:lvlText w:val="•"/>
      <w:lvlJc w:val="left"/>
      <w:pPr>
        <w:ind w:left="5048" w:hanging="721"/>
      </w:pPr>
      <w:rPr>
        <w:rFonts w:hint="default"/>
        <w:lang w:val="en-US" w:eastAsia="en-US" w:bidi="ar-SA"/>
      </w:rPr>
    </w:lvl>
    <w:lvl w:ilvl="6" w:tplc="45320A56">
      <w:numFmt w:val="bullet"/>
      <w:lvlText w:val="•"/>
      <w:lvlJc w:val="left"/>
      <w:pPr>
        <w:ind w:left="5909" w:hanging="721"/>
      </w:pPr>
      <w:rPr>
        <w:rFonts w:hint="default"/>
        <w:lang w:val="en-US" w:eastAsia="en-US" w:bidi="ar-SA"/>
      </w:rPr>
    </w:lvl>
    <w:lvl w:ilvl="7" w:tplc="F85EF16E">
      <w:numFmt w:val="bullet"/>
      <w:lvlText w:val="•"/>
      <w:lvlJc w:val="left"/>
      <w:pPr>
        <w:ind w:left="6771" w:hanging="721"/>
      </w:pPr>
      <w:rPr>
        <w:rFonts w:hint="default"/>
        <w:lang w:val="en-US" w:eastAsia="en-US" w:bidi="ar-SA"/>
      </w:rPr>
    </w:lvl>
    <w:lvl w:ilvl="8" w:tplc="D3B0BE26">
      <w:numFmt w:val="bullet"/>
      <w:lvlText w:val="•"/>
      <w:lvlJc w:val="left"/>
      <w:pPr>
        <w:ind w:left="7633" w:hanging="721"/>
      </w:pPr>
      <w:rPr>
        <w:rFonts w:hint="default"/>
        <w:lang w:val="en-US" w:eastAsia="en-US" w:bidi="ar-SA"/>
      </w:rPr>
    </w:lvl>
  </w:abstractNum>
  <w:abstractNum w:abstractNumId="6" w15:restartNumberingAfterBreak="0">
    <w:nsid w:val="59D33F82"/>
    <w:multiLevelType w:val="hybridMultilevel"/>
    <w:tmpl w:val="1D9EBDB4"/>
    <w:lvl w:ilvl="0" w:tplc="5CD2385E">
      <w:start w:val="1"/>
      <w:numFmt w:val="chineseCountingThousand"/>
      <w:lvlText w:val="（%1）"/>
      <w:lvlJc w:val="left"/>
      <w:pPr>
        <w:ind w:left="744" w:hanging="721"/>
        <w:jc w:val="left"/>
      </w:pPr>
      <w:rPr>
        <w:rFonts w:ascii="微軟正黑體" w:eastAsia="微軟正黑體" w:hAnsi="微軟正黑體" w:cs="微軟正黑體" w:hint="default"/>
        <w:b/>
        <w:bCs/>
        <w:i w:val="0"/>
        <w:iCs w:val="0"/>
        <w:color w:val="1F2937"/>
        <w:spacing w:val="0"/>
        <w:w w:val="100"/>
        <w:sz w:val="22"/>
        <w:szCs w:val="22"/>
        <w:lang w:val="en-US" w:eastAsia="en-US" w:bidi="ar-SA"/>
      </w:rPr>
    </w:lvl>
    <w:lvl w:ilvl="1" w:tplc="C34EF884">
      <w:numFmt w:val="bullet"/>
      <w:lvlText w:val="•"/>
      <w:lvlJc w:val="left"/>
      <w:pPr>
        <w:ind w:left="1601" w:hanging="721"/>
      </w:pPr>
      <w:rPr>
        <w:rFonts w:hint="default"/>
        <w:lang w:val="en-US" w:eastAsia="en-US" w:bidi="ar-SA"/>
      </w:rPr>
    </w:lvl>
    <w:lvl w:ilvl="2" w:tplc="8F10E836">
      <w:numFmt w:val="bullet"/>
      <w:lvlText w:val="•"/>
      <w:lvlJc w:val="left"/>
      <w:pPr>
        <w:ind w:left="2463" w:hanging="721"/>
      </w:pPr>
      <w:rPr>
        <w:rFonts w:hint="default"/>
        <w:lang w:val="en-US" w:eastAsia="en-US" w:bidi="ar-SA"/>
      </w:rPr>
    </w:lvl>
    <w:lvl w:ilvl="3" w:tplc="0BAC3B7C">
      <w:numFmt w:val="bullet"/>
      <w:lvlText w:val="•"/>
      <w:lvlJc w:val="left"/>
      <w:pPr>
        <w:ind w:left="3324" w:hanging="721"/>
      </w:pPr>
      <w:rPr>
        <w:rFonts w:hint="default"/>
        <w:lang w:val="en-US" w:eastAsia="en-US" w:bidi="ar-SA"/>
      </w:rPr>
    </w:lvl>
    <w:lvl w:ilvl="4" w:tplc="71AA059C">
      <w:numFmt w:val="bullet"/>
      <w:lvlText w:val="•"/>
      <w:lvlJc w:val="left"/>
      <w:pPr>
        <w:ind w:left="4186" w:hanging="721"/>
      </w:pPr>
      <w:rPr>
        <w:rFonts w:hint="default"/>
        <w:lang w:val="en-US" w:eastAsia="en-US" w:bidi="ar-SA"/>
      </w:rPr>
    </w:lvl>
    <w:lvl w:ilvl="5" w:tplc="75780608">
      <w:numFmt w:val="bullet"/>
      <w:lvlText w:val="•"/>
      <w:lvlJc w:val="left"/>
      <w:pPr>
        <w:ind w:left="5048" w:hanging="721"/>
      </w:pPr>
      <w:rPr>
        <w:rFonts w:hint="default"/>
        <w:lang w:val="en-US" w:eastAsia="en-US" w:bidi="ar-SA"/>
      </w:rPr>
    </w:lvl>
    <w:lvl w:ilvl="6" w:tplc="DF60DFB0">
      <w:numFmt w:val="bullet"/>
      <w:lvlText w:val="•"/>
      <w:lvlJc w:val="left"/>
      <w:pPr>
        <w:ind w:left="5909" w:hanging="721"/>
      </w:pPr>
      <w:rPr>
        <w:rFonts w:hint="default"/>
        <w:lang w:val="en-US" w:eastAsia="en-US" w:bidi="ar-SA"/>
      </w:rPr>
    </w:lvl>
    <w:lvl w:ilvl="7" w:tplc="07E42FAA">
      <w:numFmt w:val="bullet"/>
      <w:lvlText w:val="•"/>
      <w:lvlJc w:val="left"/>
      <w:pPr>
        <w:ind w:left="6771" w:hanging="721"/>
      </w:pPr>
      <w:rPr>
        <w:rFonts w:hint="default"/>
        <w:lang w:val="en-US" w:eastAsia="en-US" w:bidi="ar-SA"/>
      </w:rPr>
    </w:lvl>
    <w:lvl w:ilvl="8" w:tplc="E4C040B4">
      <w:numFmt w:val="bullet"/>
      <w:lvlText w:val="•"/>
      <w:lvlJc w:val="left"/>
      <w:pPr>
        <w:ind w:left="7633" w:hanging="721"/>
      </w:pPr>
      <w:rPr>
        <w:rFonts w:hint="default"/>
        <w:lang w:val="en-US" w:eastAsia="en-US" w:bidi="ar-SA"/>
      </w:rPr>
    </w:lvl>
  </w:abstractNum>
  <w:abstractNum w:abstractNumId="7" w15:restartNumberingAfterBreak="0">
    <w:nsid w:val="68EC6BC6"/>
    <w:multiLevelType w:val="hybridMultilevel"/>
    <w:tmpl w:val="B7909ADC"/>
    <w:lvl w:ilvl="0" w:tplc="5466610A">
      <w:start w:val="1"/>
      <w:numFmt w:val="chineseCountingThousand"/>
      <w:lvlText w:val="（%1）"/>
      <w:lvlJc w:val="left"/>
      <w:pPr>
        <w:ind w:left="744" w:hanging="721"/>
        <w:jc w:val="left"/>
      </w:pPr>
      <w:rPr>
        <w:rFonts w:ascii="微軟正黑體" w:eastAsia="微軟正黑體" w:hAnsi="微軟正黑體" w:cs="微軟正黑體" w:hint="default"/>
        <w:b/>
        <w:bCs/>
        <w:i w:val="0"/>
        <w:iCs w:val="0"/>
        <w:color w:val="1F2937"/>
        <w:spacing w:val="0"/>
        <w:w w:val="100"/>
        <w:sz w:val="22"/>
        <w:szCs w:val="22"/>
        <w:lang w:val="en-US" w:eastAsia="en-US" w:bidi="ar-SA"/>
      </w:rPr>
    </w:lvl>
    <w:lvl w:ilvl="1" w:tplc="43884F22">
      <w:numFmt w:val="bullet"/>
      <w:lvlText w:val="•"/>
      <w:lvlJc w:val="left"/>
      <w:pPr>
        <w:ind w:left="1601" w:hanging="721"/>
      </w:pPr>
      <w:rPr>
        <w:rFonts w:hint="default"/>
        <w:lang w:val="en-US" w:eastAsia="en-US" w:bidi="ar-SA"/>
      </w:rPr>
    </w:lvl>
    <w:lvl w:ilvl="2" w:tplc="2D3A8E44">
      <w:numFmt w:val="bullet"/>
      <w:lvlText w:val="•"/>
      <w:lvlJc w:val="left"/>
      <w:pPr>
        <w:ind w:left="2463" w:hanging="721"/>
      </w:pPr>
      <w:rPr>
        <w:rFonts w:hint="default"/>
        <w:lang w:val="en-US" w:eastAsia="en-US" w:bidi="ar-SA"/>
      </w:rPr>
    </w:lvl>
    <w:lvl w:ilvl="3" w:tplc="5B1CAC60">
      <w:numFmt w:val="bullet"/>
      <w:lvlText w:val="•"/>
      <w:lvlJc w:val="left"/>
      <w:pPr>
        <w:ind w:left="3324" w:hanging="721"/>
      </w:pPr>
      <w:rPr>
        <w:rFonts w:hint="default"/>
        <w:lang w:val="en-US" w:eastAsia="en-US" w:bidi="ar-SA"/>
      </w:rPr>
    </w:lvl>
    <w:lvl w:ilvl="4" w:tplc="52A4C46E">
      <w:numFmt w:val="bullet"/>
      <w:lvlText w:val="•"/>
      <w:lvlJc w:val="left"/>
      <w:pPr>
        <w:ind w:left="4186" w:hanging="721"/>
      </w:pPr>
      <w:rPr>
        <w:rFonts w:hint="default"/>
        <w:lang w:val="en-US" w:eastAsia="en-US" w:bidi="ar-SA"/>
      </w:rPr>
    </w:lvl>
    <w:lvl w:ilvl="5" w:tplc="280CBDAE">
      <w:numFmt w:val="bullet"/>
      <w:lvlText w:val="•"/>
      <w:lvlJc w:val="left"/>
      <w:pPr>
        <w:ind w:left="5048" w:hanging="721"/>
      </w:pPr>
      <w:rPr>
        <w:rFonts w:hint="default"/>
        <w:lang w:val="en-US" w:eastAsia="en-US" w:bidi="ar-SA"/>
      </w:rPr>
    </w:lvl>
    <w:lvl w:ilvl="6" w:tplc="451A5C80">
      <w:numFmt w:val="bullet"/>
      <w:lvlText w:val="•"/>
      <w:lvlJc w:val="left"/>
      <w:pPr>
        <w:ind w:left="5909" w:hanging="721"/>
      </w:pPr>
      <w:rPr>
        <w:rFonts w:hint="default"/>
        <w:lang w:val="en-US" w:eastAsia="en-US" w:bidi="ar-SA"/>
      </w:rPr>
    </w:lvl>
    <w:lvl w:ilvl="7" w:tplc="3350DF36">
      <w:numFmt w:val="bullet"/>
      <w:lvlText w:val="•"/>
      <w:lvlJc w:val="left"/>
      <w:pPr>
        <w:ind w:left="6771" w:hanging="721"/>
      </w:pPr>
      <w:rPr>
        <w:rFonts w:hint="default"/>
        <w:lang w:val="en-US" w:eastAsia="en-US" w:bidi="ar-SA"/>
      </w:rPr>
    </w:lvl>
    <w:lvl w:ilvl="8" w:tplc="D368BFD6">
      <w:numFmt w:val="bullet"/>
      <w:lvlText w:val="•"/>
      <w:lvlJc w:val="left"/>
      <w:pPr>
        <w:ind w:left="7633" w:hanging="721"/>
      </w:pPr>
      <w:rPr>
        <w:rFonts w:hint="default"/>
        <w:lang w:val="en-US" w:eastAsia="en-US" w:bidi="ar-SA"/>
      </w:rPr>
    </w:lvl>
  </w:abstractNum>
  <w:abstractNum w:abstractNumId="8" w15:restartNumberingAfterBreak="0">
    <w:nsid w:val="7DFD1D49"/>
    <w:multiLevelType w:val="hybridMultilevel"/>
    <w:tmpl w:val="81263426"/>
    <w:lvl w:ilvl="0" w:tplc="F4088AA8">
      <w:start w:val="1"/>
      <w:numFmt w:val="ideographLegalTraditional"/>
      <w:lvlText w:val="%1、"/>
      <w:lvlJc w:val="left"/>
      <w:pPr>
        <w:ind w:left="585" w:hanging="563"/>
        <w:jc w:val="left"/>
      </w:pPr>
      <w:rPr>
        <w:rFonts w:ascii="微軟正黑體" w:eastAsia="微軟正黑體" w:hAnsi="微軟正黑體" w:cs="微軟正黑體" w:hint="default"/>
        <w:b/>
        <w:bCs/>
        <w:i w:val="0"/>
        <w:iCs w:val="0"/>
        <w:color w:val="1F4E78"/>
        <w:spacing w:val="0"/>
        <w:w w:val="100"/>
        <w:sz w:val="26"/>
        <w:szCs w:val="26"/>
        <w:lang w:val="en-US" w:eastAsia="en-US" w:bidi="ar-SA"/>
      </w:rPr>
    </w:lvl>
    <w:lvl w:ilvl="1" w:tplc="B1302C92">
      <w:start w:val="1"/>
      <w:numFmt w:val="chineseCountingThousand"/>
      <w:lvlText w:val="%2、"/>
      <w:lvlJc w:val="left"/>
      <w:pPr>
        <w:ind w:left="523" w:hanging="501"/>
        <w:jc w:val="left"/>
      </w:pPr>
      <w:rPr>
        <w:rFonts w:ascii="微軟正黑體" w:eastAsia="微軟正黑體" w:hAnsi="微軟正黑體" w:cs="微軟正黑體" w:hint="default"/>
        <w:b/>
        <w:bCs/>
        <w:i w:val="0"/>
        <w:iCs w:val="0"/>
        <w:color w:val="1F2937"/>
        <w:spacing w:val="0"/>
        <w:w w:val="99"/>
        <w:sz w:val="23"/>
        <w:szCs w:val="23"/>
        <w:lang w:val="en-US" w:eastAsia="en-US" w:bidi="ar-SA"/>
      </w:rPr>
    </w:lvl>
    <w:lvl w:ilvl="2" w:tplc="61C680FC">
      <w:numFmt w:val="bullet"/>
      <w:lvlText w:val="•"/>
      <w:lvlJc w:val="left"/>
      <w:pPr>
        <w:ind w:left="580" w:hanging="501"/>
      </w:pPr>
      <w:rPr>
        <w:rFonts w:hint="default"/>
        <w:lang w:val="en-US" w:eastAsia="en-US" w:bidi="ar-SA"/>
      </w:rPr>
    </w:lvl>
    <w:lvl w:ilvl="3" w:tplc="C79EB144">
      <w:numFmt w:val="bullet"/>
      <w:lvlText w:val="•"/>
      <w:lvlJc w:val="left"/>
      <w:pPr>
        <w:ind w:left="1677" w:hanging="501"/>
      </w:pPr>
      <w:rPr>
        <w:rFonts w:hint="default"/>
        <w:lang w:val="en-US" w:eastAsia="en-US" w:bidi="ar-SA"/>
      </w:rPr>
    </w:lvl>
    <w:lvl w:ilvl="4" w:tplc="EC680E82">
      <w:numFmt w:val="bullet"/>
      <w:lvlText w:val="•"/>
      <w:lvlJc w:val="left"/>
      <w:pPr>
        <w:ind w:left="2774" w:hanging="501"/>
      </w:pPr>
      <w:rPr>
        <w:rFonts w:hint="default"/>
        <w:lang w:val="en-US" w:eastAsia="en-US" w:bidi="ar-SA"/>
      </w:rPr>
    </w:lvl>
    <w:lvl w:ilvl="5" w:tplc="13EA4DD8">
      <w:numFmt w:val="bullet"/>
      <w:lvlText w:val="•"/>
      <w:lvlJc w:val="left"/>
      <w:pPr>
        <w:ind w:left="3871" w:hanging="501"/>
      </w:pPr>
      <w:rPr>
        <w:rFonts w:hint="default"/>
        <w:lang w:val="en-US" w:eastAsia="en-US" w:bidi="ar-SA"/>
      </w:rPr>
    </w:lvl>
    <w:lvl w:ilvl="6" w:tplc="D7BCF654">
      <w:numFmt w:val="bullet"/>
      <w:lvlText w:val="•"/>
      <w:lvlJc w:val="left"/>
      <w:pPr>
        <w:ind w:left="4968" w:hanging="501"/>
      </w:pPr>
      <w:rPr>
        <w:rFonts w:hint="default"/>
        <w:lang w:val="en-US" w:eastAsia="en-US" w:bidi="ar-SA"/>
      </w:rPr>
    </w:lvl>
    <w:lvl w:ilvl="7" w:tplc="B2503D58">
      <w:numFmt w:val="bullet"/>
      <w:lvlText w:val="•"/>
      <w:lvlJc w:val="left"/>
      <w:pPr>
        <w:ind w:left="6065" w:hanging="501"/>
      </w:pPr>
      <w:rPr>
        <w:rFonts w:hint="default"/>
        <w:lang w:val="en-US" w:eastAsia="en-US" w:bidi="ar-SA"/>
      </w:rPr>
    </w:lvl>
    <w:lvl w:ilvl="8" w:tplc="E648D508">
      <w:numFmt w:val="bullet"/>
      <w:lvlText w:val="•"/>
      <w:lvlJc w:val="left"/>
      <w:pPr>
        <w:ind w:left="7162" w:hanging="501"/>
      </w:pPr>
      <w:rPr>
        <w:rFonts w:hint="default"/>
        <w:lang w:val="en-US" w:eastAsia="en-US" w:bidi="ar-SA"/>
      </w:rPr>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0A5"/>
    <w:rsid w:val="002C50A5"/>
    <w:rsid w:val="006D6123"/>
    <w:rsid w:val="00A447DA"/>
    <w:rsid w:val="00AB79E7"/>
    <w:rsid w:val="00B8638C"/>
    <w:rsid w:val="00D83F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907C"/>
  <w15:docId w15:val="{85FED38F-6741-4A88-A49B-800512F1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324" w:lineRule="auto"/>
    </w:pPr>
    <w:rPr>
      <w:rFonts w:ascii="微軟正黑體" w:eastAsia="微軟正黑體" w:hAnsi="微軟正黑體" w:cs="微軟正黑體"/>
    </w:rPr>
  </w:style>
  <w:style w:type="paragraph" w:styleId="1">
    <w:name w:val="heading 1"/>
    <w:basedOn w:val="a"/>
    <w:uiPriority w:val="9"/>
    <w:qFormat/>
    <w:pPr>
      <w:spacing w:before="6"/>
      <w:ind w:left="584" w:hanging="561"/>
      <w:outlineLvl w:val="0"/>
    </w:pPr>
    <w:rPr>
      <w:b/>
      <w:bCs/>
      <w:sz w:val="28"/>
      <w:szCs w:val="28"/>
    </w:rPr>
  </w:style>
  <w:style w:type="paragraph" w:styleId="2">
    <w:name w:val="heading 2"/>
    <w:basedOn w:val="a"/>
    <w:uiPriority w:val="9"/>
    <w:unhideWhenUsed/>
    <w:qFormat/>
    <w:pPr>
      <w:spacing w:before="180"/>
      <w:ind w:left="522" w:hanging="499"/>
      <w:outlineLvl w:val="1"/>
    </w:pPr>
    <w:rPr>
      <w:b/>
      <w:bCs/>
      <w:sz w:val="25"/>
      <w:szCs w:val="25"/>
    </w:rPr>
  </w:style>
  <w:style w:type="paragraph" w:styleId="3">
    <w:name w:val="heading 3"/>
    <w:basedOn w:val="a"/>
    <w:uiPriority w:val="9"/>
    <w:unhideWhenUsed/>
    <w:qFormat/>
    <w:pPr>
      <w:spacing w:before="140"/>
      <w:ind w:left="743" w:hanging="72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310"/>
      <w:ind w:left="23" w:right="294" w:firstLine="420"/>
      <w:jc w:val="both"/>
    </w:pPr>
    <w:rPr>
      <w:sz w:val="24"/>
      <w:szCs w:val="24"/>
    </w:rPr>
  </w:style>
  <w:style w:type="paragraph" w:styleId="a4">
    <w:name w:val="Title"/>
    <w:basedOn w:val="a"/>
    <w:uiPriority w:val="10"/>
    <w:qFormat/>
    <w:pPr>
      <w:ind w:right="281"/>
      <w:jc w:val="center"/>
    </w:pPr>
    <w:rPr>
      <w:b/>
      <w:bCs/>
      <w:sz w:val="36"/>
      <w:szCs w:val="36"/>
    </w:rPr>
  </w:style>
  <w:style w:type="paragraph" w:styleId="a5">
    <w:name w:val="List Paragraph"/>
    <w:basedOn w:val="a"/>
    <w:uiPriority w:val="1"/>
    <w:qFormat/>
    <w:pPr>
      <w:spacing w:before="140"/>
      <w:ind w:left="522" w:hanging="72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airitilibrary.com/Article/Detail?DocID=P20190408001-202012-202101140011-202101140011-24-41" TargetMode="External"/><Relationship Id="rId18" Type="http://schemas.openxmlformats.org/officeDocument/2006/relationships/hyperlink" Target="https://www.airitilibrary.com/Article/Detail?DocID=P20210507001-202111-202112300016-202112300016-91-114" TargetMode="External"/><Relationship Id="rId26" Type="http://schemas.openxmlformats.org/officeDocument/2006/relationships/hyperlink" Target="https://www2.nou.edu.tw/pa/docdetail.aspx?docid=15797&amp;pid=3444&amp;uid=4675" TargetMode="External"/><Relationship Id="rId39" Type="http://schemas.openxmlformats.org/officeDocument/2006/relationships/hyperlink" Target="https://doi.org/10.2307/1600374" TargetMode="External"/><Relationship Id="rId21" Type="http://schemas.openxmlformats.org/officeDocument/2006/relationships/hyperlink" Target="https://smartcity.ntpc.gov.tw/home.jsp?act=be4f48068b2b0031&amp;dataserno=40ff598e1046cb8458bf103100f56ca5&amp;id=1163650f96e90679" TargetMode="External"/><Relationship Id="rId34" Type="http://schemas.openxmlformats.org/officeDocument/2006/relationships/hyperlink" Target="https://jfsdigital.org/articles-and-essays/2009-2/vol-14-no-2-november/articles/futuristsalternative-futures-at-the-manoa-school/" TargetMode="External"/><Relationship Id="rId42" Type="http://schemas.openxmlformats.org/officeDocument/2006/relationships/hyperlink" Target="https://thevoroscope.com/2017/02/24/the-futures-cone-use-and-history/" TargetMode="External"/><Relationship Id="rId7" Type="http://schemas.openxmlformats.org/officeDocument/2006/relationships/hyperlink" Target="mailto:jslu2020@gmail.com" TargetMode="External"/><Relationship Id="rId2" Type="http://schemas.openxmlformats.org/officeDocument/2006/relationships/styles" Target="styles.xml"/><Relationship Id="rId16" Type="http://schemas.openxmlformats.org/officeDocument/2006/relationships/hyperlink" Target="https://doi.org/10.30409/JPA.202209_(63).0001" TargetMode="External"/><Relationship Id="rId29" Type="http://schemas.openxmlformats.org/officeDocument/2006/relationships/hyperlink" Target="https://doi.org/10.1145/3442188.34459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moda.gov.tw/major-policies/ai/governance/19246" TargetMode="External"/><Relationship Id="rId32" Type="http://schemas.openxmlformats.org/officeDocument/2006/relationships/hyperlink" Target="https://doi.org/10.1177/09520767241272921" TargetMode="External"/><Relationship Id="rId37" Type="http://schemas.openxmlformats.org/officeDocument/2006/relationships/hyperlink" Target="https://doi.org/10.1007/s43681-023-00289-2" TargetMode="External"/><Relationship Id="rId40" Type="http://schemas.openxmlformats.org/officeDocument/2006/relationships/hyperlink" Target="https://doi.org/10.1080/14494035.2020.185580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ns.judicial.gov.tw/docdata.aspx?fid=100&amp;id=310624" TargetMode="External"/><Relationship Id="rId23" Type="http://schemas.openxmlformats.org/officeDocument/2006/relationships/hyperlink" Target="https://www.exam.gov.tw/News_Content.aspx?n=620&amp;s=49468" TargetMode="External"/><Relationship Id="rId28" Type="http://schemas.openxmlformats.org/officeDocument/2006/relationships/hyperlink" Target="https://doi.org/10.1111/puar.13293" TargetMode="External"/><Relationship Id="rId36" Type="http://schemas.openxmlformats.org/officeDocument/2006/relationships/hyperlink" Target="https://doi.org/10.1093/ppmgov/gvac008" TargetMode="External"/><Relationship Id="rId10" Type="http://schemas.openxmlformats.org/officeDocument/2006/relationships/footer" Target="footer1.xml"/><Relationship Id="rId19" Type="http://schemas.openxmlformats.org/officeDocument/2006/relationships/hyperlink" Target="https://www.airitilibrary.com/Article/Detail?DocID=P20210507001-202111-202112300016-202112300016-91-114" TargetMode="External"/><Relationship Id="rId31" Type="http://schemas.openxmlformats.org/officeDocument/2006/relationships/hyperlink" Target="https://doi.org/10.2307/2393553"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airitilibrary.com/Article/Detail?DocID=P20190408001-202012-202101140011-202101140011-24-41" TargetMode="External"/><Relationship Id="rId22" Type="http://schemas.openxmlformats.org/officeDocument/2006/relationships/hyperlink" Target="https://smartcity.ntpc.gov.tw/home.jsp?act=be4f48068b2b0031&amp;dataserno=40ff598e1046cb8458bf103100f56ca5&amp;id=1163650f96e90679" TargetMode="External"/><Relationship Id="rId27" Type="http://schemas.openxmlformats.org/officeDocument/2006/relationships/hyperlink" Target="https://doi.org/10.1080/14719037.2013.769856" TargetMode="External"/><Relationship Id="rId30" Type="http://schemas.openxmlformats.org/officeDocument/2006/relationships/hyperlink" Target="https://doi.org/10.1145/3593013.3594073" TargetMode="External"/><Relationship Id="rId35" Type="http://schemas.openxmlformats.org/officeDocument/2006/relationships/hyperlink" Target="https://doi.org/10.1177/09520767231198737" TargetMode="External"/><Relationship Id="rId43" Type="http://schemas.openxmlformats.org/officeDocument/2006/relationships/hyperlink" Target="https://doi.org/10.1093/ppmgov/gvz014" TargetMode="External"/><Relationship Id="rId8" Type="http://schemas.openxmlformats.org/officeDocument/2006/relationships/hyperlink" Target="mailto:jyanshiulu@gmail.com"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aw.moj.gov.tw/LawClass/LawAll.aspx?pcode=A0030055" TargetMode="External"/><Relationship Id="rId25" Type="http://schemas.openxmlformats.org/officeDocument/2006/relationships/hyperlink" Target="https://moda.gov.tw/major-policies/ai/governance/19244" TargetMode="External"/><Relationship Id="rId33" Type="http://schemas.openxmlformats.org/officeDocument/2006/relationships/hyperlink" Target="https://jfsdigital.org/articles-and-essays/2009-2/vol-14-no-2-november/articles/futuristsalternative-futures-at-the-manoa-school/" TargetMode="External"/><Relationship Id="rId38" Type="http://schemas.openxmlformats.org/officeDocument/2006/relationships/hyperlink" Target="https://doi.org/10.1006/ijhc.1999.0252" TargetMode="External"/><Relationship Id="rId20" Type="http://schemas.openxmlformats.org/officeDocument/2006/relationships/hyperlink" Target="https://doi.org/10.6166/TJPS.202306_(96).0004" TargetMode="External"/><Relationship Id="rId41" Type="http://schemas.openxmlformats.org/officeDocument/2006/relationships/hyperlink" Target="https://doi.org/10.1108/146366803106983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35</Pages>
  <Words>3864</Words>
  <Characters>22030</Characters>
  <Application>Microsoft Office Word</Application>
  <DocSecurity>0</DocSecurity>
  <Lines>183</Lines>
  <Paragraphs>51</Paragraphs>
  <ScaleCrop>false</ScaleCrop>
  <Manager/>
  <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AI治理下的情境推演：以制度吸收能力建構未來政府光譜</dc:title>
  <dc:subject>依匿名審查意見完成之修訂稿</dc:subject>
  <dc:creator>User</dc:creator>
  <dc:description/>
  <cp:lastModifiedBy>User</cp:lastModifiedBy>
  <cp:revision>3</cp:revision>
  <dcterms:created xsi:type="dcterms:W3CDTF">2026-08-06T13:00:00Z</dcterms:created>
  <dcterms:modified xsi:type="dcterms:W3CDTF">2026-08-10T05:58:00Z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Acrobat PDFMaker 20 Word 版</vt:lpwstr>
  </property>
  <property fmtid="{D5CDD505-2E9C-101B-9397-08002B2CF9AE}" pid="5" name="LastSaved">
    <vt:filetime>2026-08-06T00:00:00Z</vt:filetime>
  </property>
  <property fmtid="{D5CDD505-2E9C-101B-9397-08002B2CF9AE}" pid="6" name="Producer">
    <vt:lpwstr>Adobe PDF Library 20.13.106</vt:lpwstr>
  </property>
  <property fmtid="{D5CDD505-2E9C-101B-9397-08002B2CF9AE}" pid="7" name="SourceModified">
    <vt:lpwstr>D:20260803045716</vt:lpwstr>
  </property>
</Properties>
</file>