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ackground w:color="FDFBF7"/>
  <w:body>
    <w:p>
      <w:pPr>
        <w:widowControl/>
        <w:spacing w:line="324" w:lineRule="auto" w:after="100"/>
        <w:jc w:val="center"/>
      </w:pPr>
      <w:r>
        <w:t>Academic Website Research Paper | SSCI Submission-Preparation Version</w:t>
      </w:r>
    </w:p>
    <w:bookmarkStart w:id="20" w:name="X32c36bdc5461bbb4622721a4a7f2768064b1d31"/>
    <w:p>
      <w:pPr>
        <w:pStyle w:val="Title"/>
        <w:widowControl/>
        <w:spacing w:line="324" w:lineRule="auto"/>
        <w:jc w:val="center"/>
      </w:pPr>
      <w:r>
        <w:rPr>
          <w:rFonts w:ascii="Noto Sans CJK SC" w:hAnsi="Noto Sans CJK SC" w:eastAsia="Noto Sans CJK SC"/>
          <w:b w:val="0"/>
          <w:color w:val="000000"/>
          <w:sz w:val="36"/>
        </w:rPr>
        <w:t xml:space="preserve">Negotiated Governance of AI Robots: From Value Embedding to Multi-Stakeholder Co-Construction</w:t>
      </w:r>
    </w:p>
    <w:p>
      <w:pPr>
        <w:widowControl/>
        <w:spacing w:line="324" w:lineRule="auto" w:after="40"/>
        <w:jc w:val="center"/>
      </w:pPr>
      <w:r>
        <w:t>Lancelot Lu</w:t>
      </w:r>
    </w:p>
    <w:p>
      <w:pPr>
        <w:widowControl/>
        <w:spacing w:line="324" w:lineRule="auto" w:after="40"/>
        <w:jc w:val="center"/>
      </w:pPr>
      <w:r>
        <w:rPr>
          <w:rFonts w:ascii="Noto Sans CJK SC" w:hAnsi="Noto Sans CJK SC" w:eastAsia="Noto Sans CJK SC"/>
          <w:color w:val="000000"/>
        </w:rPr>
        <w:t xml:space="preserve">August 2026</w:t>
      </w:r>
    </w:p>
    <w:bookmarkEnd w:id="20"/>
    <w:p>
      <w:pPr>
        <w:pStyle w:val="Heading1"/>
        <w:widowControl/>
      </w:pPr>
      <w:r>
        <w:rPr>
          <w:rFonts w:ascii="Noto Sans CJK SC" w:hAnsi="Noto Sans CJK SC" w:eastAsia="Noto Sans CJK SC"/>
          <w:color w:val="000000"/>
        </w:rPr>
        <w:t xml:space="preserve">Abstract</w:t>
      </w:r>
    </w:p>
    <w:p>
      <w:pPr>
        <w:pStyle w:val="BodyText"/>
        <w:widowControl/>
      </w:pPr>
      <w:r>
        <w:rPr>
          <w:rFonts w:ascii="Noto Sans CJK SC" w:hAnsi="Noto Sans CJK SC" w:eastAsia="Noto Sans CJK SC"/>
          <w:color w:val="000000"/>
        </w:rPr>
        <w:t xml:space="preserve">When artificial intelligence (AI) robots enter domestic and care settings, the fundamental governance challenge extends beyond how ethical values ought to be embedded into system architectures. Human institutions must also systematically resolve who possesses the authority to define risks, who is empowered to make decisions, who is required to provide justifications, and who ultimately bears the consequences. This article applies a 5 × 5 framework of twenty-five governance coordinates at the individual and organizational levels, employing four governance chains—context construction, authority, reason, and responsibility—to evaluate and compare four institutional pathways: vendor embedding, government command, market contracting, and multi-stakeholder negotiation. Rather than treating these pathways as isolated institutional alternatives, the analysis demonstrates how they intersect, shift, and form hybrid arrangements. The study synthesizes structured literature and legal analysis, a bounded retrospective account of the author's participation in Taiwanese interagency robotics-policy discussions from 2002 to 2005, and prospective thought experiments regarding domestic care robots. It further establishes a graded deadlock resolution mechanism, a predefined reversion point, and an actionable six-step workflow tailored for government research units. Ultimately, this article offers a meso-level public-administration framework that seamlessly bridges ethics-by-design with institutional authority and administrative responsibility. Its core thesis is not that negotiation invariably outperforms command, contract, or technical embedding, but rather that legitimate governance must render problem framing, lawful authority, reasoned justification, and responsibility transparent—while providing a secure institutional fallback when consensus or system performance fails.</w:t>
      </w:r>
    </w:p>
    <w:p>
      <w:pPr>
        <w:pStyle w:val="BodyText"/>
        <w:widowControl/>
      </w:pPr>
      <w:r>
        <w:rPr>
          <w:bCs/>
          <w:rFonts w:ascii="Noto Sans CJK SC" w:hAnsi="Noto Sans CJK SC" w:eastAsia="Noto Sans CJK SC"/>
          <w:b/>
          <w:color w:val="000000"/>
        </w:rPr>
        <w:t xml:space="preserve">Keywords:</w:t>
      </w:r>
      <w:r>
        <w:rPr>
          <w:rFonts w:ascii="Noto Sans CJK SC" w:hAnsi="Noto Sans CJK SC" w:eastAsia="Noto Sans CJK SC"/>
          <w:color w:val="000000"/>
        </w:rPr>
        <w:t xml:space="preserve"> </w:t>
      </w:r>
      <w:r>
        <w:rPr>
          <w:rFonts w:ascii="Noto Sans CJK SC" w:hAnsi="Noto Sans CJK SC" w:eastAsia="Noto Sans CJK SC"/>
          <w:color w:val="000000"/>
        </w:rPr>
        <w:t xml:space="preserve">AI robot governance, negotiated governance, artificial moral agents, value sensitive design, governance possibility space, reversion point</w:t>
      </w:r>
    </w:p>
    <w:p>
      <w:pPr>
        <w:pStyle w:val="BodyText"/>
        <w:widowControl/>
      </w:pPr>
      <w:r>
        <w:rPr>
          <w:bCs/>
          <w:rFonts w:ascii="Noto Sans CJK SC" w:hAnsi="Noto Sans CJK SC" w:eastAsia="Noto Sans CJK SC"/>
          <w:b/>
          <w:color w:val="000000"/>
        </w:rPr>
        <w:t xml:space="preserve">Research Position and Relationship to the Series:</w:t>
      </w:r>
      <w:r>
        <w:rPr>
          <w:rFonts w:ascii="Noto Sans CJK SC" w:hAnsi="Noto Sans CJK SC" w:eastAsia="Noto Sans CJK SC"/>
          <w:color w:val="000000"/>
        </w:rPr>
        <w:br/>
      </w:r>
      <w:r>
        <w:rPr>
          <w:rFonts w:ascii="Noto Sans CJK SC" w:hAnsi="Noto Sans CJK SC" w:eastAsia="Noto Sans CJK SC"/>
          <w:color w:val="000000"/>
        </w:rPr>
        <w:t xml:space="preserve">This article serves as a companion piece to</w:t>
      </w:r>
      <w:r>
        <w:rPr>
          <w:rFonts w:ascii="Noto Sans CJK SC" w:hAnsi="Noto Sans CJK SC" w:eastAsia="Noto Sans CJK SC"/>
          <w:color w:val="000000"/>
        </w:rPr>
        <w:t xml:space="preserve"> </w:t>
      </w:r>
      <w:r>
        <w:rPr>
          <w:iCs/>
          <w:rFonts w:ascii="Noto Sans CJK SC" w:hAnsi="Noto Sans CJK SC" w:eastAsia="Noto Sans CJK SC"/>
          <w:i/>
          <w:color w:val="000000"/>
        </w:rPr>
        <w:t xml:space="preserve">Embedded Universalism</w:t>
      </w:r>
      <w:r>
        <w:rPr>
          <w:rFonts w:ascii="Noto Sans CJK SC" w:hAnsi="Noto Sans CJK SC" w:eastAsia="Noto Sans CJK SC"/>
          <w:color w:val="000000"/>
        </w:rPr>
        <w:t xml:space="preserve">. While both papers share the foundational twenty-five governance coordinates and four governance chains (Lu, 2026a, 2026b), this article pivots the unit of analysis toward individuals and organizations. It rigorously examines the governance friction that emerges as AI robots—specifically domestic and care assistance systems—integrate into daily life. The discussion incorporates international and Taiwanese legal frameworks, including Taiwan's</w:t>
      </w:r>
      <w:r>
        <w:rPr>
          <w:rFonts w:ascii="Noto Sans CJK SC" w:hAnsi="Noto Sans CJK SC" w:eastAsia="Noto Sans CJK SC"/>
          <w:color w:val="000000"/>
        </w:rPr>
        <w:t xml:space="preserve"> </w:t>
      </w:r>
      <w:r>
        <w:rPr>
          <w:iCs/>
          <w:rFonts w:ascii="Noto Sans CJK SC" w:hAnsi="Noto Sans CJK SC" w:eastAsia="Noto Sans CJK SC"/>
          <w:i/>
          <w:color w:val="000000"/>
        </w:rPr>
        <w:t xml:space="preserve">Artificial Intelligence Basic Act</w:t>
      </w:r>
      <w:r>
        <w:rPr>
          <w:rFonts w:ascii="Noto Sans CJK SC" w:hAnsi="Noto Sans CJK SC" w:eastAsia="Noto Sans CJK SC"/>
          <w:color w:val="000000"/>
        </w:rPr>
        <w:t xml:space="preserve"> </w:t>
      </w:r>
      <w:r>
        <w:rPr>
          <w:rFonts w:ascii="Noto Sans CJK SC" w:hAnsi="Noto Sans CJK SC" w:eastAsia="Noto Sans CJK SC"/>
          <w:color w:val="000000"/>
        </w:rPr>
        <w:t xml:space="preserve">(promulgated January 14, 2026). Ultimately, this paper constructs a scholarly analytical framework designed to anchor subsequent empirical inquiries, policy debates, and practical pilot projects.</w:t>
      </w:r>
    </w:p>
    <w:bookmarkStart w:id="24" w:name="i.-introduction"/>
    <w:p>
      <w:pPr>
        <w:pStyle w:val="Heading1"/>
        <w:widowControl/>
      </w:pPr>
      <w:r>
        <w:rPr>
          <w:rFonts w:ascii="Noto Sans CJK SC" w:hAnsi="Noto Sans CJK SC" w:eastAsia="Noto Sans CJK SC"/>
          <w:color w:val="000000"/>
        </w:rPr>
        <w:t xml:space="preserve">I. Introduction</w:t>
      </w:r>
    </w:p>
    <w:bookmarkStart w:id="21" w:name="clarifying-who-negotiates"/>
    <w:p>
      <w:pPr>
        <w:pStyle w:val="Heading2"/>
        <w:widowControl/>
      </w:pPr>
      <w:r>
        <w:rPr>
          <w:rFonts w:ascii="Noto Sans CJK SC" w:hAnsi="Noto Sans CJK SC" w:eastAsia="Noto Sans CJK SC"/>
          <w:color w:val="000000"/>
        </w:rPr>
        <w:t xml:space="preserve">1. Clarifying Who Negotiates</w:t>
      </w:r>
    </w:p>
    <w:p>
      <w:pPr>
        <w:pStyle w:val="FirstParagraph"/>
        <w:widowControl/>
      </w:pPr>
      <w:r>
        <w:rPr>
          <w:rFonts w:ascii="Noto Sans CJK SC" w:hAnsi="Noto Sans CJK SC" w:eastAsia="Noto Sans CJK SC"/>
          <w:color w:val="000000"/>
        </w:rPr>
        <w:t xml:space="preserve">In the context of this study, "negotiation" does not denote an interactive dialogue between a human user and an autonomous robot. Instead, it refers to the institutional mechanisms through which human organizations address and resolve value conflicts generated by robotic deployment. Relevant stakeholders encompass manufacturers, end-users, family members, care providers, regulatory bodies, and advocacy organizations representing older adults and persons with disabilities. Once system design and autonomous behavior begin to impact human safety, personal autonomy, and daily routines, institutions must confront three decisive questions: who holds the right to define risk, who is authorized to decide, and who assumes legal and moral liability? These questions reside entirely within human institutional networks. This analysis intentionally avoids assuming that AI systems possess consciousness, intentionality, legal personhood, or negotiating standing.</w:t>
      </w:r>
    </w:p>
    <w:p>
      <w:pPr>
        <w:pStyle w:val="BodyText"/>
        <w:widowControl/>
      </w:pPr>
      <w:r>
        <w:rPr>
          <w:rFonts w:ascii="Noto Sans CJK SC" w:hAnsi="Noto Sans CJK SC" w:eastAsia="Noto Sans CJK SC"/>
          <w:color w:val="000000"/>
        </w:rPr>
        <w:t xml:space="preserve">Establishing this analytical boundary is crucial because machine-ethics scholarship frequently explores the concept of artificial moral agents (Wallach &amp; Allen, 2009; Anderson &amp; Anderson, 2011). This article neither dismisses that theoretical literature nor enters metaphysical disputes regarding the moral status of AI. Its focus is squarely administrative and institutional: how can established governance structures absorb value conflicts without allowing institutional authority and responsibility to dissolve as technical autonomy advances?</w:t>
      </w:r>
    </w:p>
    <w:bookmarkEnd w:id="21"/>
    <w:bookmarkStart w:id="22" w:name="the-problem-and-strategic-intention"/>
    <w:p>
      <w:pPr>
        <w:pStyle w:val="Heading2"/>
        <w:widowControl/>
      </w:pPr>
      <w:r>
        <w:rPr>
          <w:rFonts w:ascii="Noto Sans CJK SC" w:hAnsi="Noto Sans CJK SC" w:eastAsia="Noto Sans CJK SC"/>
          <w:color w:val="000000"/>
        </w:rPr>
        <w:t xml:space="preserve">2. The Problem and Strategic Intention</w:t>
      </w:r>
    </w:p>
    <w:p>
      <w:pPr>
        <w:pStyle w:val="FirstParagraph"/>
        <w:widowControl/>
      </w:pPr>
      <w:r>
        <w:rPr>
          <w:rFonts w:ascii="Noto Sans CJK SC" w:hAnsi="Noto Sans CJK SC" w:eastAsia="Noto Sans CJK SC"/>
          <w:color w:val="000000"/>
        </w:rPr>
        <w:t xml:space="preserve">Governance in AI ethics traditionally originates from two primary mechanisms. Governments may enact statutes to define the permissible boundaries of design and deployment, while commercial entities may encode hierarchical values directly into model architectures, system defaults, and terms of service. Although both approaches are essential, each leaves significant institutional vulnerabilities. Statutory command often exists without sufficient administrative enforcement capacity, whereas vendor embedding risks converting public values into internal corporate decisions. Multi-stakeholder or negotiated governance emerges as a necessary response. It does not replace legal mandates or technical design; rather, it requires developers, users, care practitioners, rights advocates, and regulatory agencies to publicly disclose and justify their analytical frames, authorities, justifications, and responsibilities through a structured institutional procedure.</w:t>
      </w:r>
    </w:p>
    <w:p>
      <w:pPr>
        <w:pStyle w:val="BodyText"/>
        <w:widowControl/>
      </w:pPr>
      <w:r>
        <w:rPr>
          <w:rFonts w:ascii="Noto Sans CJK SC" w:hAnsi="Noto Sans CJK SC" w:eastAsia="Noto Sans CJK SC"/>
          <w:color w:val="000000"/>
        </w:rPr>
        <w:t xml:space="preserve">As argued in the companion paper, high-level philosophical consensus at Level 1 does not automatically translate into coordinated institutional action at Level 2 (Lu, 2026b). Value Sensitive Design (VSD) introduced crucial conceptual, empirical, and technical investigations into engineering processes (Friedman et al., 2006; Friedman &amp; Hendry, 2019), and multi-stakeholder paradigms have expanded participation across research, regulatory, and civil domains (Resseguier et al., 2021). Nevertheless, the unresolved administrative bottleneck persists: when value conflicts enter interagency negotiations, public procurement, field trials, and emergency incident responses, how can general participatory principles be converted into an actionable, executable procedure? This article resolves this challenge by introducing a structured risk map, a negotiation script, and a predefined reversion point.</w:t>
      </w:r>
    </w:p>
    <w:bookmarkEnd w:id="22"/>
    <w:bookmarkStart w:id="23" w:name="research-question-and-core-argument"/>
    <w:p>
      <w:pPr>
        <w:pStyle w:val="Heading2"/>
        <w:widowControl/>
      </w:pPr>
      <w:r>
        <w:rPr>
          <w:rFonts w:ascii="Noto Sans CJK SC" w:hAnsi="Noto Sans CJK SC" w:eastAsia="Noto Sans CJK SC"/>
          <w:color w:val="000000"/>
        </w:rPr>
        <w:t xml:space="preserve">3. Research Question and Core Argument</w:t>
      </w:r>
    </w:p>
    <w:p>
      <w:pPr>
        <w:pStyle w:val="FirstParagraph"/>
        <w:widowControl/>
      </w:pPr>
      <w:r>
        <w:rPr>
          <w:rFonts w:ascii="Noto Sans CJK SC" w:hAnsi="Noto Sans CJK SC" w:eastAsia="Noto Sans CJK SC"/>
          <w:color w:val="000000"/>
        </w:rPr>
        <w:t xml:space="preserve">The central research question driving this study is:</w:t>
      </w:r>
      <w:r>
        <w:rPr>
          <w:rFonts w:ascii="Noto Sans CJK SC" w:hAnsi="Noto Sans CJK SC" w:eastAsia="Noto Sans CJK SC"/>
          <w:color w:val="000000"/>
        </w:rPr>
        <w:t xml:space="preserve"> </w:t>
      </w:r>
      <w:r>
        <w:rPr>
          <w:iCs/>
          <w:rFonts w:ascii="Noto Sans CJK SC" w:hAnsi="Noto Sans CJK SC" w:eastAsia="Noto Sans CJK SC"/>
          <w:i/>
          <w:color w:val="000000"/>
        </w:rPr>
        <w:t xml:space="preserve">When AI robots enter human living environments—particularly domestic and care settings—what institutional governance arrangements should absorb their multifaceted impacts on human values?</w:t>
      </w:r>
    </w:p>
    <w:p>
      <w:pPr>
        <w:pStyle w:val="BodyText"/>
        <w:widowControl/>
      </w:pPr>
      <w:r>
        <w:rPr>
          <w:rFonts w:ascii="Noto Sans CJK SC" w:hAnsi="Noto Sans CJK SC" w:eastAsia="Noto Sans CJK SC"/>
          <w:color w:val="000000"/>
        </w:rPr>
        <w:t xml:space="preserve">Domestic and care robotics simultaneously touch upon human dignity, personal autonomy, non-discrimination, labor rights, product safety, data privacy, national security, property rights, inheritance, consumer protection, distributive justice, and environmental sustainability. This cross-domain complexity makes care robotics an ideal stress test for evaluating whether the twenty-five governance coordinates function effectively across different scales. Moving beyond a static catalog of values, this analysis investigates how core principles enter institutional divisions of labor, policy formulations, and liability frameworks, and demonstrates how they can be operationalized into risk maps and negotiation scripts directly actionable by public research institutions.</w:t>
      </w:r>
    </w:p>
    <w:bookmarkEnd w:id="23"/>
    <w:bookmarkEnd w:id="24"/>
    <w:bookmarkStart w:id="29" w:name="X5e9361165e8c280003352039a8914d0d9a3603c"/>
    <w:p>
      <w:pPr>
        <w:pStyle w:val="Heading1"/>
        <w:widowControl/>
      </w:pPr>
      <w:r>
        <w:rPr>
          <w:rFonts w:ascii="Noto Sans CJK SC" w:hAnsi="Noto Sans CJK SC" w:eastAsia="Noto Sans CJK SC"/>
          <w:color w:val="000000"/>
        </w:rPr>
        <w:t xml:space="preserve">II. Research Design and Analytical Strategy</w:t>
      </w:r>
    </w:p>
    <w:bookmarkStart w:id="25" w:name="research-approach-and-analytical-purpose"/>
    <w:p>
      <w:pPr>
        <w:pStyle w:val="Heading2"/>
        <w:widowControl/>
      </w:pPr>
      <w:r>
        <w:rPr>
          <w:rFonts w:ascii="Noto Sans CJK SC" w:hAnsi="Noto Sans CJK SC" w:eastAsia="Noto Sans CJK SC"/>
          <w:color w:val="000000"/>
        </w:rPr>
        <w:t xml:space="preserve">1. Research Approach and Analytical Purpose</w:t>
      </w:r>
    </w:p>
    <w:p>
      <w:pPr>
        <w:pStyle w:val="FirstParagraph"/>
        <w:widowControl/>
      </w:pPr>
      <w:r>
        <w:rPr>
          <w:rFonts w:ascii="Noto Sans CJK SC" w:hAnsi="Noto Sans CJK SC" w:eastAsia="Noto Sans CJK SC"/>
          <w:color w:val="000000"/>
        </w:rPr>
        <w:t xml:space="preserve">This article adopts a theory-building qualitative research design. It utilizes the complex, cross-sectoral conflicts triggered by AI robots in home and care environments as an institutional stress test. In this context, "stress testing" does not imply statistical validation of a single predictive model. Rather, it places identical governance problems across diverse coordinates, institutional pathways, and operational failure scenarios to identify precisely where existing structures of authority, reasoning, and responsibility break down. The primary unit of analysis is the institutional governance arrangement itself, rather than individual robotic units. The analytical emphasis centers on how human actors frame policy problems, secure legal authorization, substantiate decisions, and assume ultimate responsibility.</w:t>
      </w:r>
    </w:p>
    <w:bookmarkEnd w:id="25"/>
    <w:bookmarkStart w:id="26" w:name="X7ea8068213aa4e97d0c5fbf423c0dc632d30ecb"/>
    <w:p>
      <w:pPr>
        <w:pStyle w:val="Heading2"/>
        <w:widowControl/>
      </w:pPr>
      <w:r>
        <w:rPr>
          <w:rFonts w:ascii="Noto Sans CJK SC" w:hAnsi="Noto Sans CJK SC" w:eastAsia="Noto Sans CJK SC"/>
          <w:color w:val="000000"/>
        </w:rPr>
        <w:t xml:space="preserve">2. Selection of Materials and Evidentiary Boundaries</w:t>
      </w:r>
    </w:p>
    <w:p>
      <w:pPr>
        <w:pStyle w:val="FirstParagraph"/>
        <w:widowControl/>
      </w:pPr>
      <w:r>
        <w:rPr>
          <w:rFonts w:ascii="Noto Sans CJK SC" w:hAnsi="Noto Sans CJK SC" w:eastAsia="Noto Sans CJK SC"/>
          <w:color w:val="000000"/>
        </w:rPr>
        <w:t xml:space="preserve">The evidentiary base of this study rests on four distinct categories of material. First, scholarly literature spanning machine ethics, Value Sensitive Design, care robotics, and stakeholder governance establishes the conceptual baseline. Second, Taiwanese and comparative legal instruments, regulatory policy programs, and official reports clarify statutory authority, sectoral jurisdictions, and binding rules. Third, the study incorporates a bounded retrospective account derived from the author's direct participation in Taiwanese interagency robotics-policy initiatives between 2002 and 2005. While participant recall illuminates framing dynamics and strategic interactions absent from formal public records, remembered statements are handled with analytical rigor and are not treated as verbatim transcripts or definitive historical facts. Fourth, prospective thought experiments regarding domestic care robots are deployed to reveal institutional blind spots and liability gaps at regulatory interfaces, without purporting to predict specific judicial outcomes.</w:t>
      </w:r>
    </w:p>
    <w:bookmarkEnd w:id="26"/>
    <w:bookmarkStart w:id="27" w:name="analytical-procedure"/>
    <w:p>
      <w:pPr>
        <w:pStyle w:val="Heading2"/>
        <w:widowControl/>
      </w:pPr>
      <w:r>
        <w:rPr>
          <w:rFonts w:ascii="Noto Sans CJK SC" w:hAnsi="Noto Sans CJK SC" w:eastAsia="Noto Sans CJK SC"/>
          <w:color w:val="000000"/>
        </w:rPr>
        <w:t xml:space="preserve">3. Analytical Procedure</w:t>
      </w:r>
    </w:p>
    <w:p>
      <w:pPr>
        <w:pStyle w:val="FirstParagraph"/>
        <w:widowControl/>
      </w:pPr>
      <w:r>
        <w:rPr>
          <w:rFonts w:ascii="Noto Sans CJK SC" w:hAnsi="Noto Sans CJK SC" w:eastAsia="Noto Sans CJK SC"/>
          <w:color w:val="000000"/>
        </w:rPr>
        <w:t xml:space="preserve">The analysis unfolds across four systematic stages. First, the twenty-five governance coordinates locate the initial problem space and chart potential cross-cell dynamics. Second, the four governance chains—context construction, authority, reason, and responsibility—are applied across each institutional configuration. Third, vendor embedding, government command, market contracting, and multi-stakeholder negotiation are critically evaluated regarding operational effectiveness, normative legitimacy, administrative capacity, and responsibility risks. Fourth, these institutional configurations are subjected to stress testing under conditions of negotiation deadlock, physical accidents, information asymmetry, and administrative capacity deficits. The resulting framework yields a predefined reversion point and a six-step administrative workflow, delivering traceable institutional decisions rather than arbitrary aggregated metrics.</w:t>
      </w:r>
    </w:p>
    <w:bookmarkEnd w:id="27"/>
    <w:bookmarkStart w:id="28" w:name="testable-theoretical-claims"/>
    <w:p>
      <w:pPr>
        <w:pStyle w:val="Heading2"/>
        <w:widowControl/>
      </w:pPr>
      <w:r>
        <w:rPr>
          <w:rFonts w:ascii="Noto Sans CJK SC" w:hAnsi="Noto Sans CJK SC" w:eastAsia="Noto Sans CJK SC"/>
          <w:color w:val="000000"/>
        </w:rPr>
        <w:t xml:space="preserve">4. Testable Theoretical Claims</w:t>
      </w:r>
    </w:p>
    <w:p>
      <w:pPr>
        <w:pStyle w:val="FirstParagraph"/>
        <w:widowControl/>
      </w:pPr>
      <w:r>
        <w:rPr>
          <w:rFonts w:ascii="Noto Sans CJK SC" w:hAnsi="Noto Sans CJK SC" w:eastAsia="Noto Sans CJK SC"/>
          <w:color w:val="000000"/>
        </w:rPr>
        <w:t xml:space="preserve">This study advances three core theoretical claims for future empirical testing:</w:t>
      </w:r>
    </w:p>
    <w:p>
      <w:pPr>
        <w:widowControl/>
        <w:numPr>
          <w:ilvl w:val="0"/>
          <w:numId w:val="1001"/>
        </w:numPr>
        <w:pStyle w:val="Compact"/>
      </w:pPr>
      <w:r>
        <w:rPr>
          <w:bCs/>
          <w:rFonts w:ascii="Noto Sans CJK SC" w:hAnsi="Noto Sans CJK SC" w:eastAsia="Noto Sans CJK SC"/>
          <w:b/>
          <w:color w:val="000000"/>
        </w:rPr>
        <w:t xml:space="preserve">Claim 1:</w:t>
      </w:r>
      <w:r>
        <w:rPr>
          <w:rFonts w:ascii="Noto Sans CJK SC" w:hAnsi="Noto Sans CJK SC" w:eastAsia="Noto Sans CJK SC"/>
          <w:color w:val="000000"/>
        </w:rPr>
        <w:t xml:space="preserve"> </w:t>
      </w:r>
      <w:r>
        <w:rPr>
          <w:rFonts w:ascii="Noto Sans CJK SC" w:hAnsi="Noto Sans CJK SC" w:eastAsia="Noto Sans CJK SC"/>
          <w:color w:val="000000"/>
        </w:rPr>
        <w:t xml:space="preserve">As the technical autonomy of AI robots increases, problem-definition authority tends to shift away from legally competent public agencies toward commercial suppliers and deploying organizations. When context construction remains opaque, structural authority reconstruction precedes formal legal adaptation.</w:t>
      </w:r>
    </w:p>
    <w:p>
      <w:pPr>
        <w:widowControl/>
        <w:numPr>
          <w:ilvl w:val="0"/>
          <w:numId w:val="1001"/>
        </w:numPr>
        <w:pStyle w:val="Compact"/>
      </w:pPr>
      <w:r>
        <w:rPr>
          <w:bCs/>
          <w:rFonts w:ascii="Noto Sans CJK SC" w:hAnsi="Noto Sans CJK SC" w:eastAsia="Noto Sans CJK SC"/>
          <w:b/>
          <w:color w:val="000000"/>
        </w:rPr>
        <w:t xml:space="preserve">Claim 2:</w:t>
      </w:r>
      <w:r>
        <w:rPr>
          <w:rFonts w:ascii="Noto Sans CJK SC" w:hAnsi="Noto Sans CJK SC" w:eastAsia="Noto Sans CJK SC"/>
          <w:color w:val="000000"/>
        </w:rPr>
        <w:t xml:space="preserve"> </w:t>
      </w:r>
      <w:r>
        <w:rPr>
          <w:rFonts w:ascii="Noto Sans CJK SC" w:hAnsi="Noto Sans CJK SC" w:eastAsia="Noto Sans CJK SC"/>
          <w:color w:val="000000"/>
        </w:rPr>
        <w:t xml:space="preserve">Expanding the circle of participants does not inherently generate institutional legitimacy. Multi-stakeholder engagement constitutes genuine negotiated governance only when affected parties possess adequate information, objections can substantively alter proposals, and legally competent authorities retain final public accountability.</w:t>
      </w:r>
    </w:p>
    <w:p>
      <w:pPr>
        <w:widowControl/>
        <w:numPr>
          <w:ilvl w:val="0"/>
          <w:numId w:val="1001"/>
        </w:numPr>
        <w:pStyle w:val="Compact"/>
      </w:pPr>
      <w:r>
        <w:rPr>
          <w:bCs/>
          <w:rFonts w:ascii="Noto Sans CJK SC" w:hAnsi="Noto Sans CJK SC" w:eastAsia="Noto Sans CJK SC"/>
          <w:b/>
          <w:color w:val="000000"/>
        </w:rPr>
        <w:t xml:space="preserve">Claim 3:</w:t>
      </w:r>
      <w:r>
        <w:rPr>
          <w:rFonts w:ascii="Noto Sans CJK SC" w:hAnsi="Noto Sans CJK SC" w:eastAsia="Noto Sans CJK SC"/>
          <w:color w:val="000000"/>
        </w:rPr>
        <w:t xml:space="preserve"> </w:t>
      </w:r>
      <w:r>
        <w:rPr>
          <w:rFonts w:ascii="Noto Sans CJK SC" w:hAnsi="Noto Sans CJK SC" w:eastAsia="Noto Sans CJK SC"/>
          <w:color w:val="000000"/>
        </w:rPr>
        <w:t xml:space="preserve">A predefined reversion point functions as more than a technical fail-safe. By institutionalizing the legal authority and administrative reasons for system suspension, manual takeover, renewed deliberation, and safe re-operation, it operates as an accountability mechanism that actively prevents responsibility drift.</w:t>
      </w:r>
    </w:p>
    <w:bookmarkEnd w:id="28"/>
    <w:bookmarkEnd w:id="29"/>
    <w:bookmarkStart w:id="37" w:name="X6ae703a275f3330de38c6d473795083a80377fc"/>
    <w:p>
      <w:pPr>
        <w:pStyle w:val="Heading1"/>
        <w:widowControl/>
      </w:pPr>
      <w:r>
        <w:rPr>
          <w:rFonts w:ascii="Noto Sans CJK SC" w:hAnsi="Noto Sans CJK SC" w:eastAsia="Noto Sans CJK SC"/>
          <w:color w:val="000000"/>
        </w:rPr>
        <w:t xml:space="preserve">III. Analytical Framework: Rescaling the Coordinates and Engaging Existing Theory</w:t>
      </w:r>
    </w:p>
    <w:bookmarkStart w:id="33" w:name="X5fb1942d89f2ace4f5c685cd9fa1a46177b5288"/>
    <w:p>
      <w:pPr>
        <w:pStyle w:val="Heading2"/>
        <w:widowControl/>
      </w:pPr>
      <w:r>
        <w:rPr>
          <w:rFonts w:ascii="Noto Sans CJK SC" w:hAnsi="Noto Sans CJK SC" w:eastAsia="Noto Sans CJK SC"/>
          <w:color w:val="000000"/>
        </w:rPr>
        <w:t xml:space="preserve">1. Rescaling the Twenty-Five Governance Coordinates</w:t>
      </w:r>
    </w:p>
    <w:p>
      <w:pPr>
        <w:pStyle w:val="FirstParagraph"/>
        <w:widowControl/>
      </w:pPr>
      <w:r>
        <w:rPr>
          <w:rFonts w:ascii="Noto Sans CJK SC" w:hAnsi="Noto Sans CJK SC" w:eastAsia="Noto Sans CJK SC"/>
          <w:color w:val="000000"/>
        </w:rPr>
        <w:t xml:space="preserve">This study recalibrates the 5 × 5 governance matrix—spanning five analytical levels across five units of analysis—by focusing specifically on individual and organizational tiers rather than macro-societal or international systems (Lu, 2026a). This shift represents a crucial analytical expansion. A conceptual framework that accounts solely for macro-level international governance offers limited utility for real-world public administration. Examining commercial consumer purchases, organizational service integration, and product design offers a rigorous cross-scale evaluation of institutional governance.</w:t>
      </w:r>
    </w:p>
    <w:p>
      <w:pPr>
        <w:pStyle w:val="BodyText"/>
        <w:keepNext/>
        <w:widowControl/>
        <w:jc w:val="center"/>
      </w:pPr>
      <w:r>
        <w:rPr>
          <w:rFonts w:ascii="Noto Sans CJK SC" w:hAnsi="Noto Sans CJK SC" w:eastAsia="Noto Sans CJK SC"/>
          <w:color w:val="000000"/>
        </w:rPr>
        <w:t xml:space="preserve">Figure 3.1. The 5 × 5 Public-Administration Matrix under AI Governance</w:t>
      </w:r>
    </w:p>
    <w:p>
      <w:pPr>
        <w:pStyle w:val="BodyText"/>
        <w:widowControl/>
      </w:pPr>
      <w:r>
        <w:rPr>
          <w:rFonts w:ascii="Noto Sans CJK SC" w:hAnsi="Noto Sans CJK SC" w:eastAsia="Noto Sans CJK SC"/>
          <w:color w:val="000000"/>
        </w:rPr>
        <w:drawing>
          <wp:inline>
            <wp:extent cx="5334000" cy="4324864"/>
            <wp:effectExtent b="0" l="0" r="0" t="0"/>
            <wp:docPr descr="Figure 3.1." title="" id="31" name="Picture"/>
            <a:graphic>
              <a:graphicData uri="http://schemas.openxmlformats.org/drawingml/2006/picture">
                <pic:pic>
                  <pic:nvPicPr>
                    <pic:cNvPr descr="file:///workspace/scratch/bb520f542ad8/work/extracted/article_media/media/image3.png" id="32" name="Picture"/>
                    <pic:cNvPicPr>
                      <a:picLocks noChangeArrowheads="1" noChangeAspect="1"/>
                    </pic:cNvPicPr>
                  </pic:nvPicPr>
                  <pic:blipFill>
                    <a:blip r:embed="rId30"/>
                    <a:stretch>
                      <a:fillRect/>
                    </a:stretch>
                  </pic:blipFill>
                  <pic:spPr bwMode="auto">
                    <a:xfrm>
                      <a:off x="0" y="0"/>
                      <a:ext cx="5334000" cy="4324864"/>
                    </a:xfrm>
                    <a:prstGeom prst="rect">
                      <a:avLst/>
                    </a:prstGeom>
                    <a:noFill/>
                    <a:ln w="9525">
                      <a:noFill/>
                      <a:headEnd/>
                      <a:tailEnd/>
                    </a:ln>
                  </pic:spPr>
                </pic:pic>
              </a:graphicData>
            </a:graphic>
          </wp:inline>
        </w:drawing>
      </w:r>
    </w:p>
    <w:p>
      <w:pPr>
        <w:pStyle w:val="BodyText"/>
        <w:widowControl/>
      </w:pPr>
      <w:r>
        <w:rPr>
          <w:rFonts w:ascii="Noto Sans CJK SC" w:hAnsi="Noto Sans CJK SC" w:eastAsia="Noto Sans CJK SC"/>
          <w:color w:val="000000"/>
        </w:rPr>
        <w:t xml:space="preserve">Source: Extended from Lu (1996a, 1996b, 2026a); authored by the researcher.</w:t>
      </w:r>
    </w:p>
    <w:p>
      <w:pPr>
        <w:pStyle w:val="BodyText"/>
        <w:keepNext/>
        <w:widowControl/>
        <w:jc w:val="center"/>
      </w:pPr>
      <w:r>
        <w:rPr>
          <w:rFonts w:ascii="Noto Sans CJK SC" w:hAnsi="Noto Sans CJK SC" w:eastAsia="Noto Sans CJK SC"/>
          <w:color w:val="000000"/>
        </w:rPr>
        <w:t xml:space="preserve">Figure 3.1 provides a structured grid to locate administrative challenges without confining them to rigid compartments. The vertical axis encompasses philosophy and values, institutional division of labor, policy systems, organizational design, and managerial operations. The horizontal axis covers individuals, groups, organizations, society, and the international domain. Advanced AI deployment frequently propels governance problems across multiple coordinates, blurring traditional boundaries and restructuring authority. Consequently, the matrix serves as a dynamic analytical language for tracking institutional movement rather than a static classification scheme.</w:t>
      </w:r>
    </w:p>
    <w:p>
      <w:pPr>
        <w:pStyle w:val="BodyText"/>
        <w:widowControl/>
      </w:pPr>
      <w:r>
        <w:rPr>
          <w:rFonts w:ascii="Noto Sans CJK SC" w:hAnsi="Noto Sans CJK SC" w:eastAsia="Noto Sans CJK SC"/>
          <w:color w:val="000000"/>
        </w:rPr>
        <w:t xml:space="preserve">For example, a domestic care robot initially operates at the intersection of</w:t>
      </w:r>
      <w:r>
        <w:rPr>
          <w:rFonts w:ascii="Noto Sans CJK SC" w:hAnsi="Noto Sans CJK SC" w:eastAsia="Noto Sans CJK SC"/>
          <w:color w:val="000000"/>
        </w:rPr>
        <w:t xml:space="preserve"> </w:t>
      </w:r>
      <w:r>
        <w:rPr>
          <w:iCs/>
          <w:rFonts w:ascii="Noto Sans CJK SC" w:hAnsi="Noto Sans CJK SC" w:eastAsia="Noto Sans CJK SC"/>
          <w:i/>
          <w:color w:val="000000"/>
        </w:rPr>
        <w:t xml:space="preserve">Philosophy &amp; Values × Individual</w:t>
      </w:r>
      <w:r>
        <w:rPr>
          <w:rFonts w:ascii="Noto Sans CJK SC" w:hAnsi="Noto Sans CJK SC" w:eastAsia="Noto Sans CJK SC"/>
          <w:color w:val="000000"/>
        </w:rPr>
        <w:t xml:space="preserve"> </w:t>
      </w:r>
      <w:r>
        <w:rPr>
          <w:rFonts w:ascii="Noto Sans CJK SC" w:hAnsi="Noto Sans CJK SC" w:eastAsia="Noto Sans CJK SC"/>
          <w:color w:val="000000"/>
        </w:rPr>
        <w:t xml:space="preserve">(dignity and autonomy),</w:t>
      </w:r>
      <w:r>
        <w:rPr>
          <w:rFonts w:ascii="Noto Sans CJK SC" w:hAnsi="Noto Sans CJK SC" w:eastAsia="Noto Sans CJK SC"/>
          <w:color w:val="000000"/>
        </w:rPr>
        <w:t xml:space="preserve"> </w:t>
      </w:r>
      <w:r>
        <w:rPr>
          <w:iCs/>
          <w:rFonts w:ascii="Noto Sans CJK SC" w:hAnsi="Noto Sans CJK SC" w:eastAsia="Noto Sans CJK SC"/>
          <w:i/>
          <w:color w:val="000000"/>
        </w:rPr>
        <w:t xml:space="preserve">Institutional Division of Labor × Organization</w:t>
      </w:r>
      <w:r>
        <w:rPr>
          <w:rFonts w:ascii="Noto Sans CJK SC" w:hAnsi="Noto Sans CJK SC" w:eastAsia="Noto Sans CJK SC"/>
          <w:color w:val="000000"/>
        </w:rPr>
        <w:t xml:space="preserve"> </w:t>
      </w:r>
      <w:r>
        <w:rPr>
          <w:rFonts w:ascii="Noto Sans CJK SC" w:hAnsi="Noto Sans CJK SC" w:eastAsia="Noto Sans CJK SC"/>
          <w:color w:val="000000"/>
        </w:rPr>
        <w:t xml:space="preserve">(role allocation among manufacturers, care providers, and state regulators), and</w:t>
      </w:r>
      <w:r>
        <w:rPr>
          <w:rFonts w:ascii="Noto Sans CJK SC" w:hAnsi="Noto Sans CJK SC" w:eastAsia="Noto Sans CJK SC"/>
          <w:color w:val="000000"/>
        </w:rPr>
        <w:t xml:space="preserve"> </w:t>
      </w:r>
      <w:r>
        <w:rPr>
          <w:iCs/>
          <w:rFonts w:ascii="Noto Sans CJK SC" w:hAnsi="Noto Sans CJK SC" w:eastAsia="Noto Sans CJK SC"/>
          <w:i/>
          <w:color w:val="000000"/>
        </w:rPr>
        <w:t xml:space="preserve">Managerial Operations × Individual</w:t>
      </w:r>
      <w:r>
        <w:rPr>
          <w:rFonts w:ascii="Noto Sans CJK SC" w:hAnsi="Noto Sans CJK SC" w:eastAsia="Noto Sans CJK SC"/>
          <w:color w:val="000000"/>
        </w:rPr>
        <w:t xml:space="preserve"> </w:t>
      </w:r>
      <w:r>
        <w:rPr>
          <w:rFonts w:ascii="Noto Sans CJK SC" w:hAnsi="Noto Sans CJK SC" w:eastAsia="Noto Sans CJK SC"/>
          <w:color w:val="000000"/>
        </w:rPr>
        <w:t xml:space="preserve">(daily activity monitoring and medical reminders). Over time, accumulated systemic effects shift the issue into</w:t>
      </w:r>
      <w:r>
        <w:rPr>
          <w:rFonts w:ascii="Noto Sans CJK SC" w:hAnsi="Noto Sans CJK SC" w:eastAsia="Noto Sans CJK SC"/>
          <w:color w:val="000000"/>
        </w:rPr>
        <w:t xml:space="preserve"> </w:t>
      </w:r>
      <w:r>
        <w:rPr>
          <w:iCs/>
          <w:rFonts w:ascii="Noto Sans CJK SC" w:hAnsi="Noto Sans CJK SC" w:eastAsia="Noto Sans CJK SC"/>
          <w:i/>
          <w:color w:val="000000"/>
        </w:rPr>
        <w:t xml:space="preserve">Policy Systems × Society</w:t>
      </w:r>
      <w:r>
        <w:rPr>
          <w:rFonts w:ascii="Noto Sans CJK SC" w:hAnsi="Noto Sans CJK SC" w:eastAsia="Noto Sans CJK SC"/>
          <w:color w:val="000000"/>
        </w:rPr>
        <w:t xml:space="preserve"> </w:t>
      </w:r>
      <w:r>
        <w:rPr>
          <w:rFonts w:ascii="Noto Sans CJK SC" w:hAnsi="Noto Sans CJK SC" w:eastAsia="Noto Sans CJK SC"/>
          <w:color w:val="000000"/>
        </w:rPr>
        <w:t xml:space="preserve">and</w:t>
      </w:r>
      <w:r>
        <w:rPr>
          <w:rFonts w:ascii="Noto Sans CJK SC" w:hAnsi="Noto Sans CJK SC" w:eastAsia="Noto Sans CJK SC"/>
          <w:color w:val="000000"/>
        </w:rPr>
        <w:t xml:space="preserve"> </w:t>
      </w:r>
      <w:r>
        <w:rPr>
          <w:iCs/>
          <w:rFonts w:ascii="Noto Sans CJK SC" w:hAnsi="Noto Sans CJK SC" w:eastAsia="Noto Sans CJK SC"/>
          <w:i/>
          <w:color w:val="000000"/>
        </w:rPr>
        <w:t xml:space="preserve">Institutional Division of Labor × Society</w:t>
      </w:r>
      <w:r>
        <w:rPr>
          <w:rFonts w:ascii="Noto Sans CJK SC" w:hAnsi="Noto Sans CJK SC" w:eastAsia="Noto Sans CJK SC"/>
          <w:color w:val="000000"/>
        </w:rPr>
        <w:t xml:space="preserve">. This structural movement mirrors the boundary dissolution, authority reconstruction, and cross-cell migration observed in automated governance systems like AFST, SyRI, and Robodebt.</w:t>
      </w:r>
    </w:p>
    <w:bookmarkEnd w:id="33"/>
    <w:bookmarkStart w:id="34" w:name="Xbb2cadcf17a5fedb0d4b4e8b2747f800af44cf0"/>
    <w:p>
      <w:pPr>
        <w:pStyle w:val="Heading2"/>
        <w:widowControl/>
      </w:pPr>
      <w:r>
        <w:rPr>
          <w:rFonts w:ascii="Noto Sans CJK SC" w:hAnsi="Noto Sans CJK SC" w:eastAsia="Noto Sans CJK SC"/>
          <w:color w:val="000000"/>
        </w:rPr>
        <w:t xml:space="preserve">2. Relationship to Value Sensitive Design and Machine Ethics</w:t>
      </w:r>
    </w:p>
    <w:p>
      <w:pPr>
        <w:pStyle w:val="FirstParagraph"/>
        <w:widowControl/>
      </w:pPr>
      <w:r>
        <w:rPr>
          <w:rFonts w:ascii="Noto Sans CJK SC" w:hAnsi="Noto Sans CJK SC" w:eastAsia="Noto Sans CJK SC"/>
          <w:color w:val="000000"/>
        </w:rPr>
        <w:t xml:space="preserve">While negotiated governance aligns with Value Sensitive Design (VSD) and machine ethics, the three paradigms address distinct governance questions:</w:t>
      </w:r>
    </w:p>
    <w:tbl>
      <w:tblPr>
        <w:tblStyle w:val="Table"/>
        <w:tblW w:type="auto" w:w="0"/>
        <w:jc w:val="center"/>
        <w:tblLayout w:type="autofit"/>
        <w:tblLook w:firstRow="1" w:lastRow="0" w:firstColumn="0" w:lastColumn="0" w:noHBand="0" w:noVBand="0" w:val="0020"/>
      </w:tblPr>
      <w:tblGrid>
        <w:gridCol w:w="1980"/>
        <w:gridCol w:w="1980"/>
        <w:gridCol w:w="1980"/>
        <w:gridCol w:w="1980"/>
      </w:tblGrid>
      <w:tr>
        <w:trPr>
          <w:tblHeader w:val="true"/>
          <w:cantSplit/>
        </w:trPr>
        <w:tc>
          <w:tcPr>
            <w:vAlign w:val="center"/>
            <w:shd w:fill="D9E2F3"/>
          </w:tcPr>
          <w:p>
            <w:pPr>
              <w:pStyle w:val="Compact"/>
              <w:spacing w:after="40" w:line="240" w:lineRule="auto"/>
              <w:jc w:val="left"/>
            </w:pPr>
            <w:r>
              <w:rPr>
                <w:rFonts w:ascii="Noto Sans CJK SC" w:hAnsi="Noto Sans CJK SC" w:eastAsia="Noto Sans CJK SC"/>
                <w:b/>
                <w:color w:val="000000"/>
                <w:sz w:val="15"/>
              </w:rPr>
              <w:t xml:space="preserve">Dimension</w:t>
            </w:r>
          </w:p>
        </w:tc>
        <w:tc>
          <w:tcPr>
            <w:vAlign w:val="center"/>
            <w:shd w:fill="D9E2F3"/>
          </w:tcPr>
          <w:p>
            <w:pPr>
              <w:pStyle w:val="Compact"/>
              <w:spacing w:after="40" w:line="240" w:lineRule="auto"/>
              <w:jc w:val="left"/>
            </w:pPr>
            <w:r>
              <w:rPr>
                <w:rFonts w:ascii="Noto Sans CJK SC" w:hAnsi="Noto Sans CJK SC" w:eastAsia="Noto Sans CJK SC"/>
                <w:b/>
                <w:color w:val="000000"/>
                <w:sz w:val="15"/>
              </w:rPr>
              <w:t xml:space="preserve">Value Sensitive Design (VSD)</w:t>
            </w:r>
          </w:p>
        </w:tc>
        <w:tc>
          <w:tcPr>
            <w:vAlign w:val="center"/>
            <w:shd w:fill="D9E2F3"/>
          </w:tcPr>
          <w:p>
            <w:pPr>
              <w:pStyle w:val="Compact"/>
              <w:spacing w:after="40" w:line="240" w:lineRule="auto"/>
              <w:jc w:val="left"/>
            </w:pPr>
            <w:r>
              <w:rPr>
                <w:rFonts w:ascii="Noto Sans CJK SC" w:hAnsi="Noto Sans CJK SC" w:eastAsia="Noto Sans CJK SC"/>
                <w:b/>
                <w:color w:val="000000"/>
                <w:sz w:val="15"/>
              </w:rPr>
              <w:t xml:space="preserve">Machine Ethics</w:t>
            </w:r>
          </w:p>
        </w:tc>
        <w:tc>
          <w:tcPr>
            <w:vAlign w:val="center"/>
            <w:shd w:fill="D9E2F3"/>
          </w:tcPr>
          <w:p>
            <w:pPr>
              <w:pStyle w:val="Compact"/>
              <w:spacing w:after="40" w:line="240" w:lineRule="auto"/>
              <w:jc w:val="left"/>
            </w:pPr>
            <w:r>
              <w:rPr>
                <w:rFonts w:ascii="Noto Sans CJK SC" w:hAnsi="Noto Sans CJK SC" w:eastAsia="Noto Sans CJK SC"/>
                <w:b/>
                <w:color w:val="000000"/>
                <w:sz w:val="15"/>
              </w:rPr>
              <w:t xml:space="preserve">Negotiated Governance (This Article)</w:t>
            </w:r>
          </w:p>
        </w:tc>
      </w:tr>
      <w:tr>
        <w:trPr>
          <w:cantSplit/>
        </w:trPr>
        <w:tc>
          <w:tcPr>
            <w:vAlign w:val="center"/>
            <w:shd w:fill="FFFFFF"/>
          </w:tcPr>
          <w:p>
            <w:pPr>
              <w:pStyle w:val="Compact"/>
              <w:spacing w:after="40" w:line="240" w:lineRule="auto"/>
              <w:jc w:val="left"/>
            </w:pPr>
            <w:r>
              <w:rPr>
                <w:bCs/>
                <w:rFonts w:ascii="Noto Sans CJK SC" w:hAnsi="Noto Sans CJK SC" w:eastAsia="Noto Sans CJK SC"/>
                <w:b/>
                <w:color w:val="000000"/>
                <w:sz w:val="15"/>
              </w:rPr>
              <w:t xml:space="preserve">Main Question</w:t>
            </w:r>
          </w:p>
        </w:tc>
        <w:tc>
          <w:tcPr>
            <w:vAlign w:val="center"/>
            <w:shd w:fill="FFFFFF"/>
          </w:tcPr>
          <w:p>
            <w:pPr>
              <w:pStyle w:val="Compact"/>
              <w:spacing w:after="40" w:line="240" w:lineRule="auto"/>
              <w:jc w:val="left"/>
            </w:pPr>
            <w:r>
              <w:rPr>
                <w:rFonts w:ascii="Noto Sans CJK SC" w:hAnsi="Noto Sans CJK SC" w:eastAsia="Noto Sans CJK SC"/>
                <w:color w:val="000000"/>
                <w:sz w:val="15"/>
              </w:rPr>
              <w:t xml:space="preserve">How can human values be systematically embedded into technical design?</w:t>
            </w:r>
          </w:p>
        </w:tc>
        <w:tc>
          <w:tcPr>
            <w:vAlign w:val="center"/>
            <w:shd w:fill="FFFFFF"/>
          </w:tcPr>
          <w:p>
            <w:pPr>
              <w:pStyle w:val="Compact"/>
              <w:spacing w:after="40" w:line="240" w:lineRule="auto"/>
              <w:jc w:val="left"/>
            </w:pPr>
            <w:r>
              <w:rPr>
                <w:rFonts w:ascii="Noto Sans CJK SC" w:hAnsi="Noto Sans CJK SC" w:eastAsia="Noto Sans CJK SC"/>
                <w:color w:val="000000"/>
                <w:sz w:val="15"/>
              </w:rPr>
              <w:t xml:space="preserve">How can AI systems or robots execute ethical judgments during runtime?</w:t>
            </w:r>
          </w:p>
        </w:tc>
        <w:tc>
          <w:tcPr>
            <w:vAlign w:val="center"/>
            <w:shd w:fill="FFFFFF"/>
          </w:tcPr>
          <w:p>
            <w:pPr>
              <w:pStyle w:val="Compact"/>
              <w:spacing w:after="40" w:line="240" w:lineRule="auto"/>
              <w:jc w:val="left"/>
            </w:pPr>
            <w:r>
              <w:rPr>
                <w:rFonts w:ascii="Noto Sans CJK SC" w:hAnsi="Noto Sans CJK SC" w:eastAsia="Noto Sans CJK SC"/>
                <w:color w:val="000000"/>
                <w:sz w:val="15"/>
              </w:rPr>
              <w:t xml:space="preserve">How can human stakeholders transform value conflicts into executable institutional arrangements?</w:t>
            </w:r>
          </w:p>
        </w:tc>
      </w:tr>
      <w:tr>
        <w:trPr>
          <w:cantSplit/>
        </w:trPr>
        <w:tc>
          <w:tcPr>
            <w:vAlign w:val="center"/>
            <w:shd w:fill="F7FAFC"/>
          </w:tcPr>
          <w:p>
            <w:pPr>
              <w:pStyle w:val="Compact"/>
              <w:spacing w:after="40" w:line="240" w:lineRule="auto"/>
              <w:jc w:val="left"/>
            </w:pPr>
            <w:r>
              <w:rPr>
                <w:bCs/>
                <w:rFonts w:ascii="Noto Sans CJK SC" w:hAnsi="Noto Sans CJK SC" w:eastAsia="Noto Sans CJK SC"/>
                <w:b/>
                <w:color w:val="000000"/>
                <w:sz w:val="15"/>
              </w:rPr>
              <w:t xml:space="preserve">Principal Actors</w:t>
            </w:r>
          </w:p>
        </w:tc>
        <w:tc>
          <w:tcPr>
            <w:vAlign w:val="center"/>
            <w:shd w:fill="F7FAFC"/>
          </w:tcPr>
          <w:p>
            <w:pPr>
              <w:pStyle w:val="Compact"/>
              <w:spacing w:after="40" w:line="240" w:lineRule="auto"/>
              <w:jc w:val="left"/>
            </w:pPr>
            <w:r>
              <w:rPr>
                <w:rFonts w:ascii="Noto Sans CJK SC" w:hAnsi="Noto Sans CJK SC" w:eastAsia="Noto Sans CJK SC"/>
                <w:color w:val="000000"/>
                <w:sz w:val="15"/>
              </w:rPr>
              <w:t xml:space="preserve">Engineers, technical designers, direct/indirect stakeholders</w:t>
            </w:r>
          </w:p>
        </w:tc>
        <w:tc>
          <w:tcPr>
            <w:vAlign w:val="center"/>
            <w:shd w:fill="F7FAFC"/>
          </w:tcPr>
          <w:p>
            <w:pPr>
              <w:pStyle w:val="Compact"/>
              <w:spacing w:after="40" w:line="240" w:lineRule="auto"/>
              <w:jc w:val="left"/>
            </w:pPr>
            <w:r>
              <w:rPr>
                <w:rFonts w:ascii="Noto Sans CJK SC" w:hAnsi="Noto Sans CJK SC" w:eastAsia="Noto Sans CJK SC"/>
                <w:color w:val="000000"/>
                <w:sz w:val="15"/>
              </w:rPr>
              <w:t xml:space="preserve">The autonomous AI system or artificial moral agent (AMA)</w:t>
            </w:r>
          </w:p>
        </w:tc>
        <w:tc>
          <w:tcPr>
            <w:vAlign w:val="center"/>
            <w:shd w:fill="F7FAFC"/>
          </w:tcPr>
          <w:p>
            <w:pPr>
              <w:pStyle w:val="Compact"/>
              <w:spacing w:after="40" w:line="240" w:lineRule="auto"/>
              <w:jc w:val="left"/>
            </w:pPr>
            <w:r>
              <w:rPr>
                <w:rFonts w:ascii="Noto Sans CJK SC" w:hAnsi="Noto Sans CJK SC" w:eastAsia="Noto Sans CJK SC"/>
                <w:color w:val="000000"/>
                <w:sz w:val="15"/>
              </w:rPr>
              <w:t xml:space="preserve">Manufacturers, end-users, family members, care providers, regulatory agencies, rights advocates</w:t>
            </w:r>
          </w:p>
        </w:tc>
      </w:tr>
      <w:tr>
        <w:trPr>
          <w:cantSplit/>
        </w:trPr>
        <w:tc>
          <w:tcPr>
            <w:vAlign w:val="center"/>
            <w:shd w:fill="FFFFFF"/>
          </w:tcPr>
          <w:p>
            <w:pPr>
              <w:pStyle w:val="Compact"/>
              <w:spacing w:after="40" w:line="240" w:lineRule="auto"/>
              <w:jc w:val="left"/>
            </w:pPr>
            <w:r>
              <w:rPr>
                <w:bCs/>
                <w:rFonts w:ascii="Noto Sans CJK SC" w:hAnsi="Noto Sans CJK SC" w:eastAsia="Noto Sans CJK SC"/>
                <w:b/>
                <w:color w:val="000000"/>
                <w:sz w:val="15"/>
              </w:rPr>
              <w:t xml:space="preserve">Operational Stage</w:t>
            </w:r>
          </w:p>
        </w:tc>
        <w:tc>
          <w:tcPr>
            <w:vAlign w:val="center"/>
            <w:shd w:fill="FFFFFF"/>
          </w:tcPr>
          <w:p>
            <w:pPr>
              <w:pStyle w:val="Compact"/>
              <w:spacing w:after="40" w:line="240" w:lineRule="auto"/>
              <w:jc w:val="left"/>
            </w:pPr>
            <w:r>
              <w:rPr>
                <w:rFonts w:ascii="Noto Sans CJK SC" w:hAnsi="Noto Sans CJK SC" w:eastAsia="Noto Sans CJK SC"/>
                <w:color w:val="000000"/>
                <w:sz w:val="15"/>
              </w:rPr>
              <w:t xml:space="preserve">Primarily ex-ante engineering and design phase</w:t>
            </w:r>
          </w:p>
        </w:tc>
        <w:tc>
          <w:tcPr>
            <w:vAlign w:val="center"/>
            <w:shd w:fill="FFFFFF"/>
          </w:tcPr>
          <w:p>
            <w:pPr>
              <w:pStyle w:val="Compact"/>
              <w:spacing w:after="40" w:line="240" w:lineRule="auto"/>
              <w:jc w:val="left"/>
            </w:pPr>
            <w:r>
              <w:rPr>
                <w:rFonts w:ascii="Noto Sans CJK SC" w:hAnsi="Noto Sans CJK SC" w:eastAsia="Noto Sans CJK SC"/>
                <w:color w:val="000000"/>
                <w:sz w:val="15"/>
              </w:rPr>
              <w:t xml:space="preserve">Real-time runtime execution and decision logic</w:t>
            </w:r>
          </w:p>
        </w:tc>
        <w:tc>
          <w:tcPr>
            <w:vAlign w:val="center"/>
            <w:shd w:fill="FFFFFF"/>
          </w:tcPr>
          <w:p>
            <w:pPr>
              <w:pStyle w:val="Compact"/>
              <w:spacing w:after="40" w:line="240" w:lineRule="auto"/>
              <w:jc w:val="left"/>
            </w:pPr>
            <w:r>
              <w:rPr>
                <w:rFonts w:ascii="Noto Sans CJK SC" w:hAnsi="Noto Sans CJK SC" w:eastAsia="Noto Sans CJK SC"/>
                <w:color w:val="000000"/>
                <w:sz w:val="15"/>
              </w:rPr>
              <w:t xml:space="preserve">Ex-ante design, deployment, interagency oversight, and post-incident response</w:t>
            </w:r>
          </w:p>
        </w:tc>
      </w:tr>
      <w:tr>
        <w:trPr>
          <w:cantSplit/>
        </w:trPr>
        <w:tc>
          <w:tcPr>
            <w:vAlign w:val="center"/>
            <w:shd w:fill="F7FAFC"/>
          </w:tcPr>
          <w:p>
            <w:pPr>
              <w:pStyle w:val="Compact"/>
              <w:spacing w:after="40" w:line="240" w:lineRule="auto"/>
              <w:jc w:val="left"/>
            </w:pPr>
            <w:r>
              <w:rPr>
                <w:bCs/>
                <w:rFonts w:ascii="Noto Sans CJK SC" w:hAnsi="Noto Sans CJK SC" w:eastAsia="Noto Sans CJK SC"/>
                <w:b/>
                <w:color w:val="000000"/>
                <w:sz w:val="15"/>
              </w:rPr>
              <w:t xml:space="preserve">Core Method</w:t>
            </w:r>
          </w:p>
        </w:tc>
        <w:tc>
          <w:tcPr>
            <w:vAlign w:val="center"/>
            <w:shd w:fill="F7FAFC"/>
          </w:tcPr>
          <w:p>
            <w:pPr>
              <w:pStyle w:val="Compact"/>
              <w:spacing w:after="40" w:line="240" w:lineRule="auto"/>
              <w:jc w:val="left"/>
            </w:pPr>
            <w:r>
              <w:rPr>
                <w:rFonts w:ascii="Noto Sans CJK SC" w:hAnsi="Noto Sans CJK SC" w:eastAsia="Noto Sans CJK SC"/>
                <w:color w:val="000000"/>
                <w:sz w:val="15"/>
              </w:rPr>
              <w:t xml:space="preserve">Iterative conceptual, empirical, and technical investigations</w:t>
            </w:r>
          </w:p>
        </w:tc>
        <w:tc>
          <w:tcPr>
            <w:vAlign w:val="center"/>
            <w:shd w:fill="F7FAFC"/>
          </w:tcPr>
          <w:p>
            <w:pPr>
              <w:pStyle w:val="Compact"/>
              <w:spacing w:after="40" w:line="240" w:lineRule="auto"/>
              <w:jc w:val="left"/>
            </w:pPr>
            <w:r>
              <w:rPr>
                <w:rFonts w:ascii="Noto Sans CJK SC" w:hAnsi="Noto Sans CJK SC" w:eastAsia="Noto Sans CJK SC"/>
                <w:color w:val="000000"/>
                <w:sz w:val="15"/>
              </w:rPr>
              <w:t xml:space="preserve">Rule-based, consequentialist, or hybrid ethical algorithms</w:t>
            </w:r>
          </w:p>
        </w:tc>
        <w:tc>
          <w:tcPr>
            <w:vAlign w:val="center"/>
            <w:shd w:fill="F7FAFC"/>
          </w:tcPr>
          <w:p>
            <w:pPr>
              <w:pStyle w:val="Compact"/>
              <w:spacing w:after="40" w:line="240" w:lineRule="auto"/>
              <w:jc w:val="left"/>
            </w:pPr>
            <w:r>
              <w:rPr>
                <w:rFonts w:ascii="Noto Sans CJK SC" w:hAnsi="Noto Sans CJK SC" w:eastAsia="Noto Sans CJK SC"/>
                <w:color w:val="000000"/>
                <w:sz w:val="15"/>
              </w:rPr>
              <w:t xml:space="preserve">Structured risk mapping and four-chain negotiation scripts</w:t>
            </w:r>
          </w:p>
        </w:tc>
      </w:tr>
      <w:tr>
        <w:trPr>
          <w:cantSplit/>
        </w:trPr>
        <w:tc>
          <w:tcPr>
            <w:vAlign w:val="center"/>
            <w:shd w:fill="FFFFFF"/>
          </w:tcPr>
          <w:p>
            <w:pPr>
              <w:pStyle w:val="Compact"/>
              <w:spacing w:after="40" w:line="240" w:lineRule="auto"/>
              <w:jc w:val="left"/>
            </w:pPr>
            <w:r>
              <w:rPr>
                <w:bCs/>
                <w:rFonts w:ascii="Noto Sans CJK SC" w:hAnsi="Noto Sans CJK SC" w:eastAsia="Noto Sans CJK SC"/>
                <w:b/>
                <w:color w:val="000000"/>
                <w:sz w:val="15"/>
              </w:rPr>
              <w:t xml:space="preserve">AI Moral Agency</w:t>
            </w:r>
          </w:p>
        </w:tc>
        <w:tc>
          <w:tcPr>
            <w:vAlign w:val="center"/>
            <w:shd w:fill="FFFFFF"/>
          </w:tcPr>
          <w:p>
            <w:pPr>
              <w:pStyle w:val="Compact"/>
              <w:spacing w:after="40" w:line="240" w:lineRule="auto"/>
              <w:jc w:val="left"/>
            </w:pPr>
            <w:r>
              <w:rPr>
                <w:rFonts w:ascii="Noto Sans CJK SC" w:hAnsi="Noto Sans CJK SC" w:eastAsia="Noto Sans CJK SC"/>
                <w:color w:val="000000"/>
                <w:sz w:val="15"/>
              </w:rPr>
              <w:t xml:space="preserve">Generally not required or assumed</w:t>
            </w:r>
          </w:p>
        </w:tc>
        <w:tc>
          <w:tcPr>
            <w:vAlign w:val="center"/>
            <w:shd w:fill="FFFFFF"/>
          </w:tcPr>
          <w:p>
            <w:pPr>
              <w:pStyle w:val="Compact"/>
              <w:spacing w:after="40" w:line="240" w:lineRule="auto"/>
              <w:jc w:val="left"/>
            </w:pPr>
            <w:r>
              <w:rPr>
                <w:rFonts w:ascii="Noto Sans CJK SC" w:hAnsi="Noto Sans CJK SC" w:eastAsia="Noto Sans CJK SC"/>
                <w:color w:val="000000"/>
                <w:sz w:val="15"/>
              </w:rPr>
              <w:t xml:space="preserve">Frequently explored or modeled functionally</w:t>
            </w:r>
          </w:p>
        </w:tc>
        <w:tc>
          <w:tcPr>
            <w:vAlign w:val="center"/>
            <w:shd w:fill="FFFFFF"/>
          </w:tcPr>
          <w:p>
            <w:pPr>
              <w:pStyle w:val="Compact"/>
              <w:spacing w:after="40" w:line="240" w:lineRule="auto"/>
              <w:jc w:val="left"/>
            </w:pPr>
            <w:r>
              <w:rPr>
                <w:rFonts w:ascii="Noto Sans CJK SC" w:hAnsi="Noto Sans CJK SC" w:eastAsia="Noto Sans CJK SC"/>
                <w:color w:val="000000"/>
                <w:sz w:val="15"/>
              </w:rPr>
              <w:t xml:space="preserve">Explicitly rejected; negotiating standing remains strictly human</w:t>
            </w:r>
          </w:p>
        </w:tc>
      </w:tr>
      <w:tr>
        <w:trPr>
          <w:cantSplit/>
        </w:trPr>
        <w:tc>
          <w:tcPr>
            <w:tcW w:type="dxa" w:w="1980"/>
          </w:tcPr>
          <w:p>
            <w:r>
              <w:rPr>
                <w:sz w:val="15"/>
              </w:rPr>
              <w:t>Representative works</w:t>
            </w:r>
          </w:p>
        </w:tc>
        <w:tc>
          <w:tcPr>
            <w:tcW w:type="dxa" w:w="1980"/>
          </w:tcPr>
          <w:p>
            <w:r>
              <w:rPr>
                <w:sz w:val="15"/>
              </w:rPr>
              <w:t>Friedman &amp; Hendry (2019); care-centred VSD in van Wynsberghe (2013)</w:t>
            </w:r>
          </w:p>
        </w:tc>
        <w:tc>
          <w:tcPr>
            <w:tcW w:type="dxa" w:w="1980"/>
          </w:tcPr>
          <w:p>
            <w:r>
              <w:rPr>
                <w:sz w:val="15"/>
              </w:rPr>
              <w:t>Wallach &amp; Allen (2009); Anderson &amp; Anderson (2011)</w:t>
            </w:r>
          </w:p>
        </w:tc>
        <w:tc>
          <w:tcPr>
            <w:tcW w:type="dxa" w:w="1980"/>
          </w:tcPr>
          <w:p>
            <w:r>
              <w:rPr>
                <w:sz w:val="15"/>
              </w:rPr>
              <w:t>This article’s negotiated, multi-stakeholder co-construction pathway</w:t>
            </w:r>
          </w:p>
        </w:tc>
      </w:tr>
    </w:tbl>
    <w:p>
      <w:pPr>
        <w:pStyle w:val="BodyText"/>
        <w:widowControl/>
      </w:pPr>
      <w:r>
        <w:rPr>
          <w:rFonts w:ascii="Noto Sans CJK SC" w:hAnsi="Noto Sans CJK SC" w:eastAsia="Noto Sans CJK SC"/>
          <w:color w:val="000000"/>
        </w:rPr>
        <w:t xml:space="preserve">VSD emphasizes the prospective integration of human values through iterative conceptual, empirical, and technical inquiries (Friedman et al., 2006; Friedman &amp; Hendry, 2019). Conceptual inquiries clarify core values; empirical inquiries evaluate stakeholder experiences; technical inquiries assess how architectural features support or hinder specific normative values. Within healthcare robotics, van Wynsberghe (2013) introduced care-centered VSD, structuring system design around core care values—attentiveness, responsibility, competence, and reciprocity—rather than prioritizing mechanical efficiency or basic safety alone.</w:t>
      </w:r>
    </w:p>
    <w:p>
      <w:pPr>
        <w:pStyle w:val="BodyText"/>
        <w:widowControl/>
      </w:pPr>
      <w:r>
        <w:rPr>
          <w:rFonts w:ascii="Noto Sans CJK SC" w:hAnsi="Noto Sans CJK SC" w:eastAsia="Noto Sans CJK SC"/>
          <w:color w:val="000000"/>
        </w:rPr>
        <w:t xml:space="preserve">Machine ethics focuses on real-time algorithmic decision-making inside autonomous architectures (Wallach &amp; Allen, 2009; Anderson &amp; Anderson, 2011). In clinical or domestic contexts, a care robot may face trade-offs between issuing a crucial medication alert and honoring a patient's immediate refusal, or balancing safety interventions against personal liberty. Literature in this domain evaluates whether systems should implement deontological rules, consequentialist evaluations, virtue ethics, or case-based reasoning, with some scholars debating whether artificial agents should attain functional moral standing.</w:t>
      </w:r>
    </w:p>
    <w:bookmarkEnd w:id="34"/>
    <w:bookmarkStart w:id="35" w:name="the-dispute-over-artificial-moral-agents"/>
    <w:p>
      <w:pPr>
        <w:pStyle w:val="Heading2"/>
        <w:widowControl/>
      </w:pPr>
      <w:r>
        <w:rPr>
          <w:rFonts w:ascii="Noto Sans CJK SC" w:hAnsi="Noto Sans CJK SC" w:eastAsia="Noto Sans CJK SC"/>
          <w:color w:val="000000"/>
        </w:rPr>
        <w:t xml:space="preserve">3. The Dispute over Artificial Moral Agents</w:t>
      </w:r>
    </w:p>
    <w:p>
      <w:pPr>
        <w:pStyle w:val="FirstParagraph"/>
        <w:widowControl/>
      </w:pPr>
      <w:r>
        <w:rPr>
          <w:rFonts w:ascii="Noto Sans CJK SC" w:hAnsi="Noto Sans CJK SC" w:eastAsia="Noto Sans CJK SC"/>
          <w:color w:val="000000"/>
        </w:rPr>
        <w:t xml:space="preserve">Wallach and Allen (2009) distinguish operational morality, functional morality, and full moral agency, a taxonomy complemented by Moor's (2006) explicit gradations. The core debates within this spectrum are contrasted below:</w:t>
      </w:r>
    </w:p>
    <w:tbl>
      <w:tblPr>
        <w:tblStyle w:val="Table"/>
        <w:tblW w:type="auto" w:w="0"/>
        <w:jc w:val="center"/>
        <w:tblLayout w:type="autofit"/>
        <w:tblLook w:firstRow="1" w:lastRow="0" w:firstColumn="0" w:lastColumn="0" w:noHBand="0" w:noVBand="0" w:val="0020"/>
      </w:tblPr>
      <w:tblGrid>
        <w:gridCol w:w="2640"/>
        <w:gridCol w:w="2640"/>
        <w:gridCol w:w="2640"/>
      </w:tblGrid>
      <w:tr>
        <w:trPr>
          <w:tblHeader w:val="true"/>
          <w:cantSplit/>
        </w:trPr>
        <w:tc>
          <w:tcPr>
            <w:vAlign w:val="center"/>
            <w:shd w:fill="D9E2F3"/>
          </w:tcPr>
          <w:p>
            <w:pPr>
              <w:pStyle w:val="Compact"/>
              <w:spacing w:after="40" w:line="240" w:lineRule="auto"/>
              <w:jc w:val="left"/>
            </w:pPr>
            <w:r>
              <w:rPr>
                <w:rFonts w:ascii="Noto Sans CJK SC" w:hAnsi="Noto Sans CJK SC" w:eastAsia="Noto Sans CJK SC"/>
                <w:b/>
                <w:color w:val="000000"/>
                <w:sz w:val="15"/>
              </w:rPr>
              <w:t xml:space="preserve">Issue Dimension</w:t>
            </w:r>
          </w:p>
        </w:tc>
        <w:tc>
          <w:tcPr>
            <w:vAlign w:val="center"/>
            <w:shd w:fill="D9E2F3"/>
          </w:tcPr>
          <w:p>
            <w:pPr>
              <w:pStyle w:val="Compact"/>
              <w:spacing w:after="40" w:line="240" w:lineRule="auto"/>
              <w:jc w:val="left"/>
            </w:pPr>
            <w:r>
              <w:rPr>
                <w:rFonts w:ascii="Noto Sans CJK SC" w:hAnsi="Noto Sans CJK SC" w:eastAsia="Noto Sans CJK SC"/>
                <w:b/>
                <w:color w:val="000000"/>
                <w:sz w:val="15"/>
              </w:rPr>
              <w:t xml:space="preserve">Exploratory / Supportive Position</w:t>
            </w:r>
          </w:p>
        </w:tc>
        <w:tc>
          <w:tcPr>
            <w:vAlign w:val="center"/>
            <w:shd w:fill="D9E2F3"/>
          </w:tcPr>
          <w:p>
            <w:pPr>
              <w:pStyle w:val="Compact"/>
              <w:spacing w:after="40" w:line="240" w:lineRule="auto"/>
              <w:jc w:val="left"/>
            </w:pPr>
            <w:r>
              <w:rPr>
                <w:rFonts w:ascii="Noto Sans CJK SC" w:hAnsi="Noto Sans CJK SC" w:eastAsia="Noto Sans CJK SC"/>
                <w:b/>
                <w:color w:val="000000"/>
                <w:sz w:val="15"/>
              </w:rPr>
              <w:t xml:space="preserve">Cautious Position (Adopted in This Study)</w:t>
            </w:r>
          </w:p>
        </w:tc>
      </w:tr>
      <w:tr>
        <w:trPr>
          <w:cantSplit/>
        </w:trPr>
        <w:tc>
          <w:tcPr>
            <w:vAlign w:val="center"/>
            <w:shd w:fill="FFFFFF"/>
          </w:tcPr>
          <w:p>
            <w:pPr>
              <w:pStyle w:val="Compact"/>
              <w:spacing w:after="40" w:line="240" w:lineRule="auto"/>
              <w:jc w:val="left"/>
            </w:pPr>
            <w:r>
              <w:rPr>
                <w:bCs/>
                <w:rFonts w:ascii="Noto Sans CJK SC" w:hAnsi="Noto Sans CJK SC" w:eastAsia="Noto Sans CJK SC"/>
                <w:b/>
                <w:color w:val="000000"/>
                <w:sz w:val="15"/>
              </w:rPr>
              <w:t xml:space="preserve">Core Premise</w:t>
            </w:r>
          </w:p>
        </w:tc>
        <w:tc>
          <w:tcPr>
            <w:vAlign w:val="center"/>
            <w:shd w:fill="FFFFFF"/>
          </w:tcPr>
          <w:p>
            <w:pPr>
              <w:pStyle w:val="Compact"/>
              <w:spacing w:after="40" w:line="240" w:lineRule="auto"/>
              <w:jc w:val="left"/>
            </w:pPr>
            <w:r>
              <w:rPr>
                <w:rFonts w:ascii="Noto Sans CJK SC" w:hAnsi="Noto Sans CJK SC" w:eastAsia="Noto Sans CJK SC"/>
                <w:color w:val="000000"/>
                <w:sz w:val="15"/>
              </w:rPr>
              <w:t xml:space="preserve">Robots executing life-impacting decisions require embedded moral reasoning routines.</w:t>
            </w:r>
          </w:p>
        </w:tc>
        <w:tc>
          <w:tcPr>
            <w:vAlign w:val="center"/>
            <w:shd w:fill="FFFFFF"/>
          </w:tcPr>
          <w:p>
            <w:pPr>
              <w:pStyle w:val="Compact"/>
              <w:spacing w:after="40" w:line="240" w:lineRule="auto"/>
              <w:jc w:val="left"/>
            </w:pPr>
            <w:r>
              <w:rPr>
                <w:rFonts w:ascii="Noto Sans CJK SC" w:hAnsi="Noto Sans CJK SC" w:eastAsia="Noto Sans CJK SC"/>
                <w:color w:val="000000"/>
                <w:sz w:val="15"/>
              </w:rPr>
              <w:t xml:space="preserve">True moral agency requires conscious intent and moral liability; attributing agency to software dilutes human accountability.</w:t>
            </w:r>
          </w:p>
        </w:tc>
      </w:tr>
      <w:tr>
        <w:trPr>
          <w:cantSplit/>
        </w:trPr>
        <w:tc>
          <w:tcPr>
            <w:vAlign w:val="center"/>
            <w:shd w:fill="F7FAFC"/>
          </w:tcPr>
          <w:p>
            <w:pPr>
              <w:pStyle w:val="Compact"/>
              <w:spacing w:after="40" w:line="240" w:lineRule="auto"/>
              <w:jc w:val="left"/>
            </w:pPr>
            <w:r>
              <w:rPr>
                <w:bCs/>
                <w:rFonts w:ascii="Noto Sans CJK SC" w:hAnsi="Noto Sans CJK SC" w:eastAsia="Noto Sans CJK SC"/>
                <w:b/>
                <w:color w:val="000000"/>
                <w:sz w:val="15"/>
              </w:rPr>
              <w:t xml:space="preserve">Responsibility</w:t>
            </w:r>
          </w:p>
        </w:tc>
        <w:tc>
          <w:tcPr>
            <w:vAlign w:val="center"/>
            <w:shd w:fill="F7FAFC"/>
          </w:tcPr>
          <w:p>
            <w:pPr>
              <w:pStyle w:val="Compact"/>
              <w:spacing w:after="40" w:line="240" w:lineRule="auto"/>
              <w:jc w:val="left"/>
            </w:pPr>
            <w:r>
              <w:rPr>
                <w:rFonts w:ascii="Noto Sans CJK SC" w:hAnsi="Noto Sans CJK SC" w:eastAsia="Noto Sans CJK SC"/>
                <w:color w:val="000000"/>
                <w:sz w:val="15"/>
              </w:rPr>
              <w:t xml:space="preserve">Novel legal frameworks may allocate partial responsibility directly to autonomous systems.</w:t>
            </w:r>
          </w:p>
        </w:tc>
        <w:tc>
          <w:tcPr>
            <w:vAlign w:val="center"/>
            <w:shd w:fill="F7FAFC"/>
          </w:tcPr>
          <w:p>
            <w:pPr>
              <w:pStyle w:val="Compact"/>
              <w:spacing w:after="40" w:line="240" w:lineRule="auto"/>
              <w:jc w:val="left"/>
            </w:pPr>
            <w:r>
              <w:rPr>
                <w:rFonts w:ascii="Noto Sans CJK SC" w:hAnsi="Noto Sans CJK SC" w:eastAsia="Noto Sans CJK SC"/>
                <w:color w:val="000000"/>
                <w:sz w:val="15"/>
              </w:rPr>
              <w:t xml:space="preserve">Design, manufacturing, deployment, oversight, and legal remedy must remain strictly bound to human and corporate entities.</w:t>
            </w:r>
          </w:p>
        </w:tc>
      </w:tr>
      <w:tr>
        <w:trPr>
          <w:cantSplit/>
        </w:trPr>
        <w:tc>
          <w:tcPr>
            <w:vAlign w:val="center"/>
            <w:shd w:fill="FFFFFF"/>
          </w:tcPr>
          <w:p>
            <w:pPr>
              <w:pStyle w:val="Compact"/>
              <w:spacing w:after="40" w:line="240" w:lineRule="auto"/>
              <w:jc w:val="left"/>
            </w:pPr>
            <w:r>
              <w:rPr>
                <w:bCs/>
                <w:rFonts w:ascii="Noto Sans CJK SC" w:hAnsi="Noto Sans CJK SC" w:eastAsia="Noto Sans CJK SC"/>
                <w:b/>
                <w:color w:val="000000"/>
                <w:sz w:val="15"/>
              </w:rPr>
              <w:t xml:space="preserve">Ethical Theory</w:t>
            </w:r>
          </w:p>
        </w:tc>
        <w:tc>
          <w:tcPr>
            <w:vAlign w:val="center"/>
            <w:shd w:fill="FFFFFF"/>
          </w:tcPr>
          <w:p>
            <w:pPr>
              <w:pStyle w:val="Compact"/>
              <w:spacing w:after="40" w:line="240" w:lineRule="auto"/>
              <w:jc w:val="left"/>
            </w:pPr>
            <w:r>
              <w:rPr>
                <w:rFonts w:ascii="Noto Sans CJK SC" w:hAnsi="Noto Sans CJK SC" w:eastAsia="Noto Sans CJK SC"/>
                <w:color w:val="000000"/>
                <w:sz w:val="15"/>
              </w:rPr>
              <w:t xml:space="preserve">Robotic systems can effectively execute formal ethical frameworks (duties, utility, virtues).</w:t>
            </w:r>
          </w:p>
        </w:tc>
        <w:tc>
          <w:tcPr>
            <w:vAlign w:val="center"/>
            <w:shd w:fill="FFFFFF"/>
          </w:tcPr>
          <w:p>
            <w:pPr>
              <w:pStyle w:val="Compact"/>
              <w:spacing w:after="40" w:line="240" w:lineRule="auto"/>
              <w:jc w:val="left"/>
            </w:pPr>
            <w:r>
              <w:rPr>
                <w:rFonts w:ascii="Noto Sans CJK SC" w:hAnsi="Noto Sans CJK SC" w:eastAsia="Noto Sans CJK SC"/>
                <w:color w:val="000000"/>
                <w:sz w:val="15"/>
              </w:rPr>
              <w:t xml:space="preserve">A designer's unilateral selection of an ethical theory represents an unnegotiated, subjective value choice.</w:t>
            </w:r>
          </w:p>
        </w:tc>
      </w:tr>
      <w:tr>
        <w:trPr>
          <w:cantSplit/>
        </w:trPr>
        <w:tc>
          <w:tcPr>
            <w:vAlign w:val="center"/>
            <w:shd w:fill="F7FAFC"/>
          </w:tcPr>
          <w:p>
            <w:pPr>
              <w:pStyle w:val="Compact"/>
              <w:spacing w:after="40" w:line="240" w:lineRule="auto"/>
              <w:jc w:val="left"/>
            </w:pPr>
            <w:r>
              <w:rPr>
                <w:bCs/>
                <w:rFonts w:ascii="Noto Sans CJK SC" w:hAnsi="Noto Sans CJK SC" w:eastAsia="Noto Sans CJK SC"/>
                <w:b/>
                <w:color w:val="000000"/>
                <w:sz w:val="15"/>
              </w:rPr>
              <w:t xml:space="preserve">Care Risk</w:t>
            </w:r>
          </w:p>
        </w:tc>
        <w:tc>
          <w:tcPr>
            <w:vAlign w:val="center"/>
            <w:shd w:fill="F7FAFC"/>
          </w:tcPr>
          <w:p>
            <w:pPr>
              <w:pStyle w:val="Compact"/>
              <w:spacing w:after="40" w:line="240" w:lineRule="auto"/>
              <w:jc w:val="left"/>
            </w:pPr>
            <w:r>
              <w:rPr>
                <w:rFonts w:ascii="Noto Sans CJK SC" w:hAnsi="Noto Sans CJK SC" w:eastAsia="Noto Sans CJK SC"/>
                <w:color w:val="000000"/>
                <w:sz w:val="15"/>
              </w:rPr>
              <w:t xml:space="preserve">Robotics can alleviate care burdens and execute objective, ethically sound interventions.</w:t>
            </w:r>
          </w:p>
        </w:tc>
        <w:tc>
          <w:tcPr>
            <w:vAlign w:val="center"/>
            <w:shd w:fill="F7FAFC"/>
          </w:tcPr>
          <w:p>
            <w:pPr>
              <w:pStyle w:val="Compact"/>
              <w:spacing w:after="40" w:line="240" w:lineRule="auto"/>
              <w:jc w:val="left"/>
            </w:pPr>
            <w:r>
              <w:rPr>
                <w:rFonts w:ascii="Noto Sans CJK SC" w:hAnsi="Noto Sans CJK SC" w:eastAsia="Noto Sans CJK SC"/>
                <w:color w:val="000000"/>
                <w:sz w:val="15"/>
              </w:rPr>
              <w:t xml:space="preserve">Institutional reliance on machines risks displacing human contact, exploiting emotional attachment, or simulating fake care (Sharkey &amp; Sharkey, 2012).</w:t>
            </w:r>
          </w:p>
        </w:tc>
      </w:tr>
      <w:tr>
        <w:trPr>
          <w:cantSplit/>
        </w:trPr>
        <w:tc>
          <w:tcPr>
            <w:tcW w:type="dxa" w:w="2640"/>
          </w:tcPr>
          <w:p>
            <w:r>
              <w:rPr>
                <w:sz w:val="15"/>
              </w:rPr>
              <w:t>Relationship to this article</w:t>
            </w:r>
          </w:p>
        </w:tc>
        <w:tc>
          <w:tcPr>
            <w:tcW w:type="dxa" w:w="2640"/>
          </w:tcPr>
          <w:p>
            <w:r>
              <w:rPr>
                <w:sz w:val="15"/>
              </w:rPr>
              <w:t>A technical and philosophical line of inquiry within machine ethics.</w:t>
            </w:r>
          </w:p>
        </w:tc>
        <w:tc>
          <w:tcPr>
            <w:tcW w:type="dxa" w:w="2640"/>
          </w:tcPr>
          <w:p>
            <w:r>
              <w:rPr>
                <w:sz w:val="15"/>
              </w:rPr>
              <w:t>This article’s defensive declaration adopts this position: the negotiating parties are always human stakeholder networks; AI is not presumed to possess moral standing.</w:t>
            </w:r>
          </w:p>
        </w:tc>
      </w:tr>
      <w:tr>
        <w:trPr>
          <w:cantSplit/>
        </w:trPr>
        <w:tc>
          <w:tcPr>
            <w:tcW w:type="dxa" w:w="2640"/>
          </w:tcPr>
          <w:p>
            <w:r>
              <w:rPr>
                <w:sz w:val="15"/>
              </w:rPr>
              <w:t>Representative works</w:t>
            </w:r>
          </w:p>
        </w:tc>
        <w:tc>
          <w:tcPr>
            <w:tcW w:type="dxa" w:w="2640"/>
          </w:tcPr>
          <w:p>
            <w:r>
              <w:rPr>
                <w:sz w:val="15"/>
              </w:rPr>
              <w:t>Wallach &amp; Allen (2009); Anderson &amp; Anderson (2011); selected work in machine ethics.</w:t>
            </w:r>
          </w:p>
        </w:tc>
        <w:tc>
          <w:tcPr>
            <w:tcW w:type="dxa" w:w="2640"/>
          </w:tcPr>
          <w:p>
            <w:r>
              <w:rPr>
                <w:sz w:val="15"/>
              </w:rPr>
              <w:t>This article’s defensive declaration; Rachum-Twaig (2020) on responsibility; Sharkey &amp; Sharkey (2012) on care ethics.</w:t>
            </w:r>
          </w:p>
        </w:tc>
      </w:tr>
    </w:tbl>
    <w:p>
      <w:pPr>
        <w:pStyle w:val="BodyText"/>
        <w:widowControl/>
      </w:pPr>
      <w:r>
        <w:rPr>
          <w:rFonts w:ascii="Noto Sans CJK SC" w:hAnsi="Noto Sans CJK SC" w:eastAsia="Noto Sans CJK SC"/>
          <w:color w:val="000000"/>
        </w:rPr>
        <w:t xml:space="preserve">While technical debate centers on whether machines can simulate ethical reasoning, the crucial public administration question is whether legal responsibility can be transferred to non-human entities. This article adopts a firm posture: functional moral computations cannot replace statutory authority, reasoned public justification, or ultimate human accountability. The negotiation script proposed here assigns explicit responsibility across human and organizational actors, refusing to grant AI systems standing at the negotiating table.</w:t>
      </w:r>
    </w:p>
    <w:bookmarkEnd w:id="35"/>
    <w:bookmarkStart w:id="36" w:name="X08da9e0dd0763ef9b37a8d6643bedb4d926ffa2"/>
    <w:p>
      <w:pPr>
        <w:pStyle w:val="Heading2"/>
        <w:widowControl/>
      </w:pPr>
      <w:r>
        <w:rPr>
          <w:rFonts w:ascii="Noto Sans CJK SC" w:hAnsi="Noto Sans CJK SC" w:eastAsia="Noto Sans CJK SC"/>
          <w:color w:val="000000"/>
        </w:rPr>
        <w:t xml:space="preserve">4. Autonomous Vehicles as an Evaluative Benchmark</w:t>
      </w:r>
    </w:p>
    <w:p>
      <w:pPr>
        <w:pStyle w:val="FirstParagraph"/>
        <w:widowControl/>
      </w:pPr>
      <w:r>
        <w:rPr>
          <w:rFonts w:ascii="Noto Sans CJK SC" w:hAnsi="Noto Sans CJK SC" w:eastAsia="Noto Sans CJK SC"/>
          <w:color w:val="000000"/>
        </w:rPr>
        <w:t xml:space="preserve">Ethical discussions surrounding autonomous vehicles (AVs) are frequently reduced to stylized trolley problems—debating whether an automated vehicle should sacrifice passengers or pedestrians in unavoidable collisions. However, Nyholm and Smids (2016) and Himmelreich (2018) demonstrate that real-world governance centers on systemic risk distribution, infrastructure integration, traffic regulations, and meaningful human supervision.</w:t>
      </w:r>
    </w:p>
    <w:p>
      <w:pPr>
        <w:pStyle w:val="BodyText"/>
        <w:widowControl/>
      </w:pPr>
      <w:r>
        <w:rPr>
          <w:rFonts w:ascii="Noto Sans CJK SC" w:hAnsi="Noto Sans CJK SC" w:eastAsia="Noto Sans CJK SC"/>
          <w:color w:val="000000"/>
        </w:rPr>
        <w:t xml:space="preserve">Partial driving automation closely mirrors the governance realities of care robotics. Drivers frequently over-rely on automated features, vendors obscure operational boundaries, and regulators struggle with inadequate testing paradigms. Taiwan's</w:t>
      </w:r>
      <w:r>
        <w:rPr>
          <w:rFonts w:ascii="Noto Sans CJK SC" w:hAnsi="Noto Sans CJK SC" w:eastAsia="Noto Sans CJK SC"/>
          <w:color w:val="000000"/>
        </w:rPr>
        <w:t xml:space="preserve"> </w:t>
      </w:r>
      <w:r>
        <w:rPr>
          <w:iCs/>
          <w:rFonts w:ascii="Noto Sans CJK SC" w:hAnsi="Noto Sans CJK SC" w:eastAsia="Noto Sans CJK SC"/>
          <w:i/>
          <w:color w:val="000000"/>
        </w:rPr>
        <w:t xml:space="preserve">Unmanned Vehicles Technology Innovative Experimentation Act</w:t>
      </w:r>
      <w:r>
        <w:rPr>
          <w:rFonts w:ascii="Noto Sans CJK SC" w:hAnsi="Noto Sans CJK SC" w:eastAsia="Noto Sans CJK SC"/>
          <w:color w:val="000000"/>
        </w:rPr>
        <w:t xml:space="preserve"> </w:t>
      </w:r>
      <w:r>
        <w:rPr>
          <w:rFonts w:ascii="Noto Sans CJK SC" w:hAnsi="Noto Sans CJK SC" w:eastAsia="Noto Sans CJK SC"/>
          <w:color w:val="000000"/>
        </w:rPr>
        <w:t xml:space="preserve">explicitly maintains civil and criminal liability standards, affirming that automation does not create a novel legal subject. Similarly, the German Ethics Commission on Automated and Connected Driving (2017) mandated the absolute priority of human life protection, prohibited discrimination based on personal characteristics, and rejected corporate attempts to transfer liability from manufacturers to software systems. Across domains, the administrative baseline remains consistent: technical autonomy cannot be leveraged to create a liability vacuum.</w:t>
      </w:r>
    </w:p>
    <w:bookmarkEnd w:id="36"/>
    <w:bookmarkEnd w:id="37"/>
    <w:bookmarkStart w:id="41" w:name="Xa854655cd97b0512e48408c93aaa9b0f1f9edfe"/>
    <w:p>
      <w:pPr>
        <w:pStyle w:val="Heading1"/>
        <w:widowControl/>
      </w:pPr>
      <w:r>
        <w:rPr>
          <w:rFonts w:ascii="Noto Sans CJK SC" w:hAnsi="Noto Sans CJK SC" w:eastAsia="Noto Sans CJK SC"/>
          <w:color w:val="000000"/>
        </w:rPr>
        <w:t xml:space="preserve">IV. Case Materials: Values, Participant Experience, and Prospective Problems</w:t>
      </w:r>
    </w:p>
    <w:bookmarkStart w:id="38" w:name="a-comprehensive-value-map-for-ai-robots"/>
    <w:p>
      <w:pPr>
        <w:pStyle w:val="Heading2"/>
        <w:widowControl/>
      </w:pPr>
      <w:r>
        <w:rPr>
          <w:rFonts w:ascii="Noto Sans CJK SC" w:hAnsi="Noto Sans CJK SC" w:eastAsia="Noto Sans CJK SC"/>
          <w:color w:val="000000"/>
        </w:rPr>
        <w:t xml:space="preserve">1. A Comprehensive Value Map for AI Robots</w:t>
      </w:r>
    </w:p>
    <w:p>
      <w:pPr>
        <w:pStyle w:val="FirstParagraph"/>
        <w:widowControl/>
      </w:pPr>
      <w:r>
        <w:rPr>
          <w:rFonts w:ascii="Noto Sans CJK SC" w:hAnsi="Noto Sans CJK SC" w:eastAsia="Noto Sans CJK SC"/>
          <w:color w:val="000000"/>
        </w:rPr>
        <w:t xml:space="preserve">Deploying domestic and care robots implicates a complex matrix of rights, values, and statutory regimes:</w:t>
      </w:r>
    </w:p>
    <w:p>
      <w:pPr>
        <w:widowControl/>
        <w:numPr>
          <w:ilvl w:val="0"/>
          <w:numId w:val="1002"/>
        </w:numPr>
        <w:pStyle w:val="Compact"/>
      </w:pPr>
      <w:r>
        <w:rPr>
          <w:bCs/>
          <w:rFonts w:ascii="Noto Sans CJK SC" w:hAnsi="Noto Sans CJK SC" w:eastAsia="Noto Sans CJK SC"/>
          <w:b/>
          <w:color w:val="000000"/>
        </w:rPr>
        <w:t xml:space="preserve">Dignity, Autonomy, and Inclusion:</w:t>
      </w:r>
      <w:r>
        <w:rPr>
          <w:rFonts w:ascii="Noto Sans CJK SC" w:hAnsi="Noto Sans CJK SC" w:eastAsia="Noto Sans CJK SC"/>
          <w:color w:val="000000"/>
        </w:rPr>
        <w:t xml:space="preserve"> </w:t>
      </w:r>
      <w:r>
        <w:rPr>
          <w:rFonts w:ascii="Noto Sans CJK SC" w:hAnsi="Noto Sans CJK SC" w:eastAsia="Noto Sans CJK SC"/>
          <w:color w:val="000000"/>
        </w:rPr>
        <w:t xml:space="preserve">Protecting personal liberty, self-determination, active participation, and accessibility under the UN</w:t>
      </w:r>
      <w:r>
        <w:rPr>
          <w:rFonts w:ascii="Noto Sans CJK SC" w:hAnsi="Noto Sans CJK SC" w:eastAsia="Noto Sans CJK SC"/>
          <w:color w:val="000000"/>
        </w:rPr>
        <w:t xml:space="preserve"> </w:t>
      </w:r>
      <w:r>
        <w:rPr>
          <w:iCs/>
          <w:rFonts w:ascii="Noto Sans CJK SC" w:hAnsi="Noto Sans CJK SC" w:eastAsia="Noto Sans CJK SC"/>
          <w:i/>
          <w:color w:val="000000"/>
        </w:rPr>
        <w:t xml:space="preserve">Convention on the Rights of Persons with Disabilities</w:t>
      </w:r>
      <w:r>
        <w:rPr>
          <w:rFonts w:ascii="Noto Sans CJK SC" w:hAnsi="Noto Sans CJK SC" w:eastAsia="Noto Sans CJK SC"/>
          <w:color w:val="000000"/>
        </w:rPr>
        <w:t xml:space="preserve"> </w:t>
      </w:r>
      <w:r>
        <w:rPr>
          <w:rFonts w:ascii="Noto Sans CJK SC" w:hAnsi="Noto Sans CJK SC" w:eastAsia="Noto Sans CJK SC"/>
          <w:color w:val="000000"/>
        </w:rPr>
        <w:t xml:space="preserve">(United Nations, 2006).</w:t>
      </w:r>
    </w:p>
    <w:p>
      <w:pPr>
        <w:widowControl/>
        <w:numPr>
          <w:ilvl w:val="0"/>
          <w:numId w:val="1002"/>
        </w:numPr>
        <w:pStyle w:val="Compact"/>
      </w:pPr>
      <w:r>
        <w:rPr>
          <w:bCs/>
          <w:rFonts w:ascii="Noto Sans CJK SC" w:hAnsi="Noto Sans CJK SC" w:eastAsia="Noto Sans CJK SC"/>
          <w:b/>
          <w:color w:val="000000"/>
        </w:rPr>
        <w:t xml:space="preserve">Non-Discrimination:</w:t>
      </w:r>
      <w:r>
        <w:rPr>
          <w:rFonts w:ascii="Noto Sans CJK SC" w:hAnsi="Noto Sans CJK SC" w:eastAsia="Noto Sans CJK SC"/>
          <w:color w:val="000000"/>
        </w:rPr>
        <w:t xml:space="preserve"> </w:t>
      </w:r>
      <w:r>
        <w:rPr>
          <w:rFonts w:ascii="Noto Sans CJK SC" w:hAnsi="Noto Sans CJK SC" w:eastAsia="Noto Sans CJK SC"/>
          <w:color w:val="000000"/>
        </w:rPr>
        <w:t xml:space="preserve">Preventing algorithmic bias and social exclusion that stem from flawed design assumptions in care contexts (Sharkey &amp; Sharkey, 2012).</w:t>
      </w:r>
    </w:p>
    <w:p>
      <w:pPr>
        <w:widowControl/>
        <w:numPr>
          <w:ilvl w:val="0"/>
          <w:numId w:val="1002"/>
        </w:numPr>
        <w:pStyle w:val="Compact"/>
      </w:pPr>
      <w:r>
        <w:rPr>
          <w:bCs/>
          <w:rFonts w:ascii="Noto Sans CJK SC" w:hAnsi="Noto Sans CJK SC" w:eastAsia="Noto Sans CJK SC"/>
          <w:b/>
          <w:color w:val="000000"/>
        </w:rPr>
        <w:t xml:space="preserve">Labor Rights and Displacement:</w:t>
      </w:r>
      <w:r>
        <w:rPr>
          <w:rFonts w:ascii="Noto Sans CJK SC" w:hAnsi="Noto Sans CJK SC" w:eastAsia="Noto Sans CJK SC"/>
          <w:color w:val="000000"/>
        </w:rPr>
        <w:t xml:space="preserve"> </w:t>
      </w:r>
      <w:r>
        <w:rPr>
          <w:rFonts w:ascii="Noto Sans CJK SC" w:hAnsi="Noto Sans CJK SC" w:eastAsia="Noto Sans CJK SC"/>
          <w:color w:val="000000"/>
        </w:rPr>
        <w:t xml:space="preserve">Balancing automation with workforce protections. Taiwan's robotics policies view labor shortages as a primary driver, while the</w:t>
      </w:r>
      <w:r>
        <w:rPr>
          <w:rFonts w:ascii="Noto Sans CJK SC" w:hAnsi="Noto Sans CJK SC" w:eastAsia="Noto Sans CJK SC"/>
          <w:color w:val="000000"/>
        </w:rPr>
        <w:t xml:space="preserve"> </w:t>
      </w:r>
      <w:r>
        <w:rPr>
          <w:iCs/>
          <w:rFonts w:ascii="Noto Sans CJK SC" w:hAnsi="Noto Sans CJK SC" w:eastAsia="Noto Sans CJK SC"/>
          <w:i/>
          <w:color w:val="000000"/>
        </w:rPr>
        <w:t xml:space="preserve">Artificial Intelligence Basic Act</w:t>
      </w:r>
      <w:r>
        <w:rPr>
          <w:rFonts w:ascii="Noto Sans CJK SC" w:hAnsi="Noto Sans CJK SC" w:eastAsia="Noto Sans CJK SC"/>
          <w:color w:val="000000"/>
        </w:rPr>
        <w:t xml:space="preserve"> </w:t>
      </w:r>
      <w:r>
        <w:rPr>
          <w:rFonts w:ascii="Noto Sans CJK SC" w:hAnsi="Noto Sans CJK SC" w:eastAsia="Noto Sans CJK SC"/>
          <w:color w:val="000000"/>
        </w:rPr>
        <w:t xml:space="preserve">obligates the state to safeguard worker rights during AI transitions.</w:t>
      </w:r>
    </w:p>
    <w:p>
      <w:pPr>
        <w:widowControl/>
        <w:numPr>
          <w:ilvl w:val="0"/>
          <w:numId w:val="1002"/>
        </w:numPr>
        <w:pStyle w:val="Compact"/>
      </w:pPr>
      <w:r>
        <w:rPr>
          <w:bCs/>
          <w:rFonts w:ascii="Noto Sans CJK SC" w:hAnsi="Noto Sans CJK SC" w:eastAsia="Noto Sans CJK SC"/>
          <w:b/>
          <w:color w:val="000000"/>
        </w:rPr>
        <w:t xml:space="preserve">Product Safety and Tort Liability:</w:t>
      </w:r>
      <w:r>
        <w:rPr>
          <w:rFonts w:ascii="Noto Sans CJK SC" w:hAnsi="Noto Sans CJK SC" w:eastAsia="Noto Sans CJK SC"/>
          <w:color w:val="000000"/>
        </w:rPr>
        <w:t xml:space="preserve"> </w:t>
      </w:r>
      <w:r>
        <w:rPr>
          <w:rFonts w:ascii="Noto Sans CJK SC" w:hAnsi="Noto Sans CJK SC" w:eastAsia="Noto Sans CJK SC"/>
          <w:color w:val="000000"/>
        </w:rPr>
        <w:t xml:space="preserve">Managing strict liability and negligence standards when adaptive machine learning complicates conventional causation analysis (Rachum-Twaig, 2020).</w:t>
      </w:r>
    </w:p>
    <w:p>
      <w:pPr>
        <w:widowControl/>
        <w:numPr>
          <w:ilvl w:val="0"/>
          <w:numId w:val="1002"/>
        </w:numPr>
        <w:pStyle w:val="Compact"/>
      </w:pPr>
      <w:r>
        <w:rPr>
          <w:bCs/>
          <w:rFonts w:ascii="Noto Sans CJK SC" w:hAnsi="Noto Sans CJK SC" w:eastAsia="Noto Sans CJK SC"/>
          <w:b/>
          <w:color w:val="000000"/>
        </w:rPr>
        <w:t xml:space="preserve">Data Privacy and Security:</w:t>
      </w:r>
      <w:r>
        <w:rPr>
          <w:rFonts w:ascii="Noto Sans CJK SC" w:hAnsi="Noto Sans CJK SC" w:eastAsia="Noto Sans CJK SC"/>
          <w:color w:val="000000"/>
        </w:rPr>
        <w:t xml:space="preserve"> </w:t>
      </w:r>
      <w:r>
        <w:rPr>
          <w:rFonts w:ascii="Noto Sans CJK SC" w:hAnsi="Noto Sans CJK SC" w:eastAsia="Noto Sans CJK SC"/>
          <w:color w:val="000000"/>
        </w:rPr>
        <w:t xml:space="preserve">Regulating continuous audio-visual, behavioral, and biometric data harvesting within private domestic spaces.</w:t>
      </w:r>
    </w:p>
    <w:p>
      <w:pPr>
        <w:widowControl/>
        <w:numPr>
          <w:ilvl w:val="0"/>
          <w:numId w:val="1002"/>
        </w:numPr>
        <w:pStyle w:val="Compact"/>
      </w:pPr>
      <w:r>
        <w:rPr>
          <w:bCs/>
          <w:rFonts w:ascii="Noto Sans CJK SC" w:hAnsi="Noto Sans CJK SC" w:eastAsia="Noto Sans CJK SC"/>
          <w:b/>
          <w:color w:val="000000"/>
        </w:rPr>
        <w:t xml:space="preserve">Supply Chain and Hardware Security:</w:t>
      </w:r>
      <w:r>
        <w:rPr>
          <w:rFonts w:ascii="Noto Sans CJK SC" w:hAnsi="Noto Sans CJK SC" w:eastAsia="Noto Sans CJK SC"/>
          <w:color w:val="000000"/>
        </w:rPr>
        <w:t xml:space="preserve"> </w:t>
      </w:r>
      <w:r>
        <w:rPr>
          <w:rFonts w:ascii="Noto Sans CJK SC" w:hAnsi="Noto Sans CJK SC" w:eastAsia="Noto Sans CJK SC"/>
          <w:color w:val="000000"/>
        </w:rPr>
        <w:t xml:space="preserve">Mitigating cybersecurity vulnerabilities and data leakage across global hardware and software supply networks.</w:t>
      </w:r>
    </w:p>
    <w:p>
      <w:pPr>
        <w:widowControl/>
        <w:numPr>
          <w:ilvl w:val="0"/>
          <w:numId w:val="1002"/>
        </w:numPr>
        <w:pStyle w:val="Compact"/>
      </w:pPr>
      <w:r>
        <w:rPr>
          <w:bCs/>
          <w:rFonts w:ascii="Noto Sans CJK SC" w:hAnsi="Noto Sans CJK SC" w:eastAsia="Noto Sans CJK SC"/>
          <w:b/>
          <w:color w:val="000000"/>
        </w:rPr>
        <w:t xml:space="preserve">Property and Consumer Rights:</w:t>
      </w:r>
      <w:r>
        <w:rPr>
          <w:rFonts w:ascii="Noto Sans CJK SC" w:hAnsi="Noto Sans CJK SC" w:eastAsia="Noto Sans CJK SC"/>
          <w:color w:val="000000"/>
        </w:rPr>
        <w:t xml:space="preserve"> </w:t>
      </w:r>
      <w:r>
        <w:rPr>
          <w:rFonts w:ascii="Noto Sans CJK SC" w:hAnsi="Noto Sans CJK SC" w:eastAsia="Noto Sans CJK SC"/>
          <w:color w:val="000000"/>
        </w:rPr>
        <w:t xml:space="preserve">Resolving legal friction between physical device ownership and restricted access to proprietary, cloud-hosted interaction logs and memories.</w:t>
      </w:r>
    </w:p>
    <w:p>
      <w:pPr>
        <w:widowControl/>
        <w:numPr>
          <w:ilvl w:val="0"/>
          <w:numId w:val="1002"/>
        </w:numPr>
        <w:pStyle w:val="Compact"/>
      </w:pPr>
      <w:r>
        <w:rPr>
          <w:bCs/>
          <w:rFonts w:ascii="Noto Sans CJK SC" w:hAnsi="Noto Sans CJK SC" w:eastAsia="Noto Sans CJK SC"/>
          <w:b/>
          <w:color w:val="000000"/>
        </w:rPr>
        <w:t xml:space="preserve">Distributive Justice and Environmental Sustainability:</w:t>
      </w:r>
      <w:r>
        <w:rPr>
          <w:rFonts w:ascii="Noto Sans CJK SC" w:hAnsi="Noto Sans CJK SC" w:eastAsia="Noto Sans CJK SC"/>
          <w:color w:val="000000"/>
        </w:rPr>
        <w:t xml:space="preserve"> </w:t>
      </w:r>
      <w:r>
        <w:rPr>
          <w:rFonts w:ascii="Noto Sans CJK SC" w:hAnsi="Noto Sans CJK SC" w:eastAsia="Noto Sans CJK SC"/>
          <w:color w:val="000000"/>
        </w:rPr>
        <w:t xml:space="preserve">Addressing wealth concentration driven by technology ownership alongside the energy footprint of large-scale infrastructure.</w:t>
      </w:r>
    </w:p>
    <w:bookmarkEnd w:id="38"/>
    <w:bookmarkStart w:id="39" w:name="X63071962cc77490b097a06792fd7db6dd23dcd5"/>
    <w:p>
      <w:pPr>
        <w:pStyle w:val="Heading2"/>
        <w:widowControl/>
      </w:pPr>
      <w:r>
        <w:rPr>
          <w:rFonts w:ascii="Noto Sans CJK SC" w:hAnsi="Noto Sans CJK SC" w:eastAsia="Noto Sans CJK SC"/>
          <w:color w:val="000000"/>
        </w:rPr>
        <w:t xml:space="preserve">2. Retrospective Participant Account (2002–2005)</w:t>
      </w:r>
    </w:p>
    <w:p>
      <w:pPr>
        <w:pStyle w:val="FirstParagraph"/>
        <w:widowControl/>
      </w:pPr>
      <w:r>
        <w:rPr>
          <w:rFonts w:ascii="Noto Sans CJK SC" w:hAnsi="Noto Sans CJK SC" w:eastAsia="Noto Sans CJK SC"/>
          <w:color w:val="000000"/>
        </w:rPr>
        <w:t xml:space="preserve">From 2002 to 2005, the author participated as an international-affairs practitioner in Taiwanese interagency policy planning involving robotics scholars, the Institute for Information Industry, the National Science Council, the Ministry of Economic Affairs, the Chung-Shan Institute of Science and Technology, and the Department of Health. Discussions targeted a national robotics strategic horizon extending to 2030.</w:t>
      </w:r>
    </w:p>
    <w:p>
      <w:pPr>
        <w:pStyle w:val="BodyText"/>
        <w:widowControl/>
      </w:pPr>
      <w:r>
        <w:rPr>
          <w:rFonts w:ascii="Noto Sans CJK SC" w:hAnsi="Noto Sans CJK SC" w:eastAsia="Noto Sans CJK SC"/>
          <w:color w:val="000000"/>
        </w:rPr>
        <w:t xml:space="preserve">During these sessions, a senior engineering researcher questioned the strategic rationale for funding humanoid robotics, advocating instead for established industrial and specialized service classifications. Conversely, international practitioners argued from sociological and psychological perspectives that humanoid forms could minimize adjustments to human-built environments and facilitate natural social integration. Concurrently, healthcare representatives exhibited significant difficulty in articulating substantive, domain-specific requirements.</w:t>
      </w:r>
    </w:p>
    <w:p>
      <w:pPr>
        <w:pStyle w:val="BodyText"/>
        <w:widowControl/>
      </w:pPr>
      <w:r>
        <w:rPr>
          <w:rFonts w:ascii="Noto Sans CJK SC" w:hAnsi="Noto Sans CJK SC" w:eastAsia="Noto Sans CJK SC"/>
          <w:color w:val="000000"/>
        </w:rPr>
        <w:t xml:space="preserve">Analyzed through the four governance chains, engineering efficiency and psychosocial embedding represented fundamentally competing frames regarding the core purpose of national robotics policy. The absence of a proactive voice from health agencies exposed a structural administrative flaw: the institutional framework had failed to determine who was authorized to represent long-term care needs or assume responsibility for operational outcomes. The technology did not generate this institutional gap; rather, it rendered pre-existing governance weaknesses visible.</w:t>
      </w:r>
    </w:p>
    <w:p>
      <w:pPr>
        <w:pStyle w:val="BodyText"/>
        <w:widowControl/>
      </w:pPr>
      <w:r>
        <w:rPr>
          <w:rFonts w:ascii="Noto Sans CJK SC" w:hAnsi="Noto Sans CJK SC" w:eastAsia="Noto Sans CJK SC"/>
          <w:color w:val="000000"/>
        </w:rPr>
        <w:t xml:space="preserve">This structural challenge persists today in an evolved format. In July 2025, the Executive Yuan approved the</w:t>
      </w:r>
      <w:r>
        <w:rPr>
          <w:rFonts w:ascii="Noto Sans CJK SC" w:hAnsi="Noto Sans CJK SC" w:eastAsia="Noto Sans CJK SC"/>
          <w:color w:val="000000"/>
        </w:rPr>
        <w:t xml:space="preserve"> </w:t>
      </w:r>
      <w:r>
        <w:rPr>
          <w:iCs/>
          <w:rFonts w:ascii="Noto Sans CJK SC" w:hAnsi="Noto Sans CJK SC" w:eastAsia="Noto Sans CJK SC"/>
          <w:i/>
          <w:color w:val="000000"/>
        </w:rPr>
        <w:t xml:space="preserve">Smart Robot Industry Promotion Program (2026–2029)</w:t>
      </w:r>
      <w:r>
        <w:rPr>
          <w:rFonts w:ascii="Noto Sans CJK SC" w:hAnsi="Noto Sans CJK SC" w:eastAsia="Noto Sans CJK SC"/>
          <w:color w:val="000000"/>
        </w:rPr>
        <w:t xml:space="preserve">, addressing core technologies, industrial supply chains, cybersecurity standards, regulatory compliance, and market applications (Executive Yuan, 2025). While this program confirms that robotics occupies a high priority on the national agenda, an industrial promotion plan does not resolve underlying ethical dilemmas regarding care quality, user autonomy, or legal liability.</w:t>
      </w:r>
    </w:p>
    <w:p>
      <w:pPr>
        <w:pStyle w:val="BodyText"/>
        <w:widowControl/>
      </w:pPr>
      <w:r>
        <w:rPr>
          <w:rFonts w:ascii="Noto Sans CJK SC" w:hAnsi="Noto Sans CJK SC" w:eastAsia="Noto Sans CJK SC"/>
          <w:color w:val="000000"/>
        </w:rPr>
        <w:t xml:space="preserve">Taiwan's</w:t>
      </w:r>
      <w:r>
        <w:rPr>
          <w:rFonts w:ascii="Noto Sans CJK SC" w:hAnsi="Noto Sans CJK SC" w:eastAsia="Noto Sans CJK SC"/>
          <w:color w:val="000000"/>
        </w:rPr>
        <w:t xml:space="preserve"> </w:t>
      </w:r>
      <w:r>
        <w:rPr>
          <w:iCs/>
          <w:rFonts w:ascii="Noto Sans CJK SC" w:hAnsi="Noto Sans CJK SC" w:eastAsia="Noto Sans CJK SC"/>
          <w:i/>
          <w:color w:val="000000"/>
        </w:rPr>
        <w:t xml:space="preserve">Artificial Intelligence Basic Act</w:t>
      </w:r>
      <w:r>
        <w:rPr>
          <w:rFonts w:ascii="Noto Sans CJK SC" w:hAnsi="Noto Sans CJK SC" w:eastAsia="Noto Sans CJK SC"/>
          <w:color w:val="000000"/>
        </w:rPr>
        <w:t xml:space="preserve"> </w:t>
      </w:r>
      <w:r>
        <w:rPr>
          <w:rFonts w:ascii="Noto Sans CJK SC" w:hAnsi="Noto Sans CJK SC" w:eastAsia="Noto Sans CJK SC"/>
          <w:color w:val="000000"/>
        </w:rPr>
        <w:t xml:space="preserve">(promulgated January 14, 2026) establishes seven core governance principles, designates the National Science and Technology Council (NSTC) as the primary coordinating authority, mandates a national AI strategy committee, establishes risk-based management tiers, and requires comprehensive regulatory reviews within two years. Under this framework, high-risk applications must display clear warnings as designated by competent authorities in coordination with the Ministry of Digital Affairs. Although the Act provides a solid formal structure at Level 2, underlying framing conflicts persist: should domestic care robots be governed primarily as driver of industrial growth, a managed safety risk, or an institutional mechanism to protect human dignity?</w:t>
      </w:r>
    </w:p>
    <w:bookmarkEnd w:id="39"/>
    <w:bookmarkStart w:id="40" w:name="Xd67deb6bae86c61cfd5748b076cb23cf14679d7"/>
    <w:p>
      <w:pPr>
        <w:pStyle w:val="Heading2"/>
        <w:widowControl/>
      </w:pPr>
      <w:r>
        <w:rPr>
          <w:rFonts w:ascii="Noto Sans CJK SC" w:hAnsi="Noto Sans CJK SC" w:eastAsia="Noto Sans CJK SC"/>
          <w:color w:val="000000"/>
        </w:rPr>
        <w:t xml:space="preserve">3. Four Prospective Governance Thought Experiments</w:t>
      </w:r>
    </w:p>
    <w:p>
      <w:pPr>
        <w:pStyle w:val="FirstParagraph"/>
        <w:widowControl/>
      </w:pPr>
      <w:r>
        <w:rPr>
          <w:rFonts w:ascii="Noto Sans CJK SC" w:hAnsi="Noto Sans CJK SC" w:eastAsia="Noto Sans CJK SC"/>
          <w:color w:val="000000"/>
        </w:rPr>
        <w:t xml:space="preserve">The following prospective thought experiments highlight critical legal intersections, serving as analytical stress tests rather than binding legal predictions:</w:t>
      </w:r>
    </w:p>
    <w:p>
      <w:pPr>
        <w:widowControl/>
        <w:numPr>
          <w:ilvl w:val="0"/>
          <w:numId w:val="1003"/>
        </w:numPr>
        <w:pStyle w:val="Compact"/>
      </w:pPr>
      <w:r>
        <w:rPr>
          <w:bCs/>
          <w:rFonts w:ascii="Noto Sans CJK SC" w:hAnsi="Noto Sans CJK SC" w:eastAsia="Noto Sans CJK SC"/>
          <w:b/>
          <w:color w:val="000000"/>
        </w:rPr>
        <w:t xml:space="preserve">Criminal and Civil Attribution in Domestic Defense:</w:t>
      </w:r>
      <w:r>
        <w:rPr>
          <w:rFonts w:ascii="Noto Sans CJK SC" w:hAnsi="Noto Sans CJK SC" w:eastAsia="Noto Sans CJK SC"/>
          <w:color w:val="000000"/>
        </w:rPr>
        <w:t xml:space="preserve"> </w:t>
      </w:r>
      <w:r>
        <w:rPr>
          <w:rFonts w:ascii="Noto Sans CJK SC" w:hAnsi="Noto Sans CJK SC" w:eastAsia="Noto Sans CJK SC"/>
          <w:color w:val="000000"/>
        </w:rPr>
        <w:t xml:space="preserve">If a home assistance robot causes physical injury to an intruder while protecting a resident, legal liability must be systematically traced through algorithmic rules, user settings, proportionality thresholds, product safety standards, and real-time human oversight. Asserting that "the robot made an autonomous decision" is legally untenable.</w:t>
      </w:r>
    </w:p>
    <w:p>
      <w:pPr>
        <w:widowControl/>
        <w:numPr>
          <w:ilvl w:val="0"/>
          <w:numId w:val="1003"/>
        </w:numPr>
        <w:pStyle w:val="Compact"/>
      </w:pPr>
      <w:r>
        <w:rPr>
          <w:bCs/>
          <w:rFonts w:ascii="Noto Sans CJK SC" w:hAnsi="Noto Sans CJK SC" w:eastAsia="Noto Sans CJK SC"/>
          <w:b/>
          <w:color w:val="000000"/>
        </w:rPr>
        <w:t xml:space="preserve">Inheritance vs. Proprietary Cloud Memories:</w:t>
      </w:r>
      <w:r>
        <w:rPr>
          <w:rFonts w:ascii="Noto Sans CJK SC" w:hAnsi="Noto Sans CJK SC" w:eastAsia="Noto Sans CJK SC"/>
          <w:color w:val="000000"/>
        </w:rPr>
        <w:t xml:space="preserve"> </w:t>
      </w:r>
      <w:r>
        <w:rPr>
          <w:rFonts w:ascii="Noto Sans CJK SC" w:hAnsi="Noto Sans CJK SC" w:eastAsia="Noto Sans CJK SC"/>
          <w:color w:val="000000"/>
        </w:rPr>
        <w:t xml:space="preserve">Upon a user's death, physical robotic hardware transfers to legal heirs as personal property. However, personalized interaction histories and cloud-hosted behavioral models remain locked under proprietary terms of service, leaving heirs with a physical shell stripped of its dynamic relational identity.</w:t>
      </w:r>
    </w:p>
    <w:p>
      <w:pPr>
        <w:widowControl/>
        <w:numPr>
          <w:ilvl w:val="0"/>
          <w:numId w:val="1003"/>
        </w:numPr>
        <w:pStyle w:val="Compact"/>
      </w:pPr>
      <w:r>
        <w:rPr>
          <w:bCs/>
          <w:rFonts w:ascii="Noto Sans CJK SC" w:hAnsi="Noto Sans CJK SC" w:eastAsia="Noto Sans CJK SC"/>
          <w:b/>
          <w:color w:val="000000"/>
        </w:rPr>
        <w:t xml:space="preserve">Asset Repossession of Essential Assistive Technology:</w:t>
      </w:r>
      <w:r>
        <w:rPr>
          <w:rFonts w:ascii="Noto Sans CJK SC" w:hAnsi="Noto Sans CJK SC" w:eastAsia="Noto Sans CJK SC"/>
          <w:color w:val="000000"/>
        </w:rPr>
        <w:t xml:space="preserve"> </w:t>
      </w:r>
      <w:r>
        <w:rPr>
          <w:rFonts w:ascii="Noto Sans CJK SC" w:hAnsi="Noto Sans CJK SC" w:eastAsia="Noto Sans CJK SC"/>
          <w:color w:val="000000"/>
        </w:rPr>
        <w:t xml:space="preserve">When a financed care robot faces repossession under standard commercial debt enforcement, severe ethical conflicts emerge if the device serves as the user's primary infrastructure for fall detection, medication delivery, and emergency calls. Applying standardized debt enforcement risks endangering basic human safety. Resolving this requires a functional legal assessment evaluating user disability, actual device reliance, alternative care options, and interruption risks, supported by specific statutory protections.</w:t>
      </w:r>
    </w:p>
    <w:p>
      <w:pPr>
        <w:widowControl/>
        <w:numPr>
          <w:ilvl w:val="0"/>
          <w:numId w:val="1003"/>
        </w:numPr>
        <w:pStyle w:val="Compact"/>
      </w:pPr>
      <w:r>
        <w:rPr>
          <w:bCs/>
          <w:rFonts w:ascii="Noto Sans CJK SC" w:hAnsi="Noto Sans CJK SC" w:eastAsia="Noto Sans CJK SC"/>
          <w:b/>
          <w:color w:val="000000"/>
        </w:rPr>
        <w:t xml:space="preserve">Maintenance, Inspection, and Classification:</w:t>
      </w:r>
      <w:r>
        <w:rPr>
          <w:rFonts w:ascii="Noto Sans CJK SC" w:hAnsi="Noto Sans CJK SC" w:eastAsia="Noto Sans CJK SC"/>
          <w:color w:val="000000"/>
        </w:rPr>
        <w:t xml:space="preserve"> </w:t>
      </w:r>
      <w:r>
        <w:rPr>
          <w:rFonts w:ascii="Noto Sans CJK SC" w:hAnsi="Noto Sans CJK SC" w:eastAsia="Noto Sans CJK SC"/>
          <w:color w:val="000000"/>
        </w:rPr>
        <w:t xml:space="preserve">Regulatory duties depend heavily on whether a care robot is legally classified as a medical device, a long-term care assistive tool, or a general consumer product. A Legislative Yuan analysis emphasized that distinct legal classifications are urgently needed to clarify operational scopes and maintenance duties (Lee, 2022). Establishing periodic safety inspections and mandatory defect recalls represents a far more defensible regulatory approach than enforcing arbitrary generational hardware retirements.</w:t>
      </w:r>
    </w:p>
    <w:bookmarkEnd w:id="40"/>
    <w:bookmarkEnd w:id="41"/>
    <w:bookmarkStart w:id="49" w:name="X0eb42fd7c0c8d6e476cb921ba17e76b273350b7"/>
    <w:p>
      <w:pPr>
        <w:pStyle w:val="Heading1"/>
        <w:widowControl/>
      </w:pPr>
      <w:r>
        <w:rPr>
          <w:rFonts w:ascii="Noto Sans CJK SC" w:hAnsi="Noto Sans CJK SC" w:eastAsia="Noto Sans CJK SC"/>
          <w:color w:val="000000"/>
        </w:rPr>
        <w:t xml:space="preserve">V. Four Governance Chains and Four Intersecting Pathways</w:t>
      </w:r>
    </w:p>
    <w:p>
      <w:pPr>
        <w:pStyle w:val="FirstParagraph"/>
        <w:widowControl/>
      </w:pPr>
      <w:r>
        <w:rPr>
          <w:rFonts w:ascii="Noto Sans CJK SC" w:hAnsi="Noto Sans CJK SC" w:eastAsia="Noto Sans CJK SC"/>
          <w:color w:val="000000"/>
        </w:rPr>
        <w:t xml:space="preserve">Are the four institutional pathways isolated tracks leading to fixed endpoints? They are not. Vendor embedding, government command, market contracting, and multi-stakeholder negotiation continuously intersect, diverge, and recombine. The twenty-five coordinates pinpoint points of conflict; the four governance chains audit framing, authority, justification, and responsibility; the four pathways offer distinct structural approaches; the governance space illustrates hybrid dynamics; and the six-step workflow transforms these concepts into concrete administrative practice.</w:t>
      </w:r>
    </w:p>
    <w:p>
      <w:pPr>
        <w:pStyle w:val="BodyText"/>
        <w:keepNext/>
        <w:widowControl/>
        <w:jc w:val="center"/>
      </w:pPr>
      <w:r>
        <w:rPr>
          <w:rFonts w:ascii="Noto Sans CJK SC" w:hAnsi="Noto Sans CJK SC" w:eastAsia="Noto Sans CJK SC"/>
          <w:color w:val="000000"/>
        </w:rPr>
        <w:t xml:space="preserve">Figure 5.1. Governance Possibility Space across Four Institutional Pathways</w:t>
      </w:r>
    </w:p>
    <w:p>
      <w:pPr>
        <w:pStyle w:val="BodyText"/>
        <w:widowControl/>
      </w:pPr>
      <w:r>
        <w:rPr>
          <w:rFonts w:ascii="Noto Sans CJK SC" w:hAnsi="Noto Sans CJK SC" w:eastAsia="Noto Sans CJK SC"/>
          <w:color w:val="000000"/>
        </w:rPr>
        <w:drawing>
          <wp:inline>
            <wp:extent cx="5334000" cy="3437466"/>
            <wp:effectExtent b="0" l="0" r="0" t="0"/>
            <wp:docPr descr="Figure 5.1." title="" id="43" name="Picture"/>
            <a:graphic>
              <a:graphicData uri="http://schemas.openxmlformats.org/drawingml/2006/picture">
                <pic:pic>
                  <pic:nvPicPr>
                    <pic:cNvPr descr="file:///workspace/scratch/bb520f542ad8/work/extracted/article_media/media/image1.png" id="44" name="Picture"/>
                    <pic:cNvPicPr>
                      <a:picLocks noChangeArrowheads="1" noChangeAspect="1"/>
                    </pic:cNvPicPr>
                  </pic:nvPicPr>
                  <pic:blipFill>
                    <a:blip r:embed="rId42"/>
                    <a:stretch>
                      <a:fillRect/>
                    </a:stretch>
                  </pic:blipFill>
                  <pic:spPr bwMode="auto">
                    <a:xfrm>
                      <a:off x="0" y="0"/>
                      <a:ext cx="5334000" cy="3437466"/>
                    </a:xfrm>
                    <a:prstGeom prst="rect">
                      <a:avLst/>
                    </a:prstGeom>
                    <a:noFill/>
                    <a:ln w="9525">
                      <a:noFill/>
                      <a:headEnd/>
                      <a:tailEnd/>
                    </a:ln>
                  </pic:spPr>
                </pic:pic>
              </a:graphicData>
            </a:graphic>
          </wp:inline>
        </w:drawing>
      </w:r>
    </w:p>
    <w:p>
      <w:pPr>
        <w:pStyle w:val="BodyText"/>
        <w:widowControl/>
      </w:pPr>
      <w:r>
        <w:rPr>
          <w:rFonts w:ascii="Noto Sans CJK SC" w:hAnsi="Noto Sans CJK SC" w:eastAsia="Noto Sans CJK SC"/>
          <w:color w:val="000000"/>
        </w:rPr>
        <w:t xml:space="preserve">Source: Authored by the researcher.</w:t>
      </w:r>
    </w:p>
    <w:p>
      <w:pPr>
        <w:pStyle w:val="BodyText"/>
        <w:keepNext/>
        <w:widowControl/>
        <w:jc w:val="center"/>
      </w:pPr>
      <w:r>
        <w:rPr>
          <w:rFonts w:ascii="Noto Sans CJK SC" w:hAnsi="Noto Sans CJK SC" w:eastAsia="Noto Sans CJK SC"/>
          <w:color w:val="000000"/>
        </w:rPr>
        <w:t xml:space="preserve">Figure 5.1 charts an expandable operational arena for governance options. The intersecting pathways demonstrate that classifications serve as analytical entry points rather than rigid boundaries. The specific dynamics of each pathway are detailed below:</w:t>
      </w:r>
    </w:p>
    <w:bookmarkStart w:id="45" w:name="vendor-embedding"/>
    <w:p>
      <w:pPr>
        <w:pStyle w:val="Heading2"/>
        <w:widowControl/>
      </w:pPr>
      <w:r>
        <w:rPr>
          <w:rFonts w:ascii="Noto Sans CJK SC" w:hAnsi="Noto Sans CJK SC" w:eastAsia="Noto Sans CJK SC"/>
          <w:color w:val="000000"/>
        </w:rPr>
        <w:t xml:space="preserve">1. Vendor Embedding</w:t>
      </w:r>
    </w:p>
    <w:p>
      <w:pPr>
        <w:pStyle w:val="FirstParagraph"/>
        <w:widowControl/>
      </w:pPr>
      <w:r>
        <w:rPr>
          <w:rFonts w:ascii="Noto Sans CJK SC" w:hAnsi="Noto Sans CJK SC" w:eastAsia="Noto Sans CJK SC"/>
          <w:color w:val="000000"/>
        </w:rPr>
        <w:t xml:space="preserve">Commercial developers directly code safety parameters, operational speed, and interaction logic into software architectures and product defaults. While this pathway enables rapid implementation, end-users and civil rights advocates are often forced into purely reactive positions post-deployment. The deeper institutional risk is that suppliers gain de facto authority to define public risks, leaving regulatory agencies to intervene only after severe failures occur.</w:t>
      </w:r>
    </w:p>
    <w:bookmarkEnd w:id="45"/>
    <w:bookmarkStart w:id="46" w:name="government-command"/>
    <w:p>
      <w:pPr>
        <w:pStyle w:val="Heading2"/>
        <w:widowControl/>
      </w:pPr>
      <w:r>
        <w:rPr>
          <w:rFonts w:ascii="Noto Sans CJK SC" w:hAnsi="Noto Sans CJK SC" w:eastAsia="Noto Sans CJK SC"/>
          <w:color w:val="000000"/>
        </w:rPr>
        <w:t xml:space="preserve">2. Government Command</w:t>
      </w:r>
    </w:p>
    <w:p>
      <w:pPr>
        <w:pStyle w:val="FirstParagraph"/>
        <w:widowControl/>
      </w:pPr>
      <w:r>
        <w:rPr>
          <w:rFonts w:ascii="Noto Sans CJK SC" w:hAnsi="Noto Sans CJK SC" w:eastAsia="Noto Sans CJK SC"/>
          <w:color w:val="000000"/>
        </w:rPr>
        <w:t xml:space="preserve">Top-down regulation establishes binding legal minimums and safety baselines. Taiwan's Basic Act defines statutory competencies and risk tiers, mirroring the structured obligations imposed by the EU AI Act on high-risk applications. However, legal mandates alone do not guarantee administrative enforcement capacity. Absent technical expertise and staff, statutory command risks degrading into superficial compliance or imposing overly rigid regulatory frameworks that stifle innovation.</w:t>
      </w:r>
    </w:p>
    <w:bookmarkEnd w:id="46"/>
    <w:bookmarkStart w:id="47" w:name="market-contracting"/>
    <w:p>
      <w:pPr>
        <w:pStyle w:val="Heading2"/>
        <w:widowControl/>
      </w:pPr>
      <w:r>
        <w:rPr>
          <w:rFonts w:ascii="Noto Sans CJK SC" w:hAnsi="Noto Sans CJK SC" w:eastAsia="Noto Sans CJK SC"/>
          <w:color w:val="000000"/>
        </w:rPr>
        <w:t xml:space="preserve">3. Market Contracting</w:t>
      </w:r>
    </w:p>
    <w:p>
      <w:pPr>
        <w:pStyle w:val="FirstParagraph"/>
        <w:widowControl/>
      </w:pPr>
      <w:r>
        <w:rPr>
          <w:rFonts w:ascii="Noto Sans CJK SC" w:hAnsi="Noto Sans CJK SC" w:eastAsia="Noto Sans CJK SC"/>
          <w:color w:val="000000"/>
        </w:rPr>
        <w:t xml:space="preserve">Private service contracts, liability insurance, and civil litigation distribute operational risks across manufacturers, vendors, and consumers. However, older adults and vulnerable users rarely possess equal bargaining power when agreeing to complex end-user terms. Contractual freedom fails to safeguard privacy and public welfare when severe information asymmetries exist.</w:t>
      </w:r>
    </w:p>
    <w:bookmarkEnd w:id="47"/>
    <w:bookmarkStart w:id="48" w:name="multi-stakeholder-negotiation"/>
    <w:p>
      <w:pPr>
        <w:pStyle w:val="Heading2"/>
        <w:widowControl/>
      </w:pPr>
      <w:r>
        <w:rPr>
          <w:rFonts w:ascii="Noto Sans CJK SC" w:hAnsi="Noto Sans CJK SC" w:eastAsia="Noto Sans CJK SC"/>
          <w:color w:val="000000"/>
        </w:rPr>
        <w:t xml:space="preserve">4. Multi-Stakeholder Negotiation</w:t>
      </w:r>
    </w:p>
    <w:p>
      <w:pPr>
        <w:pStyle w:val="FirstParagraph"/>
        <w:widowControl/>
      </w:pPr>
      <w:r>
        <w:rPr>
          <w:rFonts w:ascii="Noto Sans CJK SC" w:hAnsi="Noto Sans CJK SC" w:eastAsia="Noto Sans CJK SC"/>
          <w:color w:val="000000"/>
        </w:rPr>
        <w:t xml:space="preserve">Negotiated governance mandates that manufacturers, users, care practitioners, advocacy groups, and state agencies explicitly justify their analytical frames, legal authorities, and liability commitments before and after system deployment. It translates abstract ethical values into real-world administrative operations, though it does not guarantee automatic consensus. As demonstrated by the 2002–2005 policy discussions, technical engineering frames and social care priorities can remain locked in stalemate for years. Consequently, structured negotiation requires clear agendas, strict deadlines, explicit legal authority, and binding deadlock resolution rules to prevent participation from becoming a strategy for delaying decision-making.</w:t>
      </w:r>
    </w:p>
    <w:p>
      <w:pPr>
        <w:pStyle w:val="BodyText"/>
        <w:widowControl/>
      </w:pPr>
      <w:r>
        <w:rPr>
          <w:rFonts w:ascii="Noto Sans CJK SC" w:hAnsi="Noto Sans CJK SC" w:eastAsia="Noto Sans CJK SC"/>
          <w:color w:val="000000"/>
        </w:rPr>
        <w:t xml:space="preserve">This study advocates for negotiated governance not to discard command, contract, or technical embedding, but to place them within an accountable framework that subjects framing, authority, justification, and responsibility to systematic review. While stakeholder participation strengthens democratic accountability, it does not replace statutory rights and legal duties (Kaminski &amp; Malgieri, 2025). Furthermore, because power asymmetries can distort negotiation dynamics, genuine legitimacy requires equal access to technical information, actionable rights to object, demonstrable influence over policy outcomes, and final decision-making held by legally accountable state authorities.</w:t>
      </w:r>
    </w:p>
    <w:bookmarkEnd w:id="48"/>
    <w:bookmarkEnd w:id="49"/>
    <w:bookmarkStart w:id="61" w:name="Xe9be513226dabbd1e2bbb16d4ca1ef7584958c8"/>
    <w:p>
      <w:pPr>
        <w:pStyle w:val="Heading1"/>
        <w:widowControl/>
      </w:pPr>
      <w:r>
        <w:rPr>
          <w:rFonts w:ascii="Noto Sans CJK SC" w:hAnsi="Noto Sans CJK SC" w:eastAsia="Noto Sans CJK SC"/>
          <w:color w:val="000000"/>
        </w:rPr>
        <w:t xml:space="preserve">VI. Operationalizing the Risk Map and Negotiation Script</w:t>
      </w:r>
    </w:p>
    <w:p>
      <w:pPr>
        <w:pStyle w:val="FirstParagraph"/>
        <w:widowControl/>
      </w:pPr>
      <w:r>
        <w:rPr>
          <w:rFonts w:ascii="Noto Sans CJK SC" w:hAnsi="Noto Sans CJK SC" w:eastAsia="Noto Sans CJK SC"/>
          <w:color w:val="000000"/>
        </w:rPr>
        <w:t xml:space="preserve">The risk map and negotiation script translate the four governance chains into actionable administrative processes. Rather than replacing political judgment, these tools prevent core ethical choices from being obscured by technical default settings or fragmented bureaucratic jurisdictions.</w:t>
      </w:r>
    </w:p>
    <w:bookmarkStart w:id="50" w:name="X16c4ca290b65063b8f5704daf72fa2718bebd11"/>
    <w:p>
      <w:pPr>
        <w:pStyle w:val="Heading2"/>
        <w:widowControl/>
      </w:pPr>
      <w:r>
        <w:rPr>
          <w:rFonts w:ascii="Noto Sans CJK SC" w:hAnsi="Noto Sans CJK SC" w:eastAsia="Noto Sans CJK SC"/>
          <w:color w:val="000000"/>
        </w:rPr>
        <w:t xml:space="preserve">1. Context Construction: Pre-Meeting Disclosure</w:t>
      </w:r>
    </w:p>
    <w:p>
      <w:pPr>
        <w:pStyle w:val="FirstParagraph"/>
        <w:widowControl/>
      </w:pPr>
      <w:r>
        <w:rPr>
          <w:rFonts w:ascii="Noto Sans CJK SC" w:hAnsi="Noto Sans CJK SC" w:eastAsia="Noto Sans CJK SC"/>
          <w:color w:val="000000"/>
        </w:rPr>
        <w:t xml:space="preserve">All participating parties must submit written position papers defining their underlying framing—whether focused on industrial competitiveness, labor shortage mitigation, personal dignity, product safety, or data sovereignty. Core assumptions must be explicitly disclosed prior to deliberation, fulfilling the requirements of representative and discretionary-boundary audits.</w:t>
      </w:r>
    </w:p>
    <w:bookmarkEnd w:id="50"/>
    <w:bookmarkStart w:id="51" w:name="authority-mapping-jurisdiction"/>
    <w:p>
      <w:pPr>
        <w:pStyle w:val="Heading2"/>
        <w:widowControl/>
      </w:pPr>
      <w:r>
        <w:rPr>
          <w:rFonts w:ascii="Noto Sans CJK SC" w:hAnsi="Noto Sans CJK SC" w:eastAsia="Noto Sans CJK SC"/>
          <w:color w:val="000000"/>
        </w:rPr>
        <w:t xml:space="preserve">2. Authority: Mapping Jurisdiction</w:t>
      </w:r>
    </w:p>
    <w:p>
      <w:pPr>
        <w:pStyle w:val="FirstParagraph"/>
        <w:widowControl/>
      </w:pPr>
      <w:r>
        <w:rPr>
          <w:rFonts w:ascii="Noto Sans CJK SC" w:hAnsi="Noto Sans CJK SC" w:eastAsia="Noto Sans CJK SC"/>
          <w:color w:val="000000"/>
        </w:rPr>
        <w:t xml:space="preserve">Stakeholders must detail their explicit legal mandates and statutory competencies, carefully distinguishing advisory expert bodies from legally binding authorities. Operational duties under the</w:t>
      </w:r>
      <w:r>
        <w:rPr>
          <w:rFonts w:ascii="Noto Sans CJK SC" w:hAnsi="Noto Sans CJK SC" w:eastAsia="Noto Sans CJK SC"/>
          <w:color w:val="000000"/>
        </w:rPr>
        <w:t xml:space="preserve"> </w:t>
      </w:r>
      <w:r>
        <w:rPr>
          <w:iCs/>
          <w:rFonts w:ascii="Noto Sans CJK SC" w:hAnsi="Noto Sans CJK SC" w:eastAsia="Noto Sans CJK SC"/>
          <w:i/>
          <w:color w:val="000000"/>
        </w:rPr>
        <w:t xml:space="preserve">Artificial Intelligence Basic Act</w:t>
      </w:r>
      <w:r>
        <w:rPr>
          <w:rFonts w:ascii="Noto Sans CJK SC" w:hAnsi="Noto Sans CJK SC" w:eastAsia="Noto Sans CJK SC"/>
          <w:color w:val="000000"/>
        </w:rPr>
        <w:t xml:space="preserve"> </w:t>
      </w:r>
      <w:r>
        <w:rPr>
          <w:rFonts w:ascii="Noto Sans CJK SC" w:hAnsi="Noto Sans CJK SC" w:eastAsia="Noto Sans CJK SC"/>
          <w:color w:val="000000"/>
        </w:rPr>
        <w:t xml:space="preserve">must be mapped directly to named organizations, satisfying discretionary-boundary and democratic-accountability audits.</w:t>
      </w:r>
    </w:p>
    <w:bookmarkEnd w:id="51"/>
    <w:bookmarkStart w:id="52" w:name="reasons-preparing-comparable-options"/>
    <w:p>
      <w:pPr>
        <w:pStyle w:val="Heading2"/>
        <w:widowControl/>
      </w:pPr>
      <w:r>
        <w:rPr>
          <w:rFonts w:ascii="Noto Sans CJK SC" w:hAnsi="Noto Sans CJK SC" w:eastAsia="Noto Sans CJK SC"/>
          <w:color w:val="000000"/>
        </w:rPr>
        <w:t xml:space="preserve">3. Reasons: Preparing Comparable Options</w:t>
      </w:r>
    </w:p>
    <w:p>
      <w:pPr>
        <w:pStyle w:val="FirstParagraph"/>
        <w:widowControl/>
      </w:pPr>
      <w:r>
        <w:rPr>
          <w:rFonts w:ascii="Noto Sans CJK SC" w:hAnsi="Noto Sans CJK SC" w:eastAsia="Noto Sans CJK SC"/>
          <w:color w:val="000000"/>
        </w:rPr>
        <w:t xml:space="preserve">Deliberation must evaluate at least three distinct, executable policy options—such as mandatory real-time human-machine co-operation, compulsory liability insurance paired with periodic inspections, or tiered functional operational approvals. Each option must be accompanied by plain-language justifications and systematic impact assessments, satisfying reason-giving audits.</w:t>
      </w:r>
    </w:p>
    <w:bookmarkEnd w:id="52"/>
    <w:bookmarkStart w:id="53" w:name="responsibility-ex-ante-commitments"/>
    <w:p>
      <w:pPr>
        <w:pStyle w:val="Heading2"/>
        <w:widowControl/>
      </w:pPr>
      <w:r>
        <w:rPr>
          <w:rFonts w:ascii="Noto Sans CJK SC" w:hAnsi="Noto Sans CJK SC" w:eastAsia="Noto Sans CJK SC"/>
          <w:color w:val="000000"/>
        </w:rPr>
        <w:t xml:space="preserve">4. Responsibility: Ex-Ante Commitments</w:t>
      </w:r>
    </w:p>
    <w:p>
      <w:pPr>
        <w:pStyle w:val="FirstParagraph"/>
        <w:widowControl/>
      </w:pPr>
      <w:r>
        <w:rPr>
          <w:rFonts w:ascii="Noto Sans CJK SC" w:hAnsi="Noto Sans CJK SC" w:eastAsia="Noto Sans CJK SC"/>
          <w:color w:val="000000"/>
        </w:rPr>
        <w:t xml:space="preserve">Participating entities must formally declare the specific liabilities they accept under each proposed option—spanning system design, deployment oversight, real-time supervision, accident investigation, consumer dispute resolution, and emergency shutdown protocols. Clear role assignments and defined remedy channels fulfill responsibility-attribution and organizational-capacity audits.</w:t>
      </w:r>
    </w:p>
    <w:bookmarkEnd w:id="53"/>
    <w:bookmarkStart w:id="54" w:name="Xcfaa507dc4a659a4c21e52b1760cb953c4163d1"/>
    <w:p>
      <w:pPr>
        <w:pStyle w:val="Heading2"/>
        <w:widowControl/>
      </w:pPr>
      <w:r>
        <w:rPr>
          <w:rFonts w:ascii="Noto Sans CJK SC" w:hAnsi="Noto Sans CJK SC" w:eastAsia="Noto Sans CJK SC"/>
          <w:color w:val="000000"/>
        </w:rPr>
        <w:t xml:space="preserve">5. Graded Deadlock Resolution and Reversion Point</w:t>
      </w:r>
    </w:p>
    <w:p>
      <w:pPr>
        <w:pStyle w:val="FirstParagraph"/>
        <w:widowControl/>
      </w:pPr>
      <w:r>
        <w:rPr>
          <w:rFonts w:ascii="Noto Sans CJK SC" w:hAnsi="Noto Sans CJK SC" w:eastAsia="Noto Sans CJK SC"/>
          <w:color w:val="000000"/>
        </w:rPr>
        <w:t xml:space="preserve">Negotiation lacking definitive deadlock rules risks converting public participation into endless administrative delay. At initiation, the process must establish clear timelines, minimum evidentiary standards, required participants, and explicit deadlock triggers.</w:t>
      </w:r>
    </w:p>
    <w:p>
      <w:pPr>
        <w:widowControl/>
        <w:numPr>
          <w:ilvl w:val="0"/>
          <w:numId w:val="1004"/>
        </w:numPr>
        <w:pStyle w:val="Compact"/>
      </w:pPr>
      <w:r>
        <w:rPr>
          <w:bCs/>
          <w:rFonts w:ascii="Noto Sans CJK SC" w:hAnsi="Noto Sans CJK SC" w:eastAsia="Noto Sans CJK SC"/>
          <w:b/>
          <w:color w:val="000000"/>
        </w:rPr>
        <w:t xml:space="preserve">Trigger:</w:t>
      </w:r>
      <w:r>
        <w:rPr>
          <w:rFonts w:ascii="Noto Sans CJK SC" w:hAnsi="Noto Sans CJK SC" w:eastAsia="Noto Sans CJK SC"/>
          <w:color w:val="000000"/>
        </w:rPr>
        <w:t xml:space="preserve"> </w:t>
      </w:r>
      <w:r>
        <w:rPr>
          <w:rFonts w:ascii="Noto Sans CJK SC" w:hAnsi="Noto Sans CJK SC" w:eastAsia="Noto Sans CJK SC"/>
          <w:color w:val="000000"/>
        </w:rPr>
        <w:t xml:space="preserve">Deadlock is formally triggered when established deadlines expire without an executable policy choice, when a key actor refuses to disclose essential data or accept statutory liability, or when all proposed options violate core safety or human rights baselines. Formal dissenting opinions must be officially recorded.</w:t>
      </w:r>
    </w:p>
    <w:p>
      <w:pPr>
        <w:widowControl/>
        <w:numPr>
          <w:ilvl w:val="0"/>
          <w:numId w:val="1004"/>
        </w:numPr>
        <w:pStyle w:val="Compact"/>
      </w:pPr>
      <w:r>
        <w:rPr>
          <w:bCs/>
          <w:rFonts w:ascii="Noto Sans CJK SC" w:hAnsi="Noto Sans CJK SC" w:eastAsia="Noto Sans CJK SC"/>
          <w:b/>
          <w:color w:val="000000"/>
        </w:rPr>
        <w:t xml:space="preserve">High-Risk Reversion:</w:t>
      </w:r>
      <w:r>
        <w:rPr>
          <w:rFonts w:ascii="Noto Sans CJK SC" w:hAnsi="Noto Sans CJK SC" w:eastAsia="Noto Sans CJK SC"/>
          <w:color w:val="000000"/>
        </w:rPr>
        <w:t xml:space="preserve"> </w:t>
      </w:r>
      <w:r>
        <w:rPr>
          <w:rFonts w:ascii="Noto Sans CJK SC" w:hAnsi="Noto Sans CJK SC" w:eastAsia="Noto Sans CJK SC"/>
          <w:color w:val="000000"/>
        </w:rPr>
        <w:t xml:space="preserve">For robotic systems impacting physical safety, irreversible rights violations, continuous home surveillance, or vulnerable populations, deadlock automatically triggers immediate system suspension, feature degradation, or reversion to a strict command-based regulatory baseline. Temporary risk control serves as a protective measure, not a permanent endpoint.</w:t>
      </w:r>
    </w:p>
    <w:p>
      <w:pPr>
        <w:widowControl/>
        <w:numPr>
          <w:ilvl w:val="0"/>
          <w:numId w:val="1004"/>
        </w:numPr>
        <w:pStyle w:val="Compact"/>
      </w:pPr>
      <w:r>
        <w:rPr>
          <w:bCs/>
          <w:rFonts w:ascii="Noto Sans CJK SC" w:hAnsi="Noto Sans CJK SC" w:eastAsia="Noto Sans CJK SC"/>
          <w:b/>
          <w:color w:val="000000"/>
        </w:rPr>
        <w:t xml:space="preserve">Lower-Risk Interim Measures:</w:t>
      </w:r>
      <w:r>
        <w:rPr>
          <w:rFonts w:ascii="Noto Sans CJK SC" w:hAnsi="Noto Sans CJK SC" w:eastAsia="Noto Sans CJK SC"/>
          <w:color w:val="000000"/>
        </w:rPr>
        <w:t xml:space="preserve"> </w:t>
      </w:r>
      <w:r>
        <w:rPr>
          <w:rFonts w:ascii="Noto Sans CJK SC" w:hAnsi="Noto Sans CJK SC" w:eastAsia="Noto Sans CJK SC"/>
          <w:color w:val="000000"/>
        </w:rPr>
        <w:t xml:space="preserve">Where operational risks are fully reversible and human intervention remains effective, competent authorities may authorize time-limited field trials featuring restricted deployment sites, reduced user cohorts, mandatory human override, heightened monitoring, and explicit review schedules. Exceeding predefined risk thresholds instantly activates high-risk reversion.</w:t>
      </w:r>
    </w:p>
    <w:p>
      <w:pPr>
        <w:widowControl/>
        <w:numPr>
          <w:ilvl w:val="0"/>
          <w:numId w:val="1004"/>
        </w:numPr>
        <w:pStyle w:val="Compact"/>
      </w:pPr>
      <w:r>
        <w:rPr>
          <w:bCs/>
          <w:rFonts w:ascii="Noto Sans CJK SC" w:hAnsi="Noto Sans CJK SC" w:eastAsia="Noto Sans CJK SC"/>
          <w:b/>
          <w:color w:val="000000"/>
        </w:rPr>
        <w:t xml:space="preserve">Authority and Reason-Giving:</w:t>
      </w:r>
      <w:r>
        <w:rPr>
          <w:rFonts w:ascii="Noto Sans CJK SC" w:hAnsi="Noto Sans CJK SC" w:eastAsia="Noto Sans CJK SC"/>
          <w:color w:val="000000"/>
        </w:rPr>
        <w:t xml:space="preserve"> </w:t>
      </w:r>
      <w:r>
        <w:rPr>
          <w:rFonts w:ascii="Noto Sans CJK SC" w:hAnsi="Noto Sans CJK SC" w:eastAsia="Noto Sans CJK SC"/>
          <w:color w:val="000000"/>
        </w:rPr>
        <w:t xml:space="preserve">Interim operational approvals must be executed directly by competent state agencies rather than advisory deliberative bodies. The administrative record must articulate core justifications, rejected alternatives, minority objections, responsible officials, and mandatory review dates.</w:t>
      </w:r>
    </w:p>
    <w:p>
      <w:pPr>
        <w:widowControl/>
        <w:numPr>
          <w:ilvl w:val="0"/>
          <w:numId w:val="1004"/>
        </w:numPr>
        <w:pStyle w:val="Compact"/>
      </w:pPr>
      <w:r>
        <w:rPr>
          <w:bCs/>
          <w:rFonts w:ascii="Noto Sans CJK SC" w:hAnsi="Noto Sans CJK SC" w:eastAsia="Noto Sans CJK SC"/>
          <w:b/>
          <w:color w:val="000000"/>
        </w:rPr>
        <w:t xml:space="preserve">Process Restart:</w:t>
      </w:r>
      <w:r>
        <w:rPr>
          <w:rFonts w:ascii="Noto Sans CJK SC" w:hAnsi="Noto Sans CJK SC" w:eastAsia="Noto Sans CJK SC"/>
          <w:color w:val="000000"/>
        </w:rPr>
        <w:t xml:space="preserve"> </w:t>
      </w:r>
      <w:r>
        <w:rPr>
          <w:rFonts w:ascii="Noto Sans CJK SC" w:hAnsi="Noto Sans CJK SC" w:eastAsia="Noto Sans CJK SC"/>
          <w:color w:val="000000"/>
        </w:rPr>
        <w:t xml:space="preserve">Stakeholders may petition to reopen formal negotiations upon presenting novel technical evidence, verified architectural updates, expanded organizational capacity, or revised liability commitments. The regulatory authority must verify that deadlock triggers have been resolved before granting renewed trial approvals.</w:t>
      </w:r>
    </w:p>
    <w:bookmarkEnd w:id="54"/>
    <w:bookmarkStart w:id="58" w:name="Xfb94749ddc158f074659b204988e6b6038443b3"/>
    <w:p>
      <w:pPr>
        <w:pStyle w:val="Heading2"/>
        <w:widowControl/>
      </w:pPr>
      <w:r>
        <w:rPr>
          <w:rFonts w:ascii="Noto Sans CJK SC" w:hAnsi="Noto Sans CJK SC" w:eastAsia="Noto Sans CJK SC"/>
          <w:color w:val="000000"/>
        </w:rPr>
        <w:t xml:space="preserve">6. Six-Step Workflow for Government Research Units</w:t>
      </w:r>
    </w:p>
    <w:p>
      <w:pPr>
        <w:pStyle w:val="FirstParagraph"/>
        <w:widowControl/>
      </w:pPr>
      <w:r>
        <w:rPr>
          <w:rFonts w:ascii="Noto Sans CJK SC" w:hAnsi="Noto Sans CJK SC" w:eastAsia="Noto Sans CJK SC"/>
          <w:color w:val="000000"/>
        </w:rPr>
        <w:t xml:space="preserve">Public agency researchers should avoid making value choices on behalf of elected officials or public stakeholders. Instead, their task is to organize framing assumptions, legal authorities, justifications, liabilities, and exit protocols into decision-ready policy packages.</w:t>
      </w:r>
    </w:p>
    <w:p>
      <w:pPr>
        <w:pStyle w:val="BodyText"/>
        <w:keepNext/>
        <w:widowControl/>
        <w:jc w:val="center"/>
      </w:pPr>
      <w:r>
        <w:rPr>
          <w:rFonts w:ascii="Noto Sans CJK SC" w:hAnsi="Noto Sans CJK SC" w:eastAsia="Noto Sans CJK SC"/>
          <w:color w:val="000000"/>
        </w:rPr>
        <w:t xml:space="preserve">Figure 6.1. Six-Step Workflow for Administrative Translation</w:t>
      </w:r>
    </w:p>
    <w:p>
      <w:pPr>
        <w:pStyle w:val="BodyText"/>
        <w:widowControl/>
      </w:pPr>
      <w:r>
        <w:rPr>
          <w:rFonts w:ascii="Noto Sans CJK SC" w:hAnsi="Noto Sans CJK SC" w:eastAsia="Noto Sans CJK SC"/>
          <w:color w:val="000000"/>
        </w:rPr>
        <w:drawing>
          <wp:inline>
            <wp:extent cx="5334000" cy="2933700"/>
            <wp:effectExtent b="0" l="0" r="0" t="0"/>
            <wp:docPr descr="Figure 6.1." title="" id="56" name="Picture"/>
            <a:graphic>
              <a:graphicData uri="http://schemas.openxmlformats.org/drawingml/2006/picture">
                <pic:pic>
                  <pic:nvPicPr>
                    <pic:cNvPr descr="file:///workspace/scratch/bb520f542ad8/work/extracted/article_media/media/image2.png" id="57" name="Picture"/>
                    <pic:cNvPicPr>
                      <a:picLocks noChangeArrowheads="1" noChangeAspect="1"/>
                    </pic:cNvPicPr>
                  </pic:nvPicPr>
                  <pic:blipFill>
                    <a:blip r:embed="rId55"/>
                    <a:stretch>
                      <a:fillRect/>
                    </a:stretch>
                  </pic:blipFill>
                  <pic:spPr bwMode="auto">
                    <a:xfrm>
                      <a:off x="0" y="0"/>
                      <a:ext cx="5334000" cy="2933700"/>
                    </a:xfrm>
                    <a:prstGeom prst="rect">
                      <a:avLst/>
                    </a:prstGeom>
                    <a:noFill/>
                    <a:ln w="9525">
                      <a:noFill/>
                      <a:headEnd/>
                      <a:tailEnd/>
                    </a:ln>
                  </pic:spPr>
                </pic:pic>
              </a:graphicData>
            </a:graphic>
          </wp:inline>
        </w:drawing>
      </w:r>
    </w:p>
    <w:p>
      <w:pPr>
        <w:pStyle w:val="BodyText"/>
        <w:widowControl/>
      </w:pPr>
      <w:r>
        <w:rPr>
          <w:rFonts w:ascii="Noto Sans CJK SC" w:hAnsi="Noto Sans CJK SC" w:eastAsia="Noto Sans CJK SC"/>
          <w:color w:val="000000"/>
        </w:rPr>
        <w:t xml:space="preserve">Source: Authored by the researcher.</w:t>
      </w:r>
    </w:p>
    <w:p>
      <w:pPr>
        <w:widowControl/>
        <w:numPr>
          <w:ilvl w:val="0"/>
          <w:numId w:val="1005"/>
        </w:numPr>
        <w:pStyle w:val="Compact"/>
      </w:pPr>
      <w:r>
        <w:rPr>
          <w:bCs/>
          <w:rFonts w:ascii="Noto Sans CJK SC" w:hAnsi="Noto Sans CJK SC" w:eastAsia="Noto Sans CJK SC"/>
          <w:b/>
          <w:color w:val="000000"/>
        </w:rPr>
        <w:t xml:space="preserve">Step 1: Define the Governance Context.</w:t>
      </w:r>
      <w:r>
        <w:rPr>
          <w:rFonts w:ascii="Noto Sans CJK SC" w:hAnsi="Noto Sans CJK SC" w:eastAsia="Noto Sans CJK SC"/>
          <w:color w:val="000000"/>
        </w:rPr>
        <w:t xml:space="preserve"> </w:t>
      </w:r>
      <w:r>
        <w:rPr>
          <w:rFonts w:ascii="Noto Sans CJK SC" w:hAnsi="Noto Sans CJK SC" w:eastAsia="Noto Sans CJK SC"/>
          <w:color w:val="000000"/>
        </w:rPr>
        <w:t xml:space="preserve">Document the physical deployment setting, primary operational functions, system autonomy level, affected user cohorts, and failure consequences. Replace vague goals with precise operational boundaries, distinguishing simple reminders from continuous monitoring or automated decision-making.</w:t>
      </w:r>
    </w:p>
    <w:p>
      <w:pPr>
        <w:widowControl/>
        <w:numPr>
          <w:ilvl w:val="0"/>
          <w:numId w:val="1005"/>
        </w:numPr>
        <w:pStyle w:val="Compact"/>
      </w:pPr>
      <w:r>
        <w:rPr>
          <w:bCs/>
          <w:rFonts w:ascii="Noto Sans CJK SC" w:hAnsi="Noto Sans CJK SC" w:eastAsia="Noto Sans CJK SC"/>
          <w:b/>
          <w:color w:val="000000"/>
        </w:rPr>
        <w:t xml:space="preserve">Step 2: Produce a One-Page Risk Map.</w:t>
      </w:r>
      <w:r>
        <w:rPr>
          <w:rFonts w:ascii="Noto Sans CJK SC" w:hAnsi="Noto Sans CJK SC" w:eastAsia="Noto Sans CJK SC"/>
          <w:color w:val="000000"/>
        </w:rPr>
        <w:t xml:space="preserve"> </w:t>
      </w:r>
      <w:r>
        <w:rPr>
          <w:rFonts w:ascii="Noto Sans CJK SC" w:hAnsi="Noto Sans CJK SC" w:eastAsia="Noto Sans CJK SC"/>
          <w:color w:val="000000"/>
        </w:rPr>
        <w:t xml:space="preserve">Catalog specific risk vectors, affected groups, conflicting values, risk origins, primary risk-controlling entities, empirical evidence, incident reporting channels, and available legal remedies.</w:t>
      </w:r>
    </w:p>
    <w:p>
      <w:pPr>
        <w:widowControl/>
        <w:numPr>
          <w:ilvl w:val="0"/>
          <w:numId w:val="1005"/>
        </w:numPr>
        <w:pStyle w:val="Compact"/>
      </w:pPr>
      <w:r>
        <w:rPr>
          <w:bCs/>
          <w:rFonts w:ascii="Noto Sans CJK SC" w:hAnsi="Noto Sans CJK SC" w:eastAsia="Noto Sans CJK SC"/>
          <w:b/>
          <w:color w:val="000000"/>
        </w:rPr>
        <w:t xml:space="preserve">Step 3: Audit the Four Governance Chains.</w:t>
      </w:r>
      <w:r>
        <w:rPr>
          <w:rFonts w:ascii="Noto Sans CJK SC" w:hAnsi="Noto Sans CJK SC" w:eastAsia="Noto Sans CJK SC"/>
          <w:color w:val="000000"/>
        </w:rPr>
        <w:t xml:space="preserve"> </w:t>
      </w:r>
      <w:r>
        <w:rPr>
          <w:rFonts w:ascii="Noto Sans CJK SC" w:hAnsi="Noto Sans CJK SC" w:eastAsia="Noto Sans CJK SC"/>
          <w:color w:val="000000"/>
        </w:rPr>
        <w:t xml:space="preserve">Systematically verify who defined the primary problem frame, identify legal and final authorities, evaluate at least three viable options, and specify designated actors for incident handling, system shutdowns, and user remedies. Highlight any broken links as unassigned institutional risks.</w:t>
      </w:r>
    </w:p>
    <w:p>
      <w:pPr>
        <w:widowControl/>
        <w:numPr>
          <w:ilvl w:val="0"/>
          <w:numId w:val="1005"/>
        </w:numPr>
        <w:pStyle w:val="Compact"/>
      </w:pPr>
      <w:r>
        <w:rPr>
          <w:bCs/>
          <w:rFonts w:ascii="Noto Sans CJK SC" w:hAnsi="Noto Sans CJK SC" w:eastAsia="Noto Sans CJK SC"/>
          <w:b/>
          <w:color w:val="000000"/>
        </w:rPr>
        <w:t xml:space="preserve">Step 4: Compare Pathways and Hybrids.</w:t>
      </w:r>
      <w:r>
        <w:rPr>
          <w:rFonts w:ascii="Noto Sans CJK SC" w:hAnsi="Noto Sans CJK SC" w:eastAsia="Noto Sans CJK SC"/>
          <w:color w:val="000000"/>
        </w:rPr>
        <w:t xml:space="preserve"> </w:t>
      </w:r>
      <w:r>
        <w:rPr>
          <w:rFonts w:ascii="Noto Sans CJK SC" w:hAnsi="Noto Sans CJK SC" w:eastAsia="Noto Sans CJK SC"/>
          <w:color w:val="000000"/>
        </w:rPr>
        <w:t xml:space="preserve">Systematically evaluate vendor embedding, government command, market contracting, and multi-stakeholder negotiation across operational effectiveness, normative legitimacy, administrative capacity, and responsibility risks, building effective hybrid arrangements where appropriate.</w:t>
      </w:r>
    </w:p>
    <w:p>
      <w:pPr>
        <w:widowControl/>
        <w:numPr>
          <w:ilvl w:val="0"/>
          <w:numId w:val="1005"/>
        </w:numPr>
        <w:pStyle w:val="Compact"/>
      </w:pPr>
      <w:r>
        <w:rPr>
          <w:bCs/>
          <w:rFonts w:ascii="Noto Sans CJK SC" w:hAnsi="Noto Sans CJK SC" w:eastAsia="Noto Sans CJK SC"/>
          <w:b/>
          <w:color w:val="000000"/>
        </w:rPr>
        <w:t xml:space="preserve">Step 5: Establish the Default Reversion Point.</w:t>
      </w:r>
      <w:r>
        <w:rPr>
          <w:rFonts w:ascii="Noto Sans CJK SC" w:hAnsi="Noto Sans CJK SC" w:eastAsia="Noto Sans CJK SC"/>
          <w:color w:val="000000"/>
        </w:rPr>
        <w:t xml:space="preserve"> </w:t>
      </w:r>
      <w:r>
        <w:rPr>
          <w:rFonts w:ascii="Noto Sans CJK SC" w:hAnsi="Noto Sans CJK SC" w:eastAsia="Noto Sans CJK SC"/>
          <w:color w:val="000000"/>
        </w:rPr>
        <w:t xml:space="preserve">Define clear operational suspension triggers, manual fallback protocols, designated decision-makers, user notification procedures, data logging mandates, and re-certification conditions. Ensure "human control" functions as an executable operational protocol rather than an abstract principle.</w:t>
      </w:r>
    </w:p>
    <w:p>
      <w:pPr>
        <w:widowControl/>
        <w:numPr>
          <w:ilvl w:val="0"/>
          <w:numId w:val="1005"/>
        </w:numPr>
        <w:pStyle w:val="Compact"/>
      </w:pPr>
      <w:r>
        <w:rPr>
          <w:bCs/>
          <w:rFonts w:ascii="Noto Sans CJK SC" w:hAnsi="Noto Sans CJK SC" w:eastAsia="Noto Sans CJK SC"/>
          <w:b/>
          <w:color w:val="000000"/>
        </w:rPr>
        <w:t xml:space="preserve">Step 6: Assemble the Final Decision Package.</w:t>
      </w:r>
      <w:r>
        <w:rPr>
          <w:rFonts w:ascii="Noto Sans CJK SC" w:hAnsi="Noto Sans CJK SC" w:eastAsia="Noto Sans CJK SC"/>
          <w:color w:val="000000"/>
        </w:rPr>
        <w:t xml:space="preserve"> </w:t>
      </w:r>
      <w:r>
        <w:rPr>
          <w:rFonts w:ascii="Noto Sans CJK SC" w:hAnsi="Noto Sans CJK SC" w:eastAsia="Noto Sans CJK SC"/>
          <w:color w:val="000000"/>
        </w:rPr>
        <w:t xml:space="preserve">Compile the complete risk map, interagency responsibility matrix, comparative options analysis, designated accountable officials, pilot operational conditions, and public justification summaries, transforming research insights into actionable administrative specifications.</w:t>
      </w:r>
    </w:p>
    <w:bookmarkEnd w:id="58"/>
    <w:bookmarkStart w:id="59" w:name="X2dc6a1f8a30f12c873340c68ea7770c431b8ae1"/>
    <w:p>
      <w:pPr>
        <w:pStyle w:val="Heading2"/>
        <w:widowControl/>
      </w:pPr>
      <w:r>
        <w:rPr>
          <w:rFonts w:ascii="Noto Sans CJK SC" w:hAnsi="Noto Sans CJK SC" w:eastAsia="Noto Sans CJK SC"/>
          <w:color w:val="000000"/>
        </w:rPr>
        <w:t xml:space="preserve">7. Interagency Division of Work and Direct Outputs</w:t>
      </w:r>
    </w:p>
    <w:tbl>
      <w:tblPr>
        <w:tblStyle w:val="Table"/>
        <w:tblW w:type="auto" w:w="0"/>
        <w:jc w:val="center"/>
        <w:tblLayout w:type="autofit"/>
        <w:tblLook w:firstRow="1" w:lastRow="0" w:firstColumn="0" w:lastColumn="0" w:noHBand="0" w:noVBand="0" w:val="0020"/>
      </w:tblPr>
      <w:tblGrid>
        <w:gridCol w:w="2640"/>
        <w:gridCol w:w="2640"/>
        <w:gridCol w:w="2640"/>
      </w:tblGrid>
      <w:tr>
        <w:trPr>
          <w:tblHeader w:val="true"/>
        </w:trPr>
        <w:tc>
          <w:tcPr>
            <w:vAlign w:val="center"/>
            <w:shd w:fill="D9E2F3"/>
          </w:tcPr>
          <w:p>
            <w:pPr>
              <w:pStyle w:val="Compact"/>
              <w:spacing w:after="40" w:line="240" w:lineRule="auto"/>
              <w:jc w:val="left"/>
            </w:pPr>
            <w:r>
              <w:rPr>
                <w:rFonts w:ascii="Noto Sans CJK SC" w:hAnsi="Noto Sans CJK SC" w:eastAsia="Noto Sans CJK SC"/>
                <w:b/>
                <w:color w:val="000000"/>
                <w:sz w:val="18"/>
              </w:rPr>
              <w:t xml:space="preserve">Government Unit</w:t>
            </w:r>
          </w:p>
        </w:tc>
        <w:tc>
          <w:tcPr>
            <w:vAlign w:val="center"/>
            <w:shd w:fill="D9E2F3"/>
          </w:tcPr>
          <w:p>
            <w:pPr>
              <w:pStyle w:val="Compact"/>
              <w:spacing w:after="40" w:line="240" w:lineRule="auto"/>
              <w:jc w:val="left"/>
            </w:pPr>
            <w:r>
              <w:rPr>
                <w:rFonts w:ascii="Noto Sans CJK SC" w:hAnsi="Noto Sans CJK SC" w:eastAsia="Noto Sans CJK SC"/>
                <w:b/>
                <w:color w:val="000000"/>
                <w:sz w:val="18"/>
              </w:rPr>
              <w:t xml:space="preserve">Principal Governance Task</w:t>
            </w:r>
          </w:p>
        </w:tc>
        <w:tc>
          <w:tcPr>
            <w:vAlign w:val="center"/>
            <w:shd w:fill="D9E2F3"/>
          </w:tcPr>
          <w:p>
            <w:pPr>
              <w:pStyle w:val="Compact"/>
              <w:spacing w:after="40" w:line="240" w:lineRule="auto"/>
              <w:jc w:val="left"/>
            </w:pPr>
            <w:r>
              <w:rPr>
                <w:rFonts w:ascii="Noto Sans CJK SC" w:hAnsi="Noto Sans CJK SC" w:eastAsia="Noto Sans CJK SC"/>
                <w:b/>
                <w:color w:val="000000"/>
                <w:sz w:val="18"/>
              </w:rPr>
              <w:t xml:space="preserve">Direct Administrative Output</w:t>
            </w:r>
          </w:p>
        </w:tc>
      </w:tr>
      <w:tr>
        <w:trPr/>
        <w:tc>
          <w:tcPr>
            <w:vAlign w:val="center"/>
            <w:shd w:fill="FFFFFF"/>
          </w:tcPr>
          <w:p>
            <w:pPr>
              <w:pStyle w:val="Compact"/>
              <w:spacing w:after="40" w:line="240" w:lineRule="auto"/>
              <w:jc w:val="left"/>
            </w:pPr>
            <w:r>
              <w:rPr>
                <w:bCs/>
                <w:rFonts w:ascii="Noto Sans CJK SC" w:hAnsi="Noto Sans CJK SC" w:eastAsia="Noto Sans CJK SC"/>
                <w:b/>
                <w:color w:val="000000"/>
                <w:sz w:val="18"/>
              </w:rPr>
              <w:t xml:space="preserve">National Science and Technology Council (NSTC)</w:t>
            </w:r>
          </w:p>
        </w:tc>
        <w:tc>
          <w:tcPr>
            <w:vAlign w:val="center"/>
            <w:shd w:fill="FFFFFF"/>
          </w:tcPr>
          <w:p>
            <w:pPr>
              <w:pStyle w:val="Compact"/>
              <w:spacing w:after="40" w:line="240" w:lineRule="auto"/>
              <w:jc w:val="left"/>
            </w:pPr>
            <w:r>
              <w:rPr>
                <w:rFonts w:ascii="Noto Sans CJK SC" w:hAnsi="Noto Sans CJK SC" w:eastAsia="Noto Sans CJK SC"/>
                <w:color w:val="000000"/>
                <w:sz w:val="18"/>
              </w:rPr>
              <w:t xml:space="preserve">Strategic foresight, research funding, technology policy, interagency coordination</w:t>
            </w:r>
          </w:p>
        </w:tc>
        <w:tc>
          <w:tcPr>
            <w:vAlign w:val="center"/>
            <w:shd w:fill="FFFFFF"/>
          </w:tcPr>
          <w:p>
            <w:pPr>
              <w:pStyle w:val="Compact"/>
              <w:spacing w:after="40" w:line="240" w:lineRule="auto"/>
              <w:jc w:val="left"/>
            </w:pPr>
            <w:r>
              <w:rPr>
                <w:rFonts w:ascii="Noto Sans CJK SC" w:hAnsi="Noto Sans CJK SC" w:eastAsia="Noto Sans CJK SC"/>
                <w:color w:val="000000"/>
                <w:sz w:val="18"/>
              </w:rPr>
              <w:t xml:space="preserve">Grant conditions, risk classification frameworks, ethical/social impact rules, testbed governance, exit protocols</w:t>
            </w:r>
          </w:p>
        </w:tc>
      </w:tr>
      <w:tr>
        <w:trPr/>
        <w:tc>
          <w:tcPr>
            <w:vAlign w:val="center"/>
            <w:shd w:fill="F7FAFC"/>
          </w:tcPr>
          <w:p>
            <w:pPr>
              <w:pStyle w:val="Compact"/>
              <w:spacing w:after="40" w:line="240" w:lineRule="auto"/>
              <w:jc w:val="left"/>
            </w:pPr>
            <w:r>
              <w:rPr>
                <w:bCs/>
                <w:rFonts w:ascii="Noto Sans CJK SC" w:hAnsi="Noto Sans CJK SC" w:eastAsia="Noto Sans CJK SC"/>
                <w:b/>
                <w:color w:val="000000"/>
                <w:sz w:val="18"/>
              </w:rPr>
              <w:t xml:space="preserve">Ministry of Digital Affairs (MoDA)</w:t>
            </w:r>
          </w:p>
        </w:tc>
        <w:tc>
          <w:tcPr>
            <w:vAlign w:val="center"/>
            <w:shd w:fill="F7FAFC"/>
          </w:tcPr>
          <w:p>
            <w:pPr>
              <w:pStyle w:val="Compact"/>
              <w:spacing w:after="40" w:line="240" w:lineRule="auto"/>
              <w:jc w:val="left"/>
            </w:pPr>
            <w:r>
              <w:rPr>
                <w:rFonts w:ascii="Noto Sans CJK SC" w:hAnsi="Noto Sans CJK SC" w:eastAsia="Noto Sans CJK SC"/>
                <w:color w:val="000000"/>
                <w:sz w:val="18"/>
              </w:rPr>
              <w:t xml:space="preserve">Data governance, cybersecurity standards, algorithmic transparency, logging, public procurement rules</w:t>
            </w:r>
          </w:p>
        </w:tc>
        <w:tc>
          <w:tcPr>
            <w:vAlign w:val="center"/>
            <w:shd w:fill="F7FAFC"/>
          </w:tcPr>
          <w:p>
            <w:pPr>
              <w:pStyle w:val="Compact"/>
              <w:spacing w:after="40" w:line="240" w:lineRule="auto"/>
              <w:jc w:val="left"/>
            </w:pPr>
            <w:r>
              <w:rPr>
                <w:rFonts w:ascii="Noto Sans CJK SC" w:hAnsi="Noto Sans CJK SC" w:eastAsia="Noto Sans CJK SC"/>
                <w:color w:val="000000"/>
                <w:sz w:val="18"/>
              </w:rPr>
              <w:t xml:space="preserve">Procurement clauses, audit formats, incident reporting protocols, software update/retirement duties, transparency summaries</w:t>
            </w:r>
          </w:p>
        </w:tc>
      </w:tr>
      <w:tr>
        <w:trPr/>
        <w:tc>
          <w:tcPr>
            <w:vAlign w:val="center"/>
            <w:shd w:fill="FFFFFF"/>
          </w:tcPr>
          <w:p>
            <w:pPr>
              <w:pStyle w:val="Compact"/>
              <w:spacing w:after="40" w:line="240" w:lineRule="auto"/>
              <w:jc w:val="left"/>
            </w:pPr>
            <w:r>
              <w:rPr>
                <w:bCs/>
                <w:rFonts w:ascii="Noto Sans CJK SC" w:hAnsi="Noto Sans CJK SC" w:eastAsia="Noto Sans CJK SC"/>
                <w:b/>
                <w:color w:val="000000"/>
                <w:sz w:val="18"/>
              </w:rPr>
              <w:t xml:space="preserve">Ministry of Health and Welfare (MOHW) &amp; Sectoral Authorities</w:t>
            </w:r>
          </w:p>
        </w:tc>
        <w:tc>
          <w:tcPr>
            <w:vAlign w:val="center"/>
            <w:shd w:fill="FFFFFF"/>
          </w:tcPr>
          <w:p>
            <w:pPr>
              <w:pStyle w:val="Compact"/>
              <w:spacing w:after="40" w:line="240" w:lineRule="auto"/>
              <w:jc w:val="left"/>
            </w:pPr>
            <w:r>
              <w:rPr>
                <w:rFonts w:ascii="Noto Sans CJK SC" w:hAnsi="Noto Sans CJK SC" w:eastAsia="Noto Sans CJK SC"/>
                <w:color w:val="000000"/>
                <w:sz w:val="18"/>
              </w:rPr>
              <w:t xml:space="preserve">Informed consent/refusal, human oversight boundaries, service quality, protection of vulnerable groups, legal remedies</w:t>
            </w:r>
          </w:p>
        </w:tc>
        <w:tc>
          <w:tcPr>
            <w:vAlign w:val="center"/>
            <w:shd w:fill="FFFFFF"/>
          </w:tcPr>
          <w:p>
            <w:pPr>
              <w:pStyle w:val="Compact"/>
              <w:spacing w:after="40" w:line="240" w:lineRule="auto"/>
              <w:jc w:val="left"/>
            </w:pPr>
            <w:r>
              <w:rPr>
                <w:rFonts w:ascii="Noto Sans CJK SC" w:hAnsi="Noto Sans CJK SC" w:eastAsia="Noto Sans CJK SC"/>
                <w:color w:val="000000"/>
                <w:sz w:val="18"/>
              </w:rPr>
              <w:t xml:space="preserve">Site approval criteria, consent procedures, human-machine operational limits, safety monitoring, dispute resolution, compensation mechanisms</w:t>
            </w:r>
          </w:p>
        </w:tc>
      </w:tr>
    </w:tbl>
    <w:bookmarkEnd w:id="59"/>
    <w:bookmarkStart w:id="60" w:name="Xc2566b60574f18158490ebd5a084713b4ebfefb"/>
    <w:p>
      <w:pPr>
        <w:pStyle w:val="Heading2"/>
        <w:widowControl/>
      </w:pPr>
      <w:r>
        <w:rPr>
          <w:rFonts w:ascii="Noto Sans CJK SC" w:hAnsi="Noto Sans CJK SC" w:eastAsia="Noto Sans CJK SC"/>
          <w:color w:val="000000"/>
        </w:rPr>
        <w:t xml:space="preserve">8. Practical Application: Domestic Care-Robot Pilot</w:t>
      </w:r>
    </w:p>
    <w:p>
      <w:pPr>
        <w:pStyle w:val="FirstParagraph"/>
        <w:widowControl/>
      </w:pPr>
      <w:r>
        <w:rPr>
          <w:rFonts w:ascii="Noto Sans CJK SC" w:hAnsi="Noto Sans CJK SC" w:eastAsia="Noto Sans CJK SC"/>
          <w:color w:val="000000"/>
        </w:rPr>
        <w:t xml:space="preserve">Consider a government-sponsored pilot deploying home care robots equipped with camera arrays and automated fall-detection algorithms. Rather than assessing only computer-vision accuracy, agency researchers must resolve specific operational questions: Can users physically disable cameras? How are false alarms managed? How are incident logs secured and accessed? What real-time oversight duties fall on care providers? Do software updates require regulatory re-certification? Do repeated false alarms trigger automatic reversion to human care visits?</w:t>
      </w:r>
    </w:p>
    <w:p>
      <w:pPr>
        <w:pStyle w:val="BodyText"/>
        <w:widowControl/>
      </w:pPr>
      <w:r>
        <w:rPr>
          <w:rFonts w:ascii="Noto Sans CJK SC" w:hAnsi="Noto Sans CJK SC" w:eastAsia="Noto Sans CJK SC"/>
          <w:color w:val="000000"/>
        </w:rPr>
        <w:t xml:space="preserve">This structured approach ensures policy choices move beyond binary purchasing decisions into fully articulated administrative systems. The six-step workflow bridges abstract ethics and practical public administration, preventing core values from dissolving into technical code, private contracts, or bureaucratic inaction.</w:t>
      </w:r>
    </w:p>
    <w:bookmarkEnd w:id="60"/>
    <w:bookmarkEnd w:id="61"/>
    <w:bookmarkStart w:id="63" w:name="X9c2d9354e408007fe19beb0e8b558319d8448a6"/>
    <w:p>
      <w:pPr>
        <w:pStyle w:val="Heading1"/>
        <w:widowControl/>
      </w:pPr>
      <w:r>
        <w:rPr>
          <w:rFonts w:ascii="Noto Sans CJK SC" w:hAnsi="Noto Sans CJK SC" w:eastAsia="Noto Sans CJK SC"/>
          <w:color w:val="000000"/>
        </w:rPr>
        <w:t xml:space="preserve">VII. Conclusion: Boundaries and Policy Implications</w:t>
      </w:r>
    </w:p>
    <w:p>
      <w:pPr>
        <w:pStyle w:val="FirstParagraph"/>
        <w:widowControl/>
      </w:pPr>
      <w:r>
        <w:rPr>
          <w:rFonts w:ascii="Noto Sans CJK SC" w:hAnsi="Noto Sans CJK SC" w:eastAsia="Noto Sans CJK SC"/>
          <w:color w:val="000000"/>
        </w:rPr>
        <w:t xml:space="preserve">The negotiating parties in AI governance are human institutions and citizens, not autonomous software agents. While machine ethics and Value Sensitive Design have made foundational contributions to technical ethics (Wallach &amp; Allen, 2009; Friedman &amp; Hendry, 2019), this article redirects focus toward public administration: how institutions absorb and remain accountable for technology-driven value conflicts.</w:t>
      </w:r>
    </w:p>
    <w:p>
      <w:pPr>
        <w:pStyle w:val="BodyText"/>
        <w:widowControl/>
      </w:pPr>
      <w:r>
        <w:rPr>
          <w:rFonts w:ascii="Noto Sans CJK SC" w:hAnsi="Noto Sans CJK SC" w:eastAsia="Noto Sans CJK SC"/>
          <w:color w:val="000000"/>
        </w:rPr>
        <w:t xml:space="preserve">Negotiated governance provides immediate operational support for implementing Taiwan's</w:t>
      </w:r>
      <w:r>
        <w:rPr>
          <w:rFonts w:ascii="Noto Sans CJK SC" w:hAnsi="Noto Sans CJK SC" w:eastAsia="Noto Sans CJK SC"/>
          <w:color w:val="000000"/>
        </w:rPr>
        <w:t xml:space="preserve"> </w:t>
      </w:r>
      <w:r>
        <w:rPr>
          <w:iCs/>
          <w:rFonts w:ascii="Noto Sans CJK SC" w:hAnsi="Noto Sans CJK SC" w:eastAsia="Noto Sans CJK SC"/>
          <w:i/>
          <w:color w:val="000000"/>
        </w:rPr>
        <w:t xml:space="preserve">Artificial Intelligence Basic Act</w:t>
      </w:r>
      <w:r>
        <w:rPr>
          <w:rFonts w:ascii="Noto Sans CJK SC" w:hAnsi="Noto Sans CJK SC" w:eastAsia="Noto Sans CJK SC"/>
          <w:color w:val="000000"/>
        </w:rPr>
        <w:t xml:space="preserve">, sectoral risk rules, and the</w:t>
      </w:r>
      <w:r>
        <w:rPr>
          <w:rFonts w:ascii="Noto Sans CJK SC" w:hAnsi="Noto Sans CJK SC" w:eastAsia="Noto Sans CJK SC"/>
          <w:color w:val="000000"/>
        </w:rPr>
        <w:t xml:space="preserve"> </w:t>
      </w:r>
      <w:r>
        <w:rPr>
          <w:iCs/>
          <w:rFonts w:ascii="Noto Sans CJK SC" w:hAnsi="Noto Sans CJK SC" w:eastAsia="Noto Sans CJK SC"/>
          <w:i/>
          <w:color w:val="000000"/>
        </w:rPr>
        <w:t xml:space="preserve">Smart Robot Industry Promotion Program</w:t>
      </w:r>
      <w:r>
        <w:rPr>
          <w:rFonts w:ascii="Noto Sans CJK SC" w:hAnsi="Noto Sans CJK SC" w:eastAsia="Noto Sans CJK SC"/>
          <w:color w:val="000000"/>
        </w:rPr>
        <w:t xml:space="preserve">. For domestic and care robotics, policy priorities must center on mandatory high-risk labeling, clear human-machine operational boundaries, legal protections for essential assistive devices, interagency alignment, and substantive participation for vulnerable users.</w:t>
      </w:r>
    </w:p>
    <w:p>
      <w:pPr>
        <w:pStyle w:val="BodyText"/>
        <w:widowControl/>
      </w:pPr>
      <w:r>
        <w:rPr>
          <w:rFonts w:ascii="Noto Sans CJK SC" w:hAnsi="Noto Sans CJK SC" w:eastAsia="Noto Sans CJK SC"/>
          <w:color w:val="000000"/>
        </w:rPr>
        <w:t xml:space="preserve">This article delivers three theoretical contributions. First, it extends machine ethics and VSD beyond initial design phases into deployment, interagency oversight, and incident accountability, resolving a meso-level institutional gap in public administration. Second, the four governance chains demonstrate that AI deployment restructures problem framing, statutory authority, and legal liability well before formal legislation is enacted. Third, the framework theorizes negotiation deadlocks, establishing predefined reversion points that bind physical safety to administrative capacity and democratic accountability.</w:t>
      </w:r>
    </w:p>
    <w:p>
      <w:pPr>
        <w:pStyle w:val="BodyText"/>
        <w:widowControl/>
      </w:pPr>
      <w:r>
        <w:rPr>
          <w:rFonts w:ascii="Noto Sans CJK SC" w:hAnsi="Noto Sans CJK SC" w:eastAsia="Noto Sans CJK SC"/>
          <w:color w:val="000000"/>
        </w:rPr>
        <w:t xml:space="preserve">Public administration cannot allow technical optimization to supplant the deliberate balancing of public values. As AI robots gain greater societal influence, statutory authority, transparent justification, clear liability, real-time human intervention, and democratic oversight become indispensable. Far from obstructing technical progress, negotiated governance ensures that innovation remains explainable, legitimate, and accountable within human society.</w:t>
      </w:r>
    </w:p>
    <w:bookmarkStart w:id="62" w:name="limitations-and-future-research"/>
    <w:p>
      <w:pPr>
        <w:pStyle w:val="Heading2"/>
        <w:widowControl/>
      </w:pPr>
      <w:r>
        <w:rPr>
          <w:rFonts w:ascii="Noto Sans CJK SC" w:hAnsi="Noto Sans CJK SC" w:eastAsia="Noto Sans CJK SC"/>
          <w:color w:val="000000"/>
        </w:rPr>
        <w:t xml:space="preserve">Limitations and Future Research</w:t>
      </w:r>
    </w:p>
    <w:p>
      <w:pPr>
        <w:pStyle w:val="FirstParagraph"/>
        <w:widowControl/>
      </w:pPr>
      <w:r>
        <w:rPr>
          <w:rFonts w:ascii="Noto Sans CJK SC" w:hAnsi="Noto Sans CJK SC" w:eastAsia="Noto Sans CJK SC"/>
          <w:color w:val="000000"/>
        </w:rPr>
        <w:t xml:space="preserve">The 2002–2005 policy account relies on participant recollection and warrants further verification through complete archival research. The prospective thought experiments serve as theoretical stress tests rather than binding judicial rulings. The governance space visualization offers a conceptual layout rather than a predictive model, and the six-step workflow will require domain-specific adjustments across agencies. Future research should apply the four chains to active procurement and pilot programs, comparing reversion mechanics across high-risk and reversible deployment settings.</w:t>
      </w:r>
    </w:p>
    <w:p>
      <w:pPr>
        <w:pStyle w:val="BodyText"/>
        <w:widowControl/>
      </w:pPr>
      <w:r>
        <w:rPr>
          <w:bCs/>
          <w:rFonts w:ascii="Noto Sans CJK SC" w:hAnsi="Noto Sans CJK SC" w:eastAsia="Noto Sans CJK SC"/>
          <w:b/>
          <w:color w:val="000000"/>
        </w:rPr>
        <w:t xml:space="preserve">Series Note and Suggested Citation:</w:t>
      </w:r>
      <w:r>
        <w:rPr>
          <w:rFonts w:ascii="Noto Sans CJK SC" w:hAnsi="Noto Sans CJK SC" w:eastAsia="Noto Sans CJK SC"/>
          <w:color w:val="000000"/>
        </w:rPr>
        <w:br/>
      </w:r>
      <w:r>
        <w:rPr>
          <w:rFonts w:ascii="Noto Sans CJK SC" w:hAnsi="Noto Sans CJK SC" w:eastAsia="Noto Sans CJK SC"/>
          <w:color w:val="000000"/>
        </w:rPr>
        <w:t xml:space="preserve">This is the third paper in a scholarly series. The first establishes the twenty-five coordinates and four chains through automated governance cases (AFST, SyRI, Robodebt) (Lu, 2026a); the second analyzes tension between universal AI principles and national implementations via deepfake election interference cases (Lu, 2026b); this paper focuses on individual/organizational units and operationalizes negotiated governance. All three share a foundational framework while addressing distinct research questions, empirical cases, and evidence.</w:t>
      </w:r>
      <w:r>
        <w:rPr>
          <w:rFonts w:ascii="Noto Sans CJK SC" w:hAnsi="Noto Sans CJK SC" w:eastAsia="Noto Sans CJK SC"/>
          <w:color w:val="000000"/>
        </w:rPr>
        <w:br/>
      </w:r>
      <w:r>
        <w:rPr>
          <w:rFonts w:ascii="Noto Sans CJK SC" w:hAnsi="Noto Sans CJK SC" w:eastAsia="Noto Sans CJK SC"/>
          <w:color w:val="000000"/>
        </w:rPr>
        <w:br/>
      </w:r>
      <w:r>
        <w:rPr>
          <w:iCs/>
          <w:rFonts w:ascii="Noto Sans CJK SC" w:hAnsi="Noto Sans CJK SC" w:eastAsia="Noto Sans CJK SC"/>
          <w:i/>
          <w:color w:val="000000"/>
        </w:rPr>
        <w:t xml:space="preserve">Suggested Citation:</w:t>
      </w:r>
      <w:r>
        <w:rPr>
          <w:rFonts w:ascii="Noto Sans CJK SC" w:hAnsi="Noto Sans CJK SC" w:eastAsia="Noto Sans CJK SC"/>
          <w:color w:val="000000"/>
        </w:rPr>
        <w:t xml:space="preserve"> </w:t>
      </w:r>
      <w:r>
        <w:rPr>
          <w:rFonts w:ascii="Noto Sans CJK SC" w:hAnsi="Noto Sans CJK SC" w:eastAsia="Noto Sans CJK SC"/>
          <w:color w:val="000000"/>
        </w:rPr>
        <w:t xml:space="preserve">Lu, J.-S. (2026). Negotiated governance of AI robots: From value embedding to multi-stakeholder co-construction (Academic website research design paper, August 2026 version). Lancelot Lu Academic Website.</w:t>
      </w:r>
    </w:p>
    <w:bookmarkEnd w:id="62"/>
    <w:bookmarkEnd w:id="63"/>
    <w:bookmarkStart w:id="64" w:name="references"/>
    <w:p>
      <w:pPr>
        <w:pStyle w:val="Heading1"/>
        <w:widowControl/>
      </w:pPr>
      <w:r>
        <w:rPr>
          <w:rFonts w:ascii="Noto Sans CJK SC" w:hAnsi="Noto Sans CJK SC" w:eastAsia="Noto Sans CJK SC"/>
          <w:color w:val="000000"/>
        </w:rPr>
        <w:t xml:space="preserve">References</w:t>
      </w:r>
    </w:p>
    <w:p>
      <w:pPr>
        <w:pStyle w:val="FirstParagraph"/>
        <w:widowControl/>
        <w:spacing w:line="300" w:lineRule="auto" w:after="80"/>
        <w:ind w:left="454" w:hanging="454"/>
      </w:pPr>
      <w:r>
        <w:rPr>
          <w:rFonts w:ascii="Noto Sans CJK SC" w:hAnsi="Noto Sans CJK SC" w:eastAsia="Noto Sans CJK SC"/>
          <w:color w:val="000000"/>
          <w:sz w:val="17"/>
        </w:rPr>
        <w:t xml:space="preserve">Chinese-language Sources</w:t>
      </w:r>
    </w:p>
    <w:p>
      <w:pPr>
        <w:pStyle w:val="BodyText"/>
        <w:widowControl/>
        <w:spacing w:line="300" w:lineRule="auto" w:after="80"/>
        <w:ind w:left="454" w:hanging="454"/>
      </w:pPr>
      <w:r>
        <w:rPr>
          <w:rFonts w:ascii="Noto Sans CJK SC" w:hAnsi="Noto Sans CJK SC" w:eastAsia="Noto Sans CJK SC"/>
          <w:color w:val="000000"/>
          <w:sz w:val="17"/>
        </w:rPr>
        <w:t xml:space="preserve">Artificial Intelligence Basic Act. (2026). Presidential Order Hua-Zong-I-Yi No. 11500001671, January 14, 2026. https://www.president.gov.tw/File/Doc/80165b6d-cb49-4b49-952f-56e1e6abe51b</w:t>
      </w:r>
    </w:p>
    <w:p>
      <w:pPr>
        <w:pStyle w:val="BodyText"/>
        <w:widowControl/>
        <w:spacing w:line="300" w:lineRule="auto" w:after="80"/>
        <w:ind w:left="454" w:hanging="454"/>
      </w:pPr>
      <w:r>
        <w:rPr>
          <w:rFonts w:ascii="Noto Sans CJK SC" w:hAnsi="Noto Sans CJK SC" w:eastAsia="Noto Sans CJK SC"/>
          <w:color w:val="000000"/>
          <w:sz w:val="17"/>
        </w:rPr>
        <w:t xml:space="preserve">Executive Yuan. (2025).</w:t>
      </w:r>
      <w:r>
        <w:rPr>
          <w:rFonts w:ascii="Noto Sans CJK SC" w:hAnsi="Noto Sans CJK SC" w:eastAsia="Noto Sans CJK SC"/>
          <w:color w:val="000000"/>
          <w:sz w:val="17"/>
        </w:rPr>
        <w:t xml:space="preserve"> </w:t>
      </w:r>
      <w:r>
        <w:rPr>
          <w:iCs/>
          <w:rFonts w:ascii="Noto Sans CJK SC" w:hAnsi="Noto Sans CJK SC" w:eastAsia="Noto Sans CJK SC"/>
          <w:i/>
          <w:color w:val="000000"/>
          <w:sz w:val="17"/>
        </w:rPr>
        <w:t xml:space="preserve">Policy report to the Fourth Session of the Eleventh Legislative Yuan [Including the Smart Robot Industry Promotion Program, 2026–2029]</w:t>
      </w:r>
      <w:r>
        <w:rPr>
          <w:rFonts w:ascii="Noto Sans CJK SC" w:hAnsi="Noto Sans CJK SC" w:eastAsia="Noto Sans CJK SC"/>
          <w:color w:val="000000"/>
          <w:sz w:val="17"/>
        </w:rPr>
        <w:t xml:space="preserve">. Executive Yuan, Taiwan. https://www.ey.gov.tw/File/EE89497142D2768B</w:t>
      </w:r>
    </w:p>
    <w:p>
      <w:pPr>
        <w:pStyle w:val="BodyText"/>
        <w:widowControl/>
        <w:spacing w:line="300" w:lineRule="auto" w:after="80"/>
        <w:ind w:left="454" w:hanging="454"/>
      </w:pPr>
      <w:r>
        <w:rPr>
          <w:rFonts w:ascii="Noto Sans CJK SC" w:hAnsi="Noto Sans CJK SC" w:eastAsia="Noto Sans CJK SC"/>
          <w:color w:val="000000"/>
          <w:sz w:val="17"/>
        </w:rPr>
        <w:t xml:space="preserve">Lee, Y.-C. (2022).</w:t>
      </w:r>
      <w:r>
        <w:rPr>
          <w:rFonts w:ascii="Noto Sans CJK SC" w:hAnsi="Noto Sans CJK SC" w:eastAsia="Noto Sans CJK SC"/>
          <w:color w:val="000000"/>
          <w:sz w:val="17"/>
        </w:rPr>
        <w:t xml:space="preserve"> </w:t>
      </w:r>
      <w:r>
        <w:rPr>
          <w:iCs/>
          <w:rFonts w:ascii="Noto Sans CJK SC" w:hAnsi="Noto Sans CJK SC" w:eastAsia="Noto Sans CJK SC"/>
          <w:i/>
          <w:color w:val="000000"/>
          <w:sz w:val="17"/>
        </w:rPr>
        <w:t xml:space="preserve">A preliminary legal study of care robots under population ageing and low fertility</w:t>
      </w:r>
      <w:r>
        <w:rPr>
          <w:rFonts w:ascii="Noto Sans CJK SC" w:hAnsi="Noto Sans CJK SC" w:eastAsia="Noto Sans CJK SC"/>
          <w:color w:val="000000"/>
          <w:sz w:val="17"/>
        </w:rPr>
        <w:t xml:space="preserve"> </w:t>
      </w:r>
      <w:r>
        <w:rPr>
          <w:rFonts w:ascii="Noto Sans CJK SC" w:hAnsi="Noto Sans CJK SC" w:eastAsia="Noto Sans CJK SC"/>
          <w:color w:val="000000"/>
          <w:sz w:val="17"/>
        </w:rPr>
        <w:t xml:space="preserve">(Issue Analysis R01618). Legislative Yuan, Taiwan. https://www.ly.gov.tw/Pages/Detail.aspx?nodeid=6590&amp;pid=217407</w:t>
      </w:r>
    </w:p>
    <w:p>
      <w:pPr>
        <w:pStyle w:val="BodyText"/>
        <w:widowControl/>
        <w:spacing w:line="300" w:lineRule="auto" w:after="80"/>
        <w:ind w:left="454" w:hanging="454"/>
      </w:pPr>
      <w:r>
        <w:rPr>
          <w:rFonts w:ascii="Noto Sans CJK SC" w:hAnsi="Noto Sans CJK SC" w:eastAsia="Noto Sans CJK SC"/>
          <w:color w:val="000000"/>
          <w:sz w:val="17"/>
        </w:rPr>
        <w:t xml:space="preserve">Lu, J.-S. (1996a). A framework for reviewing public administration literature.</w:t>
      </w:r>
      <w:r>
        <w:rPr>
          <w:rFonts w:ascii="Noto Sans CJK SC" w:hAnsi="Noto Sans CJK SC" w:eastAsia="Noto Sans CJK SC"/>
          <w:color w:val="000000"/>
          <w:sz w:val="17"/>
        </w:rPr>
        <w:t xml:space="preserve"> </w:t>
      </w:r>
      <w:r>
        <w:rPr>
          <w:iCs/>
          <w:rFonts w:ascii="Noto Sans CJK SC" w:hAnsi="Noto Sans CJK SC" w:eastAsia="Noto Sans CJK SC"/>
          <w:i/>
          <w:color w:val="000000"/>
          <w:sz w:val="17"/>
        </w:rPr>
        <w:t xml:space="preserve">Open University Journal of Public Administration</w:t>
      </w:r>
      <w:r>
        <w:rPr>
          <w:rFonts w:ascii="Noto Sans CJK SC" w:hAnsi="Noto Sans CJK SC" w:eastAsia="Noto Sans CJK SC"/>
          <w:color w:val="000000"/>
          <w:sz w:val="17"/>
        </w:rPr>
        <w:t xml:space="preserve">, 5, 177–210. [In Chinese]</w:t>
      </w:r>
    </w:p>
    <w:p>
      <w:pPr>
        <w:pStyle w:val="BodyText"/>
        <w:widowControl/>
        <w:spacing w:line="300" w:lineRule="auto" w:after="80"/>
        <w:ind w:left="454" w:hanging="454"/>
      </w:pPr>
      <w:r>
        <w:rPr>
          <w:rFonts w:ascii="Noto Sans CJK SC" w:hAnsi="Noto Sans CJK SC" w:eastAsia="Noto Sans CJK SC"/>
          <w:color w:val="000000"/>
          <w:sz w:val="17"/>
        </w:rPr>
        <w:t xml:space="preserve">Lu, J.-S. (1996b). New public-administration issues in the information society.</w:t>
      </w:r>
      <w:r>
        <w:rPr>
          <w:rFonts w:ascii="Noto Sans CJK SC" w:hAnsi="Noto Sans CJK SC" w:eastAsia="Noto Sans CJK SC"/>
          <w:color w:val="000000"/>
          <w:sz w:val="17"/>
        </w:rPr>
        <w:t xml:space="preserve"> </w:t>
      </w:r>
      <w:r>
        <w:rPr>
          <w:iCs/>
          <w:rFonts w:ascii="Noto Sans CJK SC" w:hAnsi="Noto Sans CJK SC" w:eastAsia="Noto Sans CJK SC"/>
          <w:i/>
          <w:color w:val="000000"/>
          <w:sz w:val="17"/>
        </w:rPr>
        <w:t xml:space="preserve">Taiwanese Political Science Review</w:t>
      </w:r>
      <w:r>
        <w:rPr>
          <w:rFonts w:ascii="Noto Sans CJK SC" w:hAnsi="Noto Sans CJK SC" w:eastAsia="Noto Sans CJK SC"/>
          <w:color w:val="000000"/>
          <w:sz w:val="17"/>
        </w:rPr>
        <w:t xml:space="preserve">, 7, 231–256. [In Chinese]</w:t>
      </w:r>
    </w:p>
    <w:p>
      <w:pPr>
        <w:pStyle w:val="BodyText"/>
        <w:widowControl/>
        <w:spacing w:line="300" w:lineRule="auto" w:after="80"/>
        <w:ind w:left="454" w:hanging="454"/>
      </w:pPr>
      <w:r>
        <w:rPr>
          <w:rFonts w:ascii="Noto Sans CJK SC" w:hAnsi="Noto Sans CJK SC" w:eastAsia="Noto Sans CJK SC"/>
          <w:color w:val="000000"/>
          <w:sz w:val="17"/>
        </w:rPr>
        <w:t xml:space="preserve">Lu, J.-S. (2026a).</w:t>
      </w:r>
      <w:r>
        <w:rPr>
          <w:rFonts w:ascii="Noto Sans CJK SC" w:hAnsi="Noto Sans CJK SC" w:eastAsia="Noto Sans CJK SC"/>
          <w:color w:val="000000"/>
          <w:sz w:val="17"/>
        </w:rPr>
        <w:t xml:space="preserve"> </w:t>
      </w:r>
      <w:r>
        <w:rPr>
          <w:iCs/>
          <w:rFonts w:ascii="Noto Sans CJK SC" w:hAnsi="Noto Sans CJK SC" w:eastAsia="Noto Sans CJK SC"/>
          <w:i/>
          <w:color w:val="000000"/>
          <w:sz w:val="17"/>
        </w:rPr>
        <w:t xml:space="preserve">Reconceptualizing artificial intelligence governance: Twenty-five governance coordinates, four governance chains, and human–AI collaborative governance from a public-administration perspective</w:t>
      </w:r>
      <w:r>
        <w:rPr>
          <w:rFonts w:ascii="Noto Sans CJK SC" w:hAnsi="Noto Sans CJK SC" w:eastAsia="Noto Sans CJK SC"/>
          <w:color w:val="000000"/>
          <w:sz w:val="17"/>
        </w:rPr>
        <w:t xml:space="preserve">. Academic website research paper. [In Chinese]</w:t>
      </w:r>
    </w:p>
    <w:p>
      <w:pPr>
        <w:pStyle w:val="BodyText"/>
        <w:widowControl/>
        <w:spacing w:line="300" w:lineRule="auto" w:after="80"/>
        <w:ind w:left="454" w:hanging="454"/>
      </w:pPr>
      <w:r>
        <w:rPr>
          <w:rFonts w:ascii="Noto Sans CJK SC" w:hAnsi="Noto Sans CJK SC" w:eastAsia="Noto Sans CJK SC"/>
          <w:color w:val="000000"/>
          <w:sz w:val="17"/>
        </w:rPr>
        <w:t xml:space="preserve">Lu, J.-S. (2026b).</w:t>
      </w:r>
      <w:r>
        <w:rPr>
          <w:rFonts w:ascii="Noto Sans CJK SC" w:hAnsi="Noto Sans CJK SC" w:eastAsia="Noto Sans CJK SC"/>
          <w:color w:val="000000"/>
          <w:sz w:val="17"/>
        </w:rPr>
        <w:t xml:space="preserve"> </w:t>
      </w:r>
      <w:r>
        <w:rPr>
          <w:iCs/>
          <w:rFonts w:ascii="Noto Sans CJK SC" w:hAnsi="Noto Sans CJK SC" w:eastAsia="Noto Sans CJK SC"/>
          <w:i/>
          <w:color w:val="000000"/>
          <w:sz w:val="17"/>
        </w:rPr>
        <w:t xml:space="preserve">Embedded universalism: The universalization of AI ethics principles and a cross-national comparison of deepfake election interference</w:t>
      </w:r>
      <w:r>
        <w:rPr>
          <w:rFonts w:ascii="Noto Sans CJK SC" w:hAnsi="Noto Sans CJK SC" w:eastAsia="Noto Sans CJK SC"/>
          <w:color w:val="000000"/>
          <w:sz w:val="17"/>
        </w:rPr>
        <w:t xml:space="preserve">. Academic website research paper. [In Chinese]</w:t>
      </w:r>
    </w:p>
    <w:p>
      <w:pPr>
        <w:pStyle w:val="BodyText"/>
        <w:widowControl/>
        <w:spacing w:line="300" w:lineRule="auto" w:after="80"/>
        <w:ind w:left="454" w:hanging="454"/>
      </w:pPr>
      <w:r>
        <w:rPr>
          <w:rFonts w:ascii="Noto Sans CJK SC" w:hAnsi="Noto Sans CJK SC" w:eastAsia="Noto Sans CJK SC"/>
          <w:color w:val="000000"/>
          <w:sz w:val="17"/>
        </w:rPr>
        <w:t xml:space="preserve">Tsai, D. F.-C., Hu, C.-H., Wang, C.-H., Chuang, Y.-C., &amp; Fu, L.-C. (2021). Ethical issues of care robots.</w:t>
      </w:r>
      <w:r>
        <w:rPr>
          <w:rFonts w:ascii="Noto Sans CJK SC" w:hAnsi="Noto Sans CJK SC" w:eastAsia="Noto Sans CJK SC"/>
          <w:color w:val="000000"/>
          <w:sz w:val="17"/>
        </w:rPr>
        <w:t xml:space="preserve"> </w:t>
      </w:r>
      <w:r>
        <w:rPr>
          <w:iCs/>
          <w:rFonts w:ascii="Noto Sans CJK SC" w:hAnsi="Noto Sans CJK SC" w:eastAsia="Noto Sans CJK SC"/>
          <w:i/>
          <w:color w:val="000000"/>
          <w:sz w:val="17"/>
        </w:rPr>
        <w:t xml:space="preserve">Formosan Journal of Medicine</w:t>
      </w:r>
      <w:r>
        <w:rPr>
          <w:rFonts w:ascii="Noto Sans CJK SC" w:hAnsi="Noto Sans CJK SC" w:eastAsia="Noto Sans CJK SC"/>
          <w:color w:val="000000"/>
          <w:sz w:val="17"/>
        </w:rPr>
        <w:t xml:space="preserve">, 25(4), 441–452. [In Chinese]</w:t>
      </w:r>
    </w:p>
    <w:p>
      <w:pPr>
        <w:pStyle w:val="BodyText"/>
        <w:widowControl/>
        <w:spacing w:line="300" w:lineRule="auto" w:after="80"/>
        <w:ind w:left="454" w:hanging="454"/>
      </w:pPr>
      <w:r>
        <w:rPr>
          <w:rFonts w:ascii="Noto Sans CJK SC" w:hAnsi="Noto Sans CJK SC" w:eastAsia="Noto Sans CJK SC"/>
          <w:color w:val="000000"/>
          <w:sz w:val="17"/>
        </w:rPr>
        <w:t xml:space="preserve">English-language Sources</w:t>
      </w:r>
    </w:p>
    <w:p>
      <w:pPr>
        <w:pStyle w:val="BodyText"/>
        <w:widowControl/>
        <w:spacing w:line="300" w:lineRule="auto" w:after="80"/>
        <w:ind w:left="454" w:hanging="454"/>
      </w:pPr>
      <w:r>
        <w:rPr>
          <w:rFonts w:ascii="Noto Sans CJK SC" w:hAnsi="Noto Sans CJK SC" w:eastAsia="Noto Sans CJK SC"/>
          <w:color w:val="000000"/>
          <w:sz w:val="17"/>
        </w:rPr>
        <w:t xml:space="preserve">Anderson, M., &amp; Anderson, S. L. (Eds.). (2011).</w:t>
      </w:r>
      <w:r>
        <w:rPr>
          <w:rFonts w:ascii="Noto Sans CJK SC" w:hAnsi="Noto Sans CJK SC" w:eastAsia="Noto Sans CJK SC"/>
          <w:color w:val="000000"/>
          <w:sz w:val="17"/>
        </w:rPr>
        <w:t xml:space="preserve"> </w:t>
      </w:r>
      <w:r>
        <w:rPr>
          <w:iCs/>
          <w:rFonts w:ascii="Noto Sans CJK SC" w:hAnsi="Noto Sans CJK SC" w:eastAsia="Noto Sans CJK SC"/>
          <w:i/>
          <w:color w:val="000000"/>
          <w:sz w:val="17"/>
        </w:rPr>
        <w:t xml:space="preserve">Machine ethics</w:t>
      </w:r>
      <w:r>
        <w:rPr>
          <w:rFonts w:ascii="Noto Sans CJK SC" w:hAnsi="Noto Sans CJK SC" w:eastAsia="Noto Sans CJK SC"/>
          <w:color w:val="000000"/>
          <w:sz w:val="17"/>
        </w:rPr>
        <w:t xml:space="preserve">. Cambridge University Press.</w:t>
      </w:r>
    </w:p>
    <w:p>
      <w:pPr>
        <w:pStyle w:val="BodyText"/>
        <w:widowControl/>
        <w:spacing w:line="300" w:lineRule="auto" w:after="80"/>
        <w:ind w:left="454" w:hanging="454"/>
      </w:pPr>
      <w:r>
        <w:rPr>
          <w:rFonts w:ascii="Noto Sans CJK SC" w:hAnsi="Noto Sans CJK SC" w:eastAsia="Noto Sans CJK SC"/>
          <w:color w:val="000000"/>
          <w:sz w:val="17"/>
        </w:rPr>
        <w:t xml:space="preserve">European Parliament &amp; Council of the European Union. (2024). Regulation (EU) 2024/1689 laying down harmonised rules on artificial intelligence.</w:t>
      </w:r>
      <w:r>
        <w:rPr>
          <w:rFonts w:ascii="Noto Sans CJK SC" w:hAnsi="Noto Sans CJK SC" w:eastAsia="Noto Sans CJK SC"/>
          <w:color w:val="000000"/>
          <w:sz w:val="17"/>
        </w:rPr>
        <w:t xml:space="preserve"> </w:t>
      </w:r>
      <w:r>
        <w:rPr>
          <w:iCs/>
          <w:rFonts w:ascii="Noto Sans CJK SC" w:hAnsi="Noto Sans CJK SC" w:eastAsia="Noto Sans CJK SC"/>
          <w:i/>
          <w:color w:val="000000"/>
          <w:sz w:val="17"/>
        </w:rPr>
        <w:t xml:space="preserve">Official Journal of the European Union</w:t>
      </w:r>
      <w:r>
        <w:rPr>
          <w:rFonts w:ascii="Noto Sans CJK SC" w:hAnsi="Noto Sans CJK SC" w:eastAsia="Noto Sans CJK SC"/>
          <w:color w:val="000000"/>
          <w:sz w:val="17"/>
        </w:rPr>
        <w:t xml:space="preserve">, L, 2024/1689. https://eur-lex.europa.eu/eli/reg/2024/1689/oj</w:t>
      </w:r>
    </w:p>
    <w:p>
      <w:pPr>
        <w:pStyle w:val="BodyText"/>
        <w:widowControl/>
        <w:spacing w:line="300" w:lineRule="auto" w:after="80"/>
        <w:ind w:left="454" w:hanging="454"/>
      </w:pPr>
      <w:r>
        <w:rPr>
          <w:rFonts w:ascii="Noto Sans CJK SC" w:hAnsi="Noto Sans CJK SC" w:eastAsia="Noto Sans CJK SC"/>
          <w:color w:val="000000"/>
          <w:sz w:val="17"/>
        </w:rPr>
        <w:t xml:space="preserve">Friedman, B., &amp; Hendry, D. G. (2019).</w:t>
      </w:r>
      <w:r>
        <w:rPr>
          <w:rFonts w:ascii="Noto Sans CJK SC" w:hAnsi="Noto Sans CJK SC" w:eastAsia="Noto Sans CJK SC"/>
          <w:color w:val="000000"/>
          <w:sz w:val="17"/>
        </w:rPr>
        <w:t xml:space="preserve"> </w:t>
      </w:r>
      <w:r>
        <w:rPr>
          <w:iCs/>
          <w:rFonts w:ascii="Noto Sans CJK SC" w:hAnsi="Noto Sans CJK SC" w:eastAsia="Noto Sans CJK SC"/>
          <w:i/>
          <w:color w:val="000000"/>
          <w:sz w:val="17"/>
        </w:rPr>
        <w:t xml:space="preserve">Value sensitive design: Shaping technology with moral imagination</w:t>
      </w:r>
      <w:r>
        <w:rPr>
          <w:rFonts w:ascii="Noto Sans CJK SC" w:hAnsi="Noto Sans CJK SC" w:eastAsia="Noto Sans CJK SC"/>
          <w:color w:val="000000"/>
          <w:sz w:val="17"/>
        </w:rPr>
        <w:t xml:space="preserve">. MIT Press.</w:t>
      </w:r>
    </w:p>
    <w:p>
      <w:pPr>
        <w:pStyle w:val="BodyText"/>
        <w:widowControl/>
        <w:spacing w:line="300" w:lineRule="auto" w:after="80"/>
        <w:ind w:left="454" w:hanging="454"/>
      </w:pPr>
      <w:r>
        <w:rPr>
          <w:rFonts w:ascii="Noto Sans CJK SC" w:hAnsi="Noto Sans CJK SC" w:eastAsia="Noto Sans CJK SC"/>
          <w:color w:val="000000"/>
          <w:sz w:val="17"/>
        </w:rPr>
        <w:t xml:space="preserve">Friedman, B., Kahn, P. H., Jr., &amp; Borning, A. (2006). Value sensitive design and information systems. In P. Zhang &amp; D. Galletta (Eds.),</w:t>
      </w:r>
      <w:r>
        <w:rPr>
          <w:rFonts w:ascii="Noto Sans CJK SC" w:hAnsi="Noto Sans CJK SC" w:eastAsia="Noto Sans CJK SC"/>
          <w:color w:val="000000"/>
          <w:sz w:val="17"/>
        </w:rPr>
        <w:t xml:space="preserve"> </w:t>
      </w:r>
      <w:r>
        <w:rPr>
          <w:iCs/>
          <w:rFonts w:ascii="Noto Sans CJK SC" w:hAnsi="Noto Sans CJK SC" w:eastAsia="Noto Sans CJK SC"/>
          <w:i/>
          <w:color w:val="000000"/>
          <w:sz w:val="17"/>
        </w:rPr>
        <w:t xml:space="preserve">Human-computer interaction and management information systems: Foundations</w:t>
      </w:r>
      <w:r>
        <w:rPr>
          <w:rFonts w:ascii="Noto Sans CJK SC" w:hAnsi="Noto Sans CJK SC" w:eastAsia="Noto Sans CJK SC"/>
          <w:color w:val="000000"/>
          <w:sz w:val="17"/>
        </w:rPr>
        <w:t xml:space="preserve"> </w:t>
      </w:r>
      <w:r>
        <w:rPr>
          <w:rFonts w:ascii="Noto Sans CJK SC" w:hAnsi="Noto Sans CJK SC" w:eastAsia="Noto Sans CJK SC"/>
          <w:color w:val="000000"/>
          <w:sz w:val="17"/>
        </w:rPr>
        <w:t xml:space="preserve">(pp. 348–372). M. E. Sharpe.</w:t>
      </w:r>
    </w:p>
    <w:p>
      <w:pPr>
        <w:pStyle w:val="BodyText"/>
        <w:widowControl/>
        <w:spacing w:line="300" w:lineRule="auto" w:after="80"/>
        <w:ind w:left="454" w:hanging="454"/>
      </w:pPr>
      <w:r>
        <w:rPr>
          <w:rFonts w:ascii="Noto Sans CJK SC" w:hAnsi="Noto Sans CJK SC" w:eastAsia="Noto Sans CJK SC"/>
          <w:color w:val="000000"/>
          <w:sz w:val="17"/>
        </w:rPr>
        <w:t xml:space="preserve">German Ethics Commission on Automated and Connected Driving. (2017).</w:t>
      </w:r>
      <w:r>
        <w:rPr>
          <w:rFonts w:ascii="Noto Sans CJK SC" w:hAnsi="Noto Sans CJK SC" w:eastAsia="Noto Sans CJK SC"/>
          <w:color w:val="000000"/>
          <w:sz w:val="17"/>
        </w:rPr>
        <w:t xml:space="preserve"> </w:t>
      </w:r>
      <w:r>
        <w:rPr>
          <w:iCs/>
          <w:rFonts w:ascii="Noto Sans CJK SC" w:hAnsi="Noto Sans CJK SC" w:eastAsia="Noto Sans CJK SC"/>
          <w:i/>
          <w:color w:val="000000"/>
          <w:sz w:val="17"/>
        </w:rPr>
        <w:t xml:space="preserve">Ethics Commission: Automated and connected driving</w:t>
      </w:r>
      <w:r>
        <w:rPr>
          <w:rFonts w:ascii="Noto Sans CJK SC" w:hAnsi="Noto Sans CJK SC" w:eastAsia="Noto Sans CJK SC"/>
          <w:color w:val="000000"/>
          <w:sz w:val="17"/>
        </w:rPr>
        <w:t xml:space="preserve">. Federal Ministry of Transport and Digital Infrastructure.</w:t>
      </w:r>
    </w:p>
    <w:p>
      <w:pPr>
        <w:pStyle w:val="BodyText"/>
        <w:widowControl/>
        <w:spacing w:line="300" w:lineRule="auto" w:after="80"/>
        <w:ind w:left="454" w:hanging="454"/>
      </w:pPr>
      <w:r>
        <w:rPr>
          <w:rFonts w:ascii="Noto Sans CJK SC" w:hAnsi="Noto Sans CJK SC" w:eastAsia="Noto Sans CJK SC"/>
          <w:color w:val="000000"/>
          <w:sz w:val="17"/>
        </w:rPr>
        <w:t xml:space="preserve">Himmelreich, J. (2018). Never mind the trolley: The ethics of autonomous vehicles in mundane situations.</w:t>
      </w:r>
      <w:r>
        <w:rPr>
          <w:rFonts w:ascii="Noto Sans CJK SC" w:hAnsi="Noto Sans CJK SC" w:eastAsia="Noto Sans CJK SC"/>
          <w:color w:val="000000"/>
          <w:sz w:val="17"/>
        </w:rPr>
        <w:t xml:space="preserve"> </w:t>
      </w:r>
      <w:r>
        <w:rPr>
          <w:iCs/>
          <w:rFonts w:ascii="Noto Sans CJK SC" w:hAnsi="Noto Sans CJK SC" w:eastAsia="Noto Sans CJK SC"/>
          <w:i/>
          <w:color w:val="000000"/>
          <w:sz w:val="17"/>
        </w:rPr>
        <w:t xml:space="preserve">Ethical Theory and Moral Practice</w:t>
      </w:r>
      <w:r>
        <w:rPr>
          <w:rFonts w:ascii="Noto Sans CJK SC" w:hAnsi="Noto Sans CJK SC" w:eastAsia="Noto Sans CJK SC"/>
          <w:color w:val="000000"/>
          <w:sz w:val="17"/>
        </w:rPr>
        <w:t xml:space="preserve">, 21(3), 669–684. https://doi.org/10.1007/s10677-018-9896-4</w:t>
      </w:r>
    </w:p>
    <w:p>
      <w:pPr>
        <w:pStyle w:val="BodyText"/>
        <w:widowControl/>
        <w:spacing w:line="300" w:lineRule="auto" w:after="80"/>
        <w:ind w:left="454" w:hanging="454"/>
      </w:pPr>
      <w:r>
        <w:rPr>
          <w:rFonts w:ascii="Noto Sans CJK SC" w:hAnsi="Noto Sans CJK SC" w:eastAsia="Noto Sans CJK SC"/>
          <w:color w:val="000000"/>
          <w:sz w:val="17"/>
        </w:rPr>
        <w:t xml:space="preserve">Kaminski, M. E., &amp; Malgieri, G. (2025). Impacted stakeholder participation in AI and data governance.</w:t>
      </w:r>
      <w:r>
        <w:rPr>
          <w:rFonts w:ascii="Noto Sans CJK SC" w:hAnsi="Noto Sans CJK SC" w:eastAsia="Noto Sans CJK SC"/>
          <w:color w:val="000000"/>
          <w:sz w:val="17"/>
        </w:rPr>
        <w:t xml:space="preserve"> </w:t>
      </w:r>
      <w:r>
        <w:rPr>
          <w:iCs/>
          <w:rFonts w:ascii="Noto Sans CJK SC" w:hAnsi="Noto Sans CJK SC" w:eastAsia="Noto Sans CJK SC"/>
          <w:i/>
          <w:color w:val="000000"/>
          <w:sz w:val="17"/>
        </w:rPr>
        <w:t xml:space="preserve">Yale Journal of Law &amp; Technology</w:t>
      </w:r>
      <w:r>
        <w:rPr>
          <w:rFonts w:ascii="Noto Sans CJK SC" w:hAnsi="Noto Sans CJK SC" w:eastAsia="Noto Sans CJK SC"/>
          <w:color w:val="000000"/>
          <w:sz w:val="17"/>
        </w:rPr>
        <w:t xml:space="preserve">, 27, 247–326. https://yjolt.org/impacted-stakeholder-participation-ai-and-data-governance</w:t>
      </w:r>
    </w:p>
    <w:p>
      <w:pPr>
        <w:pStyle w:val="BodyText"/>
        <w:widowControl/>
        <w:spacing w:line="300" w:lineRule="auto" w:after="80"/>
        <w:ind w:left="454" w:hanging="454"/>
      </w:pPr>
      <w:r>
        <w:rPr>
          <w:rFonts w:ascii="Noto Sans CJK SC" w:hAnsi="Noto Sans CJK SC" w:eastAsia="Noto Sans CJK SC"/>
          <w:color w:val="000000"/>
          <w:sz w:val="17"/>
        </w:rPr>
        <w:t xml:space="preserve">Moor, J. H. (2006). The nature, importance, and difficulty of machine ethics.</w:t>
      </w:r>
      <w:r>
        <w:rPr>
          <w:rFonts w:ascii="Noto Sans CJK SC" w:hAnsi="Noto Sans CJK SC" w:eastAsia="Noto Sans CJK SC"/>
          <w:color w:val="000000"/>
          <w:sz w:val="17"/>
        </w:rPr>
        <w:t xml:space="preserve"> </w:t>
      </w:r>
      <w:r>
        <w:rPr>
          <w:iCs/>
          <w:rFonts w:ascii="Noto Sans CJK SC" w:hAnsi="Noto Sans CJK SC" w:eastAsia="Noto Sans CJK SC"/>
          <w:i/>
          <w:color w:val="000000"/>
          <w:sz w:val="17"/>
        </w:rPr>
        <w:t xml:space="preserve">IEEE Intelligent Systems</w:t>
      </w:r>
      <w:r>
        <w:rPr>
          <w:rFonts w:ascii="Noto Sans CJK SC" w:hAnsi="Noto Sans CJK SC" w:eastAsia="Noto Sans CJK SC"/>
          <w:color w:val="000000"/>
          <w:sz w:val="17"/>
        </w:rPr>
        <w:t xml:space="preserve">, 21(4), 18–21. https://doi.org/10.1109/MIS.2006.80</w:t>
      </w:r>
    </w:p>
    <w:p>
      <w:pPr>
        <w:pStyle w:val="BodyText"/>
        <w:widowControl/>
        <w:spacing w:line="300" w:lineRule="auto" w:after="80"/>
        <w:ind w:left="454" w:hanging="454"/>
      </w:pPr>
      <w:r>
        <w:rPr>
          <w:rFonts w:ascii="Noto Sans CJK SC" w:hAnsi="Noto Sans CJK SC" w:eastAsia="Noto Sans CJK SC"/>
          <w:color w:val="000000"/>
          <w:sz w:val="17"/>
        </w:rPr>
        <w:t xml:space="preserve">Nyholm, S. R., &amp; Smids, J. (2016). The ethics of accident-algorithms for self-driving cars: An applied trolley problem?</w:t>
      </w:r>
      <w:r>
        <w:rPr>
          <w:rFonts w:ascii="Noto Sans CJK SC" w:hAnsi="Noto Sans CJK SC" w:eastAsia="Noto Sans CJK SC"/>
          <w:color w:val="000000"/>
          <w:sz w:val="17"/>
        </w:rPr>
        <w:t xml:space="preserve"> </w:t>
      </w:r>
      <w:r>
        <w:rPr>
          <w:iCs/>
          <w:rFonts w:ascii="Noto Sans CJK SC" w:hAnsi="Noto Sans CJK SC" w:eastAsia="Noto Sans CJK SC"/>
          <w:i/>
          <w:color w:val="000000"/>
          <w:sz w:val="17"/>
        </w:rPr>
        <w:t xml:space="preserve">Ethical Theory and Moral Practice</w:t>
      </w:r>
      <w:r>
        <w:rPr>
          <w:rFonts w:ascii="Noto Sans CJK SC" w:hAnsi="Noto Sans CJK SC" w:eastAsia="Noto Sans CJK SC"/>
          <w:color w:val="000000"/>
          <w:sz w:val="17"/>
        </w:rPr>
        <w:t xml:space="preserve">, 19(5), 1275–1289. https://doi.org/10.1007/s10677-016-9745-2</w:t>
      </w:r>
    </w:p>
    <w:p>
      <w:pPr>
        <w:pStyle w:val="BodyText"/>
        <w:widowControl/>
        <w:spacing w:line="300" w:lineRule="auto" w:after="80"/>
        <w:ind w:left="454" w:hanging="454"/>
      </w:pPr>
      <w:r>
        <w:rPr>
          <w:rFonts w:ascii="Noto Sans CJK SC" w:hAnsi="Noto Sans CJK SC" w:eastAsia="Noto Sans CJK SC"/>
          <w:color w:val="000000"/>
          <w:sz w:val="17"/>
        </w:rPr>
        <w:t xml:space="preserve">Rachum-Twaig, O. (2020). Whose robot is it anyway? Liability for artificial-intelligence-based robots.</w:t>
      </w:r>
      <w:r>
        <w:rPr>
          <w:rFonts w:ascii="Noto Sans CJK SC" w:hAnsi="Noto Sans CJK SC" w:eastAsia="Noto Sans CJK SC"/>
          <w:color w:val="000000"/>
          <w:sz w:val="17"/>
        </w:rPr>
        <w:t xml:space="preserve"> </w:t>
      </w:r>
      <w:r>
        <w:rPr>
          <w:iCs/>
          <w:rFonts w:ascii="Noto Sans CJK SC" w:hAnsi="Noto Sans CJK SC" w:eastAsia="Noto Sans CJK SC"/>
          <w:i/>
          <w:color w:val="000000"/>
          <w:sz w:val="17"/>
        </w:rPr>
        <w:t xml:space="preserve">University of Illinois Law Review</w:t>
      </w:r>
      <w:r>
        <w:rPr>
          <w:rFonts w:ascii="Noto Sans CJK SC" w:hAnsi="Noto Sans CJK SC" w:eastAsia="Noto Sans CJK SC"/>
          <w:color w:val="000000"/>
          <w:sz w:val="17"/>
        </w:rPr>
        <w:t xml:space="preserve">, 2020(4), 1141–1176. https://www.illinoislawreview.org/wp-content/uploads/2020/08/Rachum-Twaig.pdf</w:t>
      </w:r>
    </w:p>
    <w:p>
      <w:pPr>
        <w:pStyle w:val="BodyText"/>
        <w:widowControl/>
        <w:spacing w:line="300" w:lineRule="auto" w:after="80"/>
        <w:ind w:left="454" w:hanging="454"/>
      </w:pPr>
      <w:r>
        <w:rPr>
          <w:rFonts w:ascii="Noto Sans CJK SC" w:hAnsi="Noto Sans CJK SC" w:eastAsia="Noto Sans CJK SC"/>
          <w:color w:val="000000"/>
          <w:sz w:val="17"/>
        </w:rPr>
        <w:t xml:space="preserve">Resseguier, A., Brey, P., Dainow, B., &amp; Drozdzewska, A. (2021).</w:t>
      </w:r>
      <w:r>
        <w:rPr>
          <w:rFonts w:ascii="Noto Sans CJK SC" w:hAnsi="Noto Sans CJK SC" w:eastAsia="Noto Sans CJK SC"/>
          <w:color w:val="000000"/>
          <w:sz w:val="17"/>
        </w:rPr>
        <w:t xml:space="preserve"> </w:t>
      </w:r>
      <w:r>
        <w:rPr>
          <w:iCs/>
          <w:rFonts w:ascii="Noto Sans CJK SC" w:hAnsi="Noto Sans CJK SC" w:eastAsia="Noto Sans CJK SC"/>
          <w:i/>
          <w:color w:val="000000"/>
          <w:sz w:val="17"/>
        </w:rPr>
        <w:t xml:space="preserve">SIENNA D5.4: Multi-stakeholder strategy and practical tools for ethical AI and robotics</w:t>
      </w:r>
      <w:r>
        <w:rPr>
          <w:rFonts w:ascii="Noto Sans CJK SC" w:hAnsi="Noto Sans CJK SC" w:eastAsia="Noto Sans CJK SC"/>
          <w:color w:val="000000"/>
          <w:sz w:val="17"/>
        </w:rPr>
        <w:t xml:space="preserve"> </w:t>
      </w:r>
      <w:r>
        <w:rPr>
          <w:rFonts w:ascii="Noto Sans CJK SC" w:hAnsi="Noto Sans CJK SC" w:eastAsia="Noto Sans CJK SC"/>
          <w:color w:val="000000"/>
          <w:sz w:val="17"/>
        </w:rPr>
        <w:t xml:space="preserve">(Version 4.0). Zenodo. https://doi.org/10.5281/zenodo.5536176</w:t>
      </w:r>
    </w:p>
    <w:p>
      <w:pPr>
        <w:pStyle w:val="BodyText"/>
        <w:widowControl/>
        <w:spacing w:line="300" w:lineRule="auto" w:after="80"/>
        <w:ind w:left="454" w:hanging="454"/>
      </w:pPr>
      <w:r>
        <w:rPr>
          <w:rFonts w:ascii="Noto Sans CJK SC" w:hAnsi="Noto Sans CJK SC" w:eastAsia="Noto Sans CJK SC"/>
          <w:color w:val="000000"/>
          <w:sz w:val="17"/>
        </w:rPr>
        <w:t xml:space="preserve">Sharkey, A., &amp; Sharkey, N. (2012). Granny and the robots: Ethical issues in robot care for the elderly.</w:t>
      </w:r>
      <w:r>
        <w:rPr>
          <w:rFonts w:ascii="Noto Sans CJK SC" w:hAnsi="Noto Sans CJK SC" w:eastAsia="Noto Sans CJK SC"/>
          <w:color w:val="000000"/>
          <w:sz w:val="17"/>
        </w:rPr>
        <w:t xml:space="preserve"> </w:t>
      </w:r>
      <w:r>
        <w:rPr>
          <w:iCs/>
          <w:rFonts w:ascii="Noto Sans CJK SC" w:hAnsi="Noto Sans CJK SC" w:eastAsia="Noto Sans CJK SC"/>
          <w:i/>
          <w:color w:val="000000"/>
          <w:sz w:val="17"/>
        </w:rPr>
        <w:t xml:space="preserve">Ethics and Information Technology</w:t>
      </w:r>
      <w:r>
        <w:rPr>
          <w:rFonts w:ascii="Noto Sans CJK SC" w:hAnsi="Noto Sans CJK SC" w:eastAsia="Noto Sans CJK SC"/>
          <w:color w:val="000000"/>
          <w:sz w:val="17"/>
        </w:rPr>
        <w:t xml:space="preserve">, 14(1), 27–40. https://doi.org/10.1007/s10676-010-9234-6</w:t>
      </w:r>
    </w:p>
    <w:p>
      <w:pPr>
        <w:pStyle w:val="BodyText"/>
        <w:widowControl/>
        <w:spacing w:line="300" w:lineRule="auto" w:after="80"/>
        <w:ind w:left="454" w:hanging="454"/>
      </w:pPr>
      <w:r>
        <w:rPr>
          <w:rFonts w:ascii="Noto Sans CJK SC" w:hAnsi="Noto Sans CJK SC" w:eastAsia="Noto Sans CJK SC"/>
          <w:color w:val="000000"/>
          <w:sz w:val="17"/>
        </w:rPr>
        <w:t xml:space="preserve">United Nations. (2006).</w:t>
      </w:r>
      <w:r>
        <w:rPr>
          <w:rFonts w:ascii="Noto Sans CJK SC" w:hAnsi="Noto Sans CJK SC" w:eastAsia="Noto Sans CJK SC"/>
          <w:color w:val="000000"/>
          <w:sz w:val="17"/>
        </w:rPr>
        <w:t xml:space="preserve"> </w:t>
      </w:r>
      <w:r>
        <w:rPr>
          <w:iCs/>
          <w:rFonts w:ascii="Noto Sans CJK SC" w:hAnsi="Noto Sans CJK SC" w:eastAsia="Noto Sans CJK SC"/>
          <w:i/>
          <w:color w:val="000000"/>
          <w:sz w:val="17"/>
        </w:rPr>
        <w:t xml:space="preserve">Convention on the Rights of Persons with Disabilities</w:t>
      </w:r>
      <w:r>
        <w:rPr>
          <w:rFonts w:ascii="Noto Sans CJK SC" w:hAnsi="Noto Sans CJK SC" w:eastAsia="Noto Sans CJK SC"/>
          <w:color w:val="000000"/>
          <w:sz w:val="17"/>
        </w:rPr>
        <w:t xml:space="preserve">. https://www.un.org/development/desa/disabilities/convention-on-the-rights-of-persons-with-disabilities.html</w:t>
      </w:r>
    </w:p>
    <w:p>
      <w:pPr>
        <w:pStyle w:val="BodyText"/>
        <w:widowControl/>
        <w:spacing w:line="300" w:lineRule="auto" w:after="80"/>
        <w:ind w:left="454" w:hanging="454"/>
      </w:pPr>
      <w:r>
        <w:rPr>
          <w:rFonts w:ascii="Noto Sans CJK SC" w:hAnsi="Noto Sans CJK SC" w:eastAsia="Noto Sans CJK SC"/>
          <w:color w:val="000000"/>
          <w:sz w:val="17"/>
        </w:rPr>
        <w:t xml:space="preserve">van Wynsberghe, A. (2013). Designing robots for care: Care centered value-sensitive design.</w:t>
      </w:r>
      <w:r>
        <w:rPr>
          <w:rFonts w:ascii="Noto Sans CJK SC" w:hAnsi="Noto Sans CJK SC" w:eastAsia="Noto Sans CJK SC"/>
          <w:color w:val="000000"/>
          <w:sz w:val="17"/>
        </w:rPr>
        <w:t xml:space="preserve"> </w:t>
      </w:r>
      <w:r>
        <w:rPr>
          <w:iCs/>
          <w:rFonts w:ascii="Noto Sans CJK SC" w:hAnsi="Noto Sans CJK SC" w:eastAsia="Noto Sans CJK SC"/>
          <w:i/>
          <w:color w:val="000000"/>
          <w:sz w:val="17"/>
        </w:rPr>
        <w:t xml:space="preserve">Science and Engineering Ethics</w:t>
      </w:r>
      <w:r>
        <w:rPr>
          <w:rFonts w:ascii="Noto Sans CJK SC" w:hAnsi="Noto Sans CJK SC" w:eastAsia="Noto Sans CJK SC"/>
          <w:color w:val="000000"/>
          <w:sz w:val="17"/>
        </w:rPr>
        <w:t xml:space="preserve">, 19(2), 407–433. https://doi.org/10.1007/s11948-011-9343-6</w:t>
      </w:r>
    </w:p>
    <w:p>
      <w:pPr>
        <w:pStyle w:val="BodyText"/>
        <w:widowControl/>
        <w:spacing w:line="300" w:lineRule="auto" w:after="80"/>
        <w:ind w:left="454" w:hanging="454"/>
      </w:pPr>
      <w:r>
        <w:rPr>
          <w:rFonts w:ascii="Noto Sans CJK SC" w:hAnsi="Noto Sans CJK SC" w:eastAsia="Noto Sans CJK SC"/>
          <w:color w:val="000000"/>
          <w:sz w:val="17"/>
        </w:rPr>
        <w:t xml:space="preserve">Wallach, W., &amp; Allen, C. (2009).</w:t>
      </w:r>
      <w:r>
        <w:rPr>
          <w:rFonts w:ascii="Noto Sans CJK SC" w:hAnsi="Noto Sans CJK SC" w:eastAsia="Noto Sans CJK SC"/>
          <w:color w:val="000000"/>
          <w:sz w:val="17"/>
        </w:rPr>
        <w:t xml:space="preserve"> </w:t>
      </w:r>
      <w:r>
        <w:rPr>
          <w:iCs/>
          <w:rFonts w:ascii="Noto Sans CJK SC" w:hAnsi="Noto Sans CJK SC" w:eastAsia="Noto Sans CJK SC"/>
          <w:i/>
          <w:color w:val="000000"/>
          <w:sz w:val="17"/>
        </w:rPr>
        <w:t xml:space="preserve">Moral machines: Teaching robots right from wrong</w:t>
      </w:r>
      <w:r>
        <w:rPr>
          <w:rFonts w:ascii="Noto Sans CJK SC" w:hAnsi="Noto Sans CJK SC" w:eastAsia="Noto Sans CJK SC"/>
          <w:color w:val="000000"/>
          <w:sz w:val="17"/>
        </w:rPr>
        <w:t xml:space="preserve">. Oxford University Press.</w:t>
      </w:r>
    </w:p>
    <w:bookmarkEnd w:id="64"/>
    <w:sectPr>
      <w:headerReference w:type="default" r:id="rId9"/>
      <w:footerReference w:type="default" r:id="rId10"/>
      <w:pgSz w:w="11906" w:h="16838"/>
      <w:pgMar w:top="1247" w:bottom="1247" w:left="1417" w:right="1417" w:header="720" w:footer="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Lancelot Lu | August 2026</w:t>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Noto Sans CJK SC" w:hAnsi="Noto Sans CJK SC" w:eastAsia="Noto Sans CJK SC"/>
        <w:sz w:val="18"/>
      </w:rPr>
      <w:t>Negotiated Governance of AI Robots | From Value Embedding to Multi-Stakeholder Co-Construction</w:t>
    </w:r>
  </w:p>
</w:hdr>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pPr>
      <w:spacing w:line="360" w:lineRule="auto" w:after="120"/>
      <w:jc w:val="both"/>
    </w:pPr>
    <w:rPr>
      <w:rFonts w:ascii="Noto Sans CJK SC" w:hAnsi="Noto Sans CJK SC" w:eastAsia="Noto Sans CJK SC"/>
      <w:sz w:val="22"/>
    </w:rPr>
  </w:style>
  <w:style w:styleId="BodyText" w:type="paragraph">
    <w:name w:val="Body Text"/>
    <w:basedOn w:val="Normal"/>
    <w:link w:val="BodyTextChar"/>
    <w:pPr>
      <w:spacing w:after="100" w:before="180" w:line="324" w:lineRule="auto"/>
    </w:pPr>
    <w:qFormat/>
    <w:rPr>
      <w:rFonts w:ascii="Noto Sans CJK SC" w:hAnsi="Noto Sans CJK SC" w:eastAsia="Noto Sans CJK SC"/>
      <w:sz w:val="22"/>
    </w:rPr>
  </w:style>
  <w:style w:customStyle="1" w:styleId="FirstParagraph" w:type="paragraph">
    <w:name w:val="First Paragraph"/>
    <w:basedOn w:val="BodyText"/>
    <w:next w:val="BodyText"/>
    <w:qFormat/>
    <w:pPr>
      <w:spacing w:line="324" w:lineRule="auto" w:after="100"/>
    </w:pPr>
    <w:rPr>
      <w:rFonts w:ascii="Noto Sans CJK SC" w:hAnsi="Noto Sans CJK SC" w:eastAsia="Noto Sans CJK SC"/>
      <w:sz w:val="22"/>
    </w:rPr>
  </w:style>
  <w:style w:customStyle="1" w:styleId="Compact" w:type="paragraph">
    <w:name w:val="Compact"/>
    <w:basedOn w:val="BodyText"/>
    <w:qFormat/>
    <w:pPr>
      <w:spacing w:after="100" w:before="36" w:line="324" w:lineRule="auto"/>
    </w:pPr>
    <w:rPr>
      <w:rFonts w:ascii="Noto Sans CJK SC" w:hAnsi="Noto Sans CJK SC" w:eastAsia="Noto Sans CJK SC"/>
      <w:sz w:val="22"/>
    </w:rPr>
  </w:style>
  <w:style w:styleId="Title" w:type="paragraph">
    <w:name w:val="Title"/>
    <w:basedOn w:val="Normal"/>
    <w:next w:val="BodyText"/>
    <w:qFormat/>
    <w:pPr>
      <w:keepNext/>
      <w:keepLines/>
      <w:spacing w:after="120" w:before="480" w:line="240" w:lineRule="auto"/>
      <w:jc w:val="center"/>
    </w:pPr>
    <w:rPr>
      <w:rFonts w:asciiTheme="majorHAnsi" w:cstheme="majorBidi" w:eastAsiaTheme="majorEastAsia" w:hAnsiTheme="majorHAnsi" w:ascii="Noto Sans CJK SC" w:hAnsi="Noto Sans CJK SC" w:eastAsia="Noto Sans CJK SC"/>
      <w:b/>
      <w:bCs/>
      <w:color w:themeColor="accent1" w:themeShade="B5" w:val="345A8A"/>
      <w:sz w:val="40"/>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pageBreakBefore w:val="0"/>
      <w:spacing w:after="120" w:before="240"/>
      <w:outlineLvl w:val="0"/>
    </w:pPr>
    <w:rPr>
      <w:rFonts w:asciiTheme="majorHAnsi" w:cstheme="majorBidi" w:eastAsiaTheme="majorEastAsia" w:hAnsiTheme="majorHAnsi" w:ascii="Noto Sans CJK SC" w:hAnsi="Noto Sans CJK SC" w:eastAsia="Noto Sans CJK SC"/>
      <w:b/>
      <w:bCs/>
      <w:color w:themeColor="accent1" w:val="4F81BD"/>
      <w:sz w:val="32"/>
      <w:szCs w:val="32"/>
    </w:rPr>
  </w:style>
  <w:style w:styleId="Heading2" w:type="paragraph">
    <w:name w:val="Heading 2"/>
    <w:basedOn w:val="Normal"/>
    <w:next w:val="BodyText"/>
    <w:uiPriority w:val="9"/>
    <w:unhideWhenUsed/>
    <w:qFormat/>
    <w:pPr>
      <w:keepNext/>
      <w:keepLines/>
      <w:pageBreakBefore w:val="0"/>
      <w:spacing w:after="120" w:before="240"/>
      <w:outlineLvl w:val="1"/>
    </w:pPr>
    <w:rPr>
      <w:rFonts w:asciiTheme="majorHAnsi" w:cstheme="majorBidi" w:eastAsiaTheme="majorEastAsia" w:hAnsiTheme="majorHAnsi" w:ascii="Noto Sans CJK SC" w:hAnsi="Noto Sans CJK SC" w:eastAsia="Noto Sans CJK SC"/>
      <w:b/>
      <w:bCs/>
      <w:color w:themeColor="accent1" w:val="4F81BD"/>
      <w:sz w:val="27"/>
      <w:szCs w:val="28"/>
    </w:rPr>
  </w:style>
  <w:style w:styleId="Heading3" w:type="paragraph">
    <w:name w:val="Heading 3"/>
    <w:basedOn w:val="Normal"/>
    <w:next w:val="BodyText"/>
    <w:uiPriority w:val="9"/>
    <w:unhideWhenUsed/>
    <w:qFormat/>
    <w:pPr>
      <w:keepNext/>
      <w:keepLines/>
      <w:pageBreakBefore w:val="0"/>
      <w:spacing w:after="120" w:before="240"/>
      <w:outlineLvl w:val="2"/>
    </w:pPr>
    <w:rPr>
      <w:rFonts w:asciiTheme="majorHAnsi" w:cstheme="majorBidi" w:eastAsiaTheme="majorEastAsia" w:hAnsiTheme="majorHAnsi" w:ascii="Noto Sans CJK SC" w:hAnsi="Noto Sans CJK SC" w:eastAsia="Noto Sans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42" Type="http://schemas.openxmlformats.org/officeDocument/2006/relationships/image" Target="media/rId42.png"/><Relationship Id="rId55" Type="http://schemas.openxmlformats.org/officeDocument/2006/relationships/image" Target="media/rId55.png"/><Relationship Id="rId30" Type="http://schemas.openxmlformats.org/officeDocument/2006/relationships/image" Target="media/rId30.pn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AI robot governance, negotiated governance, APA, SSCI</cp:keywords>
  <dcterms:created xsi:type="dcterms:W3CDTF">2026-08-05T03:30:31Z</dcterms:created>
  <dcterms:modified xsi:type="dcterms:W3CDTF">2026-08-05T03:30:31Z</dcterms:modified>
  <dc:subject>Academic website article; SSCI submission-preparation manuscript</dc:subject>
</cp:coreProperties>
</file>

<file path=docProps/custom.xml><?xml version="1.0" encoding="utf-8"?>
<Properties xmlns="http://schemas.openxmlformats.org/officeDocument/2006/custom-properties" xmlns:vt="http://schemas.openxmlformats.org/officeDocument/2006/docPropsVTypes"/>
</file>