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ai機器人治理的協商模式從價值內建到多方共構"/>
    <w:p>
      <w:pPr>
        <w:pStyle w:val="Heading1"/>
        <w:keepNext/>
        <w:widowControl/>
        <w:jc w:val="center"/>
      </w:pPr>
      <w:r>
        <w:rPr>
          <w:rFonts w:ascii="Noto Sans CJK SC" w:hAnsi="Noto Sans CJK SC" w:eastAsia="Noto Sans CJK SC"/>
          <w:b/>
          <w:color w:val="000000"/>
          <w:sz w:val="32"/>
        </w:rPr>
        <w:t xml:space="preserve">AI機器人治理的協商模式：從價值內建到多方共構</w:t>
      </w:r>
    </w:p>
    <w:p>
      <w:pPr>
        <w:widowControl/>
        <w:spacing w:line="324" w:lineRule="auto" w:after="100"/>
        <w:jc w:val="center"/>
      </w:pPr>
      <w:r>
        <w:rPr>
          <w:bCs/>
          <w:rFonts w:ascii="Noto Sans CJK SC" w:hAnsi="Noto Sans CJK SC" w:eastAsia="Noto Sans CJK SC"/>
          <w:b/>
          <w:color w:val="000000"/>
        </w:rPr>
        <w:t xml:space="preserve">學術網站正式論文｜SSCI投稿準備版</w:t>
      </w:r>
    </w:p>
    <w:p>
      <w:pPr>
        <w:widowControl/>
        <w:spacing w:line="324" w:lineRule="auto" w:after="40"/>
        <w:jc w:val="center"/>
      </w:pPr>
      <w:r>
        <w:rPr>
          <w:bCs/>
          <w:rFonts w:ascii="Noto Sans CJK SC" w:hAnsi="Noto Sans CJK SC" w:eastAsia="Noto Sans CJK SC"/>
          <w:b/>
          <w:color w:val="000000"/>
        </w:rPr>
        <w:t xml:space="preserve">盧建旭（Lancelot Lu）</w:t>
      </w:r>
    </w:p>
    <w:p>
      <w:pPr>
        <w:widowControl/>
        <w:spacing w:line="324" w:lineRule="auto" w:after="40"/>
        <w:jc w:val="center"/>
      </w:pPr>
      <w:r>
        <w:rPr>
          <w:rFonts w:ascii="Noto Sans CJK SC" w:hAnsi="Noto Sans CJK SC" w:eastAsia="Noto Sans CJK SC"/>
          <w:color w:val="000000"/>
        </w:rPr>
        <w:t xml:space="preserve">2026年8月</w:t>
      </w:r>
    </w:p>
    <w:bookmarkEnd w:id="20"/>
    <w:bookmarkStart w:id="21" w:name="摘要"/>
    <w:p>
      <w:pPr>
        <w:pStyle w:val="Heading1"/>
        <w:keepNext/>
        <w:widowControl/>
      </w:pPr>
      <w:r>
        <w:rPr>
          <w:rFonts w:ascii="Noto Sans CJK SC" w:hAnsi="Noto Sans CJK SC" w:eastAsia="Noto Sans CJK SC"/>
          <w:color w:val="000000"/>
        </w:rPr>
        <w:t xml:space="preserve">摘要</w:t>
      </w:r>
    </w:p>
    <w:p>
      <w:pPr>
        <w:pStyle w:val="FirstParagraph"/>
        <w:widowControl/>
      </w:pPr>
      <w:r>
        <w:rPr>
          <w:rFonts w:ascii="Noto Sans CJK SC" w:hAnsi="Noto Sans CJK SC" w:eastAsia="Noto Sans CJK SC"/>
          <w:color w:val="000000"/>
        </w:rPr>
        <w:t xml:space="preserve">當AI機器人進入家庭與照護場域，問題不只在於如何把倫理價值寫進系統。人類制度還必須回答：誰界定風險、誰有權作成選擇、誰負責說明，又由誰承擔後果？本文延用二十五治理座標，將分析焦點下修至個人與組織，並以情境建構、權威、理由與責任四條治理鏈，比較廠商內建、政府命令、市場契約與多方協商四種治理路徑。本文不把四種路徑視為彼此隔離的制度選單；在實際治理中，它們會交會、偏移，並形成混合配置。治理可能性空間據此呈現尚未制度化、甚至尚未被命名的風險與選項。本文使用機器倫理與價值敏感設計文獻、臺灣法制與政策文件、作者對2002至2005年跨部會機器人政策討論的回溯性敘事，以及家用照護機器人的前瞻性思想實驗。問題是，協商若沒有期限、法定決定權與失敗後的回歸安排，參與也可能成為責任延宕的理由。本文因此提出僵局分級收斂與預設回歸點，並將分析架構轉化為政府研究單位可使用的六步驟工作流程。本文的貢獻不在證明協商必然優於其他路徑，而在提供一套能使問題框定、法定權威、決策理由與責任歸屬重新可見，並在協商或系統失敗時安全退場的政策工具。</w:t>
      </w:r>
    </w:p>
    <w:p>
      <w:pPr>
        <w:pStyle w:val="BodyText"/>
        <w:widowControl/>
      </w:pPr>
      <w:r>
        <w:rPr>
          <w:bCs/>
          <w:rFonts w:ascii="Noto Sans CJK SC" w:hAnsi="Noto Sans CJK SC" w:eastAsia="Noto Sans CJK SC"/>
          <w:b/>
          <w:color w:val="000000"/>
        </w:rPr>
        <w:t xml:space="preserve">關鍵詞：</w:t>
      </w:r>
      <w:r>
        <w:rPr>
          <w:rFonts w:ascii="Noto Sans CJK SC" w:hAnsi="Noto Sans CJK SC" w:eastAsia="Noto Sans CJK SC"/>
          <w:color w:val="000000"/>
        </w:rPr>
        <w:t xml:space="preserve"> </w:t>
      </w:r>
      <w:r>
        <w:rPr>
          <w:rFonts w:ascii="Noto Sans CJK SC" w:hAnsi="Noto Sans CJK SC" w:eastAsia="Noto Sans CJK SC"/>
          <w:color w:val="000000"/>
        </w:rPr>
        <w:t xml:space="preserve">AI機器人治理、協商式治理、人工道德代理人、價值敏感設計、治理可能性空間、預設回歸點</w:t>
      </w:r>
    </w:p>
    <w:bookmarkEnd w:id="21"/>
    <w:bookmarkStart w:id="22" w:name="X32c36bdc5461bbb4622721a4a7f2768064b1d31"/>
    <w:p>
      <w:pPr>
        <w:keepNext/>
        <w:widowControl/>
        <w:spacing w:line="324" w:lineRule="auto"/>
        <w:jc w:val="center"/>
      </w:pPr>
      <w:r>
        <w:rPr>
          <w:rFonts w:ascii="Noto Sans CJK SC" w:hAnsi="Noto Sans CJK SC" w:eastAsia="Noto Sans CJK SC"/>
          <w:color w:val="000000"/>
        </w:rPr>
        <w:t xml:space="preserve">Negotiated Governance of AI Robots: From Value Embedding to Multi-Stakeholder Co-Construction</w:t>
      </w:r>
    </w:p>
    <w:bookmarkEnd w:id="22"/>
    <w:bookmarkStart w:id="23" w:name="abstract"/>
    <w:p>
      <w:pPr>
        <w:pStyle w:val="Heading1"/>
        <w:keepNext/>
        <w:widowControl/>
      </w:pPr>
      <w:r>
        <w:rPr>
          <w:rFonts w:ascii="Noto Sans CJK SC" w:hAnsi="Noto Sans CJK SC" w:eastAsia="Noto Sans CJK SC"/>
          <w:color w:val="000000"/>
        </w:rPr>
        <w:t xml:space="preserve">Abstract</w:t>
      </w:r>
    </w:p>
    <w:p>
      <w:pPr>
        <w:pStyle w:val="FirstParagraph"/>
        <w:widowControl/>
      </w:pPr>
      <w:r>
        <w:rPr>
          <w:rFonts w:ascii="Noto Sans CJK SC" w:hAnsi="Noto Sans CJK SC" w:eastAsia="Noto Sans CJK SC"/>
          <w:color w:val="000000"/>
        </w:rPr>
        <w:t xml:space="preserve">When artificial intelligence (AI) robots enter domestic and care settings, the fundamental governance challenge extends beyond how ethical values ought to be embedded into system architectures. Human institutions must also systematically resolve who possesses the authority to define risks, who is empowered to make decisions, who is required to provide justifications, and who ultimately bears the consequences. This article applies a 5 × 5 framework of twenty-five governance coordinates at the individual and organizational levels, employing four governance chains—context construction, authority, reason, and responsibility—to evaluate and compare four institutional pathways: vendor embedding, government command, market contracting, and multi-stakeholder negotiation. Rather than treating these pathways as isolated institutional alternatives, the analysis demonstrates how they intersect, shift, and form hybrid arrangements. The study synthesizes structured literature and legal analysis, a bounded retrospective account of the author's participation in Taiwanese interagency robotics-policy discussions from 2002 to 2005, and prospective thought experiments regarding domestic care robots. It further establishes a graded deadlock resolution mechanism, a predefined reversion point, and an actionable six-step workflow tailored for government research units. Ultimately, this article offers a meso-level public-administration framework that bridges ethics-by-design with institutional authority and administrative responsibility. Its core thesis is not that negotiation invariably outperforms command, contract, or technical embedding, but rather that legitimate governance must render problem framing, lawful authority, reasoned justification, and responsibility transparent—while providing a secure institutional fallback when consensus or system performance fails.</w:t>
      </w:r>
    </w:p>
    <w:p>
      <w:pPr>
        <w:pStyle w:val="BodyText"/>
        <w:widowControl/>
      </w:pPr>
      <w:r>
        <w:rPr>
          <w:bCs/>
          <w:rFonts w:ascii="Noto Sans CJK SC" w:hAnsi="Noto Sans CJK SC" w:eastAsia="Noto Sans CJK SC"/>
          <w:b/>
          <w:color w:val="000000"/>
        </w:rPr>
        <w:t xml:space="preserve">Keywords:</w:t>
      </w:r>
      <w:r>
        <w:rPr>
          <w:rFonts w:ascii="Noto Sans CJK SC" w:hAnsi="Noto Sans CJK SC" w:eastAsia="Noto Sans CJK SC"/>
          <w:color w:val="000000"/>
        </w:rPr>
        <w:t xml:space="preserve"> </w:t>
      </w:r>
      <w:r>
        <w:rPr>
          <w:rFonts w:ascii="Noto Sans CJK SC" w:hAnsi="Noto Sans CJK SC" w:eastAsia="Noto Sans CJK SC"/>
          <w:color w:val="000000"/>
        </w:rPr>
        <w:t xml:space="preserve">AI robot governance, negotiated governance, artificial moral agents, value sensitive design, governance possibility space, reversion point</w:t>
      </w:r>
    </w:p>
    <w:bookmarkEnd w:id="23"/>
    <w:bookmarkStart w:id="24" w:name="研究定位與文章關係"/>
    <w:p>
      <w:pPr>
        <w:pStyle w:val="Heading1"/>
        <w:keepNext/>
        <w:widowControl/>
      </w:pPr>
      <w:r>
        <w:rPr>
          <w:rFonts w:ascii="Noto Sans CJK SC" w:hAnsi="Noto Sans CJK SC" w:eastAsia="Noto Sans CJK SC"/>
          <w:color w:val="000000"/>
        </w:rPr>
        <w:t xml:space="preserve">研究定位與文章關係</w:t>
      </w:r>
    </w:p>
    <w:p>
      <w:pPr>
        <w:pStyle w:val="FirstParagraph"/>
        <w:widowControl/>
      </w:pPr>
      <w:r>
        <w:t>本文採用二十五治理座標與四條治理鏈的分析框架，將分析單位下修至個人與組織，探討AI機器人，尤其是家用與照護型機器人，進入日常生活後所引發的治理協商問題。本文使用全球與臺灣的正式文獻，並納入2026年1月14日公布施行之《人工智慧基本法》。本稿保留研究設計性質，目的在提出可供後續研究、政策討論與實務試辦引用的分析架構。</w:t>
      </w:r>
    </w:p>
    <w:p>
      <w:pPr>
        <w:pStyle w:val="BodyText"/>
        <w:widowControl/>
      </w:pPr>
      <w:r>
        <w:rPr>
          <w:rFonts w:ascii="Noto Sans CJK SC" w:hAnsi="Noto Sans CJK SC" w:eastAsia="Noto Sans CJK SC"/>
          <w:color w:val="000000"/>
        </w:rPr>
        <w:t xml:space="preserve">研究性質與材料範圍</w:t>
      </w:r>
    </w:p>
    <w:p>
      <w:pPr>
        <w:pStyle w:val="BodyText"/>
        <w:widowControl/>
      </w:pPr>
      <w:r>
        <w:rPr>
          <w:rFonts w:ascii="Noto Sans CJK SC" w:hAnsi="Noto Sans CJK SC" w:eastAsia="Noto Sans CJK SC"/>
          <w:color w:val="000000"/>
        </w:rPr>
        <w:t xml:space="preserve">本文採取理論建構導向的質性研究設計，目的不是估計因果效果，而是辨識AI機器人治理中的制度機制，並將其轉化為可供後續實證研究檢驗的分析架構。材料包括結構化文獻與法制分析、作者對2002至2005年跨部會政策參與經驗的回溯性敘事，以及用來揭示制度缺口的前瞻性思想實驗。作者的會議記憶是第一手參與材料，可以用來分析當時的問題框定、互動與權威空缺；但除非另有會議紀錄、訪談或檔案支持，本文不將記憶中的語句當作逐字紀錄，也不宣稱已完成多來源交叉驗證。六步驟流程與預設回歸點則是本文提出的規範性政策工具，其成立不以已獲政府採用或公開認定為前提，未來仍可透過模擬會議、實際試辦或文件分析檢視其適用範圍。</w:t>
      </w:r>
    </w:p>
    <w:bookmarkEnd w:id="24"/>
    <w:bookmarkStart w:id="28" w:name="壹緒論"/>
    <w:p>
      <w:pPr>
        <w:pStyle w:val="Heading1"/>
        <w:keepNext/>
        <w:widowControl/>
      </w:pPr>
      <w:r>
        <w:rPr>
          <w:rFonts w:ascii="Noto Sans CJK SC" w:hAnsi="Noto Sans CJK SC" w:eastAsia="Noto Sans CJK SC"/>
          <w:color w:val="000000"/>
        </w:rPr>
        <w:t xml:space="preserve">壹、緒論</w:t>
      </w:r>
    </w:p>
    <w:bookmarkStart w:id="25" w:name="一先釐清協商的對象"/>
    <w:p>
      <w:pPr>
        <w:pStyle w:val="Heading2"/>
        <w:keepNext/>
        <w:widowControl/>
      </w:pPr>
      <w:r>
        <w:rPr>
          <w:rFonts w:ascii="Noto Sans CJK SC" w:hAnsi="Noto Sans CJK SC" w:eastAsia="Noto Sans CJK SC"/>
          <w:color w:val="000000"/>
        </w:rPr>
        <w:t xml:space="preserve">一、先釐清協商的對象</w:t>
      </w:r>
    </w:p>
    <w:p>
      <w:pPr>
        <w:pStyle w:val="FirstParagraph"/>
        <w:widowControl/>
      </w:pPr>
      <w:r>
        <w:rPr>
          <w:rFonts w:ascii="Noto Sans CJK SC" w:hAnsi="Noto Sans CJK SC" w:eastAsia="Noto Sans CJK SC"/>
          <w:color w:val="000000"/>
        </w:rPr>
        <w:t xml:space="preserve">本文所稱的「協商」，並不是人類與機器人的對話，而是人類制度如何處理機器人造成的價值衝突。參與者包括製造商、使用者、家屬、照護機構、主管機關，以及身心障礙者與老年權益代表。問題是，當系統的設計與行為已經影響人的安全、自主與生活安排時，誰有資格界定風險、誰能作成決定，又由誰承擔後果？本文始終把這些問題留在人類的制度網絡中，不預設AI具有意識、意願、人格或協商資格。</w:t>
      </w:r>
    </w:p>
    <w:p>
      <w:pPr>
        <w:pStyle w:val="BodyText"/>
        <w:widowControl/>
      </w:pPr>
      <w:r>
        <w:rPr>
          <w:rFonts w:ascii="Noto Sans CJK SC" w:hAnsi="Noto Sans CJK SC" w:eastAsia="Noto Sans CJK SC"/>
          <w:color w:val="000000"/>
        </w:rPr>
        <w:t xml:space="preserve">這項界線必須先釐清，因為機器倫理文獻確實討論「人工道德代理人」（artificial</w:t>
      </w:r>
      <w:r>
        <w:rPr>
          <w:rFonts w:ascii="Noto Sans CJK SC" w:hAnsi="Noto Sans CJK SC" w:eastAsia="Noto Sans CJK SC"/>
          <w:color w:val="000000"/>
        </w:rPr>
        <w:t xml:space="preserve"> </w:t>
      </w:r>
      <w:r>
        <w:rPr>
          <w:rFonts w:ascii="Noto Sans CJK SC" w:hAnsi="Noto Sans CJK SC" w:eastAsia="Noto Sans CJK SC"/>
          <w:color w:val="000000"/>
        </w:rPr>
        <w:t xml:space="preserve">moral agents）（Wallach &amp; Allen, 2009; Anderson &amp; Anderson,</w:t>
      </w:r>
      <w:r>
        <w:rPr>
          <w:rFonts w:ascii="Noto Sans CJK SC" w:hAnsi="Noto Sans CJK SC" w:eastAsia="Noto Sans CJK SC"/>
          <w:color w:val="000000"/>
        </w:rPr>
        <w:t xml:space="preserve"> </w:t>
      </w:r>
      <w:r>
        <w:rPr>
          <w:rFonts w:ascii="Noto Sans CJK SC" w:hAnsi="Noto Sans CJK SC" w:eastAsia="Noto Sans CJK SC"/>
          <w:color w:val="000000"/>
        </w:rPr>
        <w:t xml:space="preserve">2011）。本文不否定這類研究的學術價值，也不進入AI是否具有道德地位的形上學爭辯；本文要處理的是較直接的公共行政問題：機器人進入生活領域後，既有制度如何承接價值衝突，而不讓權威與責任隨著技術自主性一起消失。</w:t>
      </w:r>
    </w:p>
    <w:bookmarkEnd w:id="25"/>
    <w:bookmarkStart w:id="26" w:name="二問題意識與策略意圖"/>
    <w:p>
      <w:pPr>
        <w:pStyle w:val="Heading2"/>
        <w:keepNext/>
        <w:widowControl/>
      </w:pPr>
      <w:r>
        <w:rPr>
          <w:rFonts w:ascii="Noto Sans CJK SC" w:hAnsi="Noto Sans CJK SC" w:eastAsia="Noto Sans CJK SC"/>
          <w:color w:val="000000"/>
        </w:rPr>
        <w:t xml:space="preserve">二、問題意識與策略意圖</w:t>
      </w:r>
    </w:p>
    <w:p>
      <w:pPr>
        <w:pStyle w:val="FirstParagraph"/>
        <w:widowControl/>
      </w:pPr>
      <w:r>
        <w:rPr>
          <w:rFonts w:ascii="Noto Sans CJK SC" w:hAnsi="Noto Sans CJK SC" w:eastAsia="Noto Sans CJK SC"/>
          <w:color w:val="000000"/>
        </w:rPr>
        <w:t xml:space="preserve">AI倫理治理經常從兩種安排出發。政府可以用法律劃定設計與部署的界線，廠商也可以把價值排序寫進模型、產品與服務條款。兩者都有必要，卻各自留下問題：前者可能有法而無足夠執行能力，後者則容易使公共價值成為供應商的內部決定。本文因此提出協商式或多方共構路徑。它不是排除命令與技術內建，而是要求製造商、使用者、照護機構、權益代表與主管機關，在制度程序中說明自己的框架、權限、理由與責任。</w:t>
      </w:r>
    </w:p>
    <w:p>
      <w:pPr>
        <w:pStyle w:val="BodyText"/>
        <w:widowControl/>
      </w:pPr>
      <w:r>
        <w:t>價值敏感設計（Value Sensitive Design, VSD）已在設計階段引入概念、經驗與技術調查（Friedman &amp; Hendry, 2019; Friedman et al., 2006）；多方利害關係人策略則進一步要求研究者、部署者、監管者與公民社會共同參與AI與機器人治理（SIENNA Project, 2021）。問題仍在於：當價值衝突已經進入跨機關會議、採購、試辦與事故處理時，抽象的參與原則要如何變成可以執行的行政程序？本文以風險地圖、談判腳本及預設回歸點回答這個缺口。</w:t>
      </w:r>
    </w:p>
    <w:bookmarkEnd w:id="26"/>
    <w:bookmarkStart w:id="27" w:name="三研究問題與核心論點"/>
    <w:p>
      <w:pPr>
        <w:pStyle w:val="Heading2"/>
        <w:keepNext/>
        <w:widowControl/>
      </w:pPr>
      <w:r>
        <w:rPr>
          <w:rFonts w:ascii="Noto Sans CJK SC" w:hAnsi="Noto Sans CJK SC" w:eastAsia="Noto Sans CJK SC"/>
          <w:color w:val="000000"/>
        </w:rPr>
        <w:t xml:space="preserve">三、研究問題與核心論點</w:t>
      </w:r>
    </w:p>
    <w:p>
      <w:pPr>
        <w:pStyle w:val="FirstParagraph"/>
        <w:widowControl/>
      </w:pPr>
      <w:r>
        <w:rPr>
          <w:rFonts w:ascii="Noto Sans CJK SC" w:hAnsi="Noto Sans CJK SC" w:eastAsia="Noto Sans CJK SC"/>
          <w:color w:val="000000"/>
        </w:rPr>
        <w:t xml:space="preserve">研究問題：AI機器人進入人類生活領域（尤其家庭與照護場域）時，應以何種治理模式承接其對人類價值之衝擊？</w:t>
      </w:r>
    </w:p>
    <w:p>
      <w:pPr>
        <w:pStyle w:val="BodyText"/>
        <w:widowControl/>
      </w:pPr>
      <w:r>
        <w:rPr>
          <w:rFonts w:ascii="Noto Sans CJK SC" w:hAnsi="Noto Sans CJK SC" w:eastAsia="Noto Sans CJK SC"/>
          <w:color w:val="000000"/>
        </w:rPr>
        <w:t xml:space="preserve">本文的核心判斷是：家用與照護型AI機器人同時牽動尊嚴、自主、不歧視、勞動、產品安全、隱私、國家安全、財產、繼承、消費者保護、分配正義與環境永續。這種跨領域性使它適合用來壓力測試二十五治理座標能否跨尺度運作。本文並不以列舉價值為終點，而是進一步追問這些價值如何進入機關分工、政策選擇與責任安排，最後形成可由政府研究單位實際使用的風險地圖與談判腳本。</w:t>
      </w:r>
    </w:p>
    <w:bookmarkEnd w:id="27"/>
    <w:bookmarkEnd w:id="28"/>
    <w:bookmarkStart w:id="33" w:name="貳研究設計與分析策略"/>
    <w:p>
      <w:pPr>
        <w:pStyle w:val="Heading1"/>
        <w:keepNext/>
        <w:widowControl/>
      </w:pPr>
      <w:r>
        <w:rPr>
          <w:rFonts w:ascii="Noto Sans CJK SC" w:hAnsi="Noto Sans CJK SC" w:eastAsia="Noto Sans CJK SC"/>
          <w:color w:val="000000"/>
        </w:rPr>
        <w:t xml:space="preserve">貳、研究設計與分析策略</w:t>
      </w:r>
    </w:p>
    <w:bookmarkStart w:id="29" w:name="一研究取徑與分析目的"/>
    <w:p>
      <w:pPr>
        <w:pStyle w:val="Heading2"/>
        <w:keepNext/>
        <w:widowControl/>
      </w:pPr>
      <w:r>
        <w:rPr>
          <w:rFonts w:ascii="Noto Sans CJK SC" w:hAnsi="Noto Sans CJK SC" w:eastAsia="Noto Sans CJK SC"/>
          <w:color w:val="000000"/>
        </w:rPr>
        <w:t xml:space="preserve">一、研究取徑與分析目的</w:t>
      </w:r>
    </w:p>
    <w:p>
      <w:pPr>
        <w:pStyle w:val="FirstParagraph"/>
        <w:widowControl/>
      </w:pPr>
      <w:r>
        <w:rPr>
          <w:rFonts w:ascii="Noto Sans CJK SC" w:hAnsi="Noto Sans CJK SC" w:eastAsia="Noto Sans CJK SC"/>
          <w:color w:val="000000"/>
        </w:rPr>
        <w:t xml:space="preserve">本文採取理論建構導向的質性研究設計，以AI機器人進入家庭與照護場域所產生的跨部門衝突作為制度壓力測試。此處的壓力測試不是驗證單一模型的預測準確度，而是把同一治理問題置於不同座標、不同制度路徑與不同失敗情境中，觀察既有權威、理由與責任安排在何處中斷。研究的分析單位是治理安排，而不是機器人個體；分析焦點則是人類行動者如何界定問題、取得授權、提出理由並承擔後果。</w:t>
      </w:r>
    </w:p>
    <w:bookmarkEnd w:id="29"/>
    <w:bookmarkStart w:id="30" w:name="二材料選取與證據界線"/>
    <w:p>
      <w:pPr>
        <w:pStyle w:val="Heading2"/>
        <w:keepNext/>
        <w:widowControl/>
      </w:pPr>
      <w:r>
        <w:rPr>
          <w:rFonts w:ascii="Noto Sans CJK SC" w:hAnsi="Noto Sans CJK SC" w:eastAsia="Noto Sans CJK SC"/>
          <w:color w:val="000000"/>
        </w:rPr>
        <w:t xml:space="preserve">二、材料選取與證據界線</w:t>
      </w:r>
    </w:p>
    <w:p>
      <w:pPr>
        <w:pStyle w:val="FirstParagraph"/>
        <w:widowControl/>
      </w:pPr>
      <w:r>
        <w:rPr>
          <w:rFonts w:ascii="Noto Sans CJK SC" w:hAnsi="Noto Sans CJK SC" w:eastAsia="Noto Sans CJK SC"/>
          <w:color w:val="000000"/>
        </w:rPr>
        <w:t xml:space="preserve">第一類材料是機器倫理、價值敏感設計、照護機器人與利害關係人參與文獻，用以建立理論對話與概念邊界。第二類材料是臺灣及比較法制、政策方案與正式機構文件，用以辨識法定權威、部門分工及現行規範。第三類材料是作者對2002至2005年跨部會機器人政策討論的回溯性參與敘事。這類材料能揭示正式文件不易保留的問題框定與互動過程，但本文不把記憶中的語句視為逐字紀錄，也不以單一參與者敘事證明歷史事實。第四類材料是家用照護機器人的前瞻性思想實驗，其功能是暴露制度交界處的責任缺口，而不是預測特定法院或主管機關的結論。</w:t>
      </w:r>
    </w:p>
    <w:bookmarkEnd w:id="30"/>
    <w:bookmarkStart w:id="31" w:name="三分析程序"/>
    <w:p>
      <w:pPr>
        <w:pStyle w:val="Heading2"/>
        <w:keepNext/>
        <w:widowControl/>
      </w:pPr>
      <w:r>
        <w:rPr>
          <w:rFonts w:ascii="Noto Sans CJK SC" w:hAnsi="Noto Sans CJK SC" w:eastAsia="Noto Sans CJK SC"/>
          <w:color w:val="000000"/>
        </w:rPr>
        <w:t xml:space="preserve">三、分析程序</w:t>
      </w:r>
    </w:p>
    <w:p>
      <w:pPr>
        <w:pStyle w:val="FirstParagraph"/>
        <w:widowControl/>
      </w:pPr>
      <w:r>
        <w:rPr>
          <w:rFonts w:ascii="Noto Sans CJK SC" w:hAnsi="Noto Sans CJK SC" w:eastAsia="Noto Sans CJK SC"/>
          <w:color w:val="000000"/>
        </w:rPr>
        <w:t>分析分為四步。第一步，以二十五治理座標定位問題起點及可能的跨座標移動。第二步，分別以情境建構、權威、理由與責任四條治理鏈檢查制度安排。第三步，比較廠商內建、政府命令、市場契約與多方協商四種路徑在效能、正當性、行政能力與責任風險上的差異。第四步，以僵局、事故、資料不足與組織能力不足等失敗情境進行壓力測試，據此提出預設回歸點與六步驟工作流程。這套程序產生的是可追蹤的制度判斷，不是將複雜價值壓縮成單一加總分數。</w:t>
      </w:r>
    </w:p>
    <w:bookmarkEnd w:id="31"/>
    <w:bookmarkStart w:id="32" w:name="四可檢驗的理論主張"/>
    <w:p>
      <w:pPr>
        <w:pStyle w:val="Heading2"/>
        <w:keepNext/>
        <w:widowControl/>
      </w:pPr>
      <w:r>
        <w:rPr>
          <w:rFonts w:ascii="Noto Sans CJK SC" w:hAnsi="Noto Sans CJK SC" w:eastAsia="Noto Sans CJK SC"/>
          <w:color w:val="000000"/>
        </w:rPr>
        <w:t xml:space="preserve">四、可檢驗的理論主張</w:t>
      </w:r>
    </w:p>
    <w:p>
      <w:pPr>
        <w:pStyle w:val="FirstParagraph"/>
        <w:widowControl/>
      </w:pPr>
      <w:r>
        <w:rPr>
          <w:rFonts w:ascii="Noto Sans CJK SC" w:hAnsi="Noto Sans CJK SC" w:eastAsia="Noto Sans CJK SC"/>
          <w:color w:val="000000"/>
        </w:rPr>
        <w:t xml:space="preserve">本文提出三項可供後續案例研究、訪談或比較分析檢驗的主張。第一，AI機器人的技術自主程度越高，問題定義權越可能由法定機關移向供應商與部署組織；若情境建構鏈未被公開，權威重構將先於正式修法發生。第二，參與者數量增加不必然提升治理正當性；只有在受影響者取得資訊、異議能影響方案、法定機關保留最終責任時，多方參與才構成協商式治理。第三，明確的預設回歸點不只是安全裝置，也是一種課責機制；它把停機、人工接管、重新審議與再次上線的權限及理由預先制度化，因而降低責任漂移。</w:t>
      </w:r>
    </w:p>
    <w:bookmarkEnd w:id="32"/>
    <w:bookmarkEnd w:id="33"/>
    <w:bookmarkStart w:id="41" w:name="參分析框架座標下修與理論對話"/>
    <w:p>
      <w:pPr>
        <w:pStyle w:val="Heading1"/>
        <w:keepNext/>
        <w:widowControl/>
      </w:pPr>
      <w:r>
        <w:rPr>
          <w:rFonts w:ascii="Noto Sans CJK SC" w:hAnsi="Noto Sans CJK SC" w:eastAsia="Noto Sans CJK SC"/>
          <w:color w:val="000000"/>
        </w:rPr>
        <w:t xml:space="preserve">參、分析框架：座標下修與理論對話</w:t>
      </w:r>
    </w:p>
    <w:bookmarkStart w:id="37" w:name="一二十五治理座標之分析單位下修"/>
    <w:p>
      <w:pPr>
        <w:pStyle w:val="Heading2"/>
        <w:keepNext/>
        <w:widowControl/>
      </w:pPr>
      <w:r>
        <w:rPr>
          <w:rFonts w:ascii="Noto Sans CJK SC" w:hAnsi="Noto Sans CJK SC" w:eastAsia="Noto Sans CJK SC"/>
          <w:color w:val="000000"/>
        </w:rPr>
        <w:t xml:space="preserve">一、二十五治理座標之分析單位下修</w:t>
      </w:r>
    </w:p>
    <w:p>
      <w:pPr>
        <w:pStyle w:val="FirstParagraph"/>
        <w:widowControl/>
      </w:pPr>
      <w:r>
        <w:t>本文延用二十五治理座標（五個分析層次×五個分析單位）（盧建旭，2026），但聚焦於個人與組織，而非社會與國際層次。這項下修不是單純更換案例。若同一框架只能解釋跨國或巨觀衝突，它的理論適用範圍便相當有限；家庭購買、照護機構部署與廠商產品設計，正好提供跨尺度解釋力的壓力測試。</w:t>
      </w:r>
    </w:p>
    <w:p>
      <w:pPr>
        <w:pStyle w:val="BodyText"/>
        <w:widowControl/>
      </w:pPr>
      <w:r>
        <w:rPr>
          <w:rFonts w:ascii="Noto Sans CJK SC" w:hAnsi="Noto Sans CJK SC" w:eastAsia="Noto Sans CJK SC"/>
          <w:color w:val="000000"/>
        </w:rPr>
        <w:drawing>
          <wp:inline>
            <wp:extent cx="5334000" cy="4324864"/>
            <wp:effectExtent b="0" l="0" r="0" t="0"/>
            <wp:docPr descr="五個公共行政分析層次與個人、團體、組織、社會、國際五個分析單位所構成的二十五座標。" title="" id="35" name="Picture"/>
            <a:graphic>
              <a:graphicData uri="http://schemas.openxmlformats.org/drawingml/2006/picture">
                <pic:pic>
                  <pic:nvPicPr>
                    <pic:cNvPr descr="work/extracted/article_media/media/image3.png" id="36" name="Picture"/>
                    <pic:cNvPicPr>
                      <a:picLocks noChangeArrowheads="1" noChangeAspect="1"/>
                    </pic:cNvPicPr>
                  </pic:nvPicPr>
                  <pic:blipFill>
                    <a:blip r:embed="rId34"/>
                    <a:stretch>
                      <a:fillRect/>
                    </a:stretch>
                  </pic:blipFill>
                  <pic:spPr bwMode="auto">
                    <a:xfrm>
                      <a:off x="0" y="0"/>
                      <a:ext cx="5334000" cy="4324864"/>
                    </a:xfrm>
                    <a:prstGeom prst="rect">
                      <a:avLst/>
                    </a:prstGeom>
                    <a:noFill/>
                    <a:ln w="9525">
                      <a:noFill/>
                      <a:headEnd/>
                      <a:tailEnd/>
                    </a:ln>
                  </pic:spPr>
                </pic:pic>
              </a:graphicData>
            </a:graphic>
          </wp:inline>
        </w:drawing>
      </w:r>
    </w:p>
    <w:p>
      <w:pPr>
        <w:pStyle w:val="BodyText"/>
        <w:keepNext/>
        <w:widowControl/>
        <w:jc w:val="center"/>
      </w:pPr>
      <w:r>
        <w:rPr>
          <w:bCs/>
          <w:rFonts w:ascii="Noto Sans CJK SC" w:hAnsi="Noto Sans CJK SC" w:eastAsia="Noto Sans CJK SC"/>
          <w:b/>
          <w:color w:val="000000"/>
        </w:rPr>
        <w:t xml:space="preserve">圖3.1　AI治理下的5×5公共行政分析圖</w:t>
      </w:r>
    </w:p>
    <w:p>
      <w:pPr>
        <w:pStyle w:val="BodyText"/>
        <w:widowControl/>
      </w:pPr>
      <w:r>
        <w:t>資料來源：依盧建旭（1996a，1996b；2026）之分析架構延伸，作者自行繪製。</w:t>
      </w:r>
    </w:p>
    <w:p>
      <w:pPr>
        <w:pStyle w:val="BodyText"/>
        <w:keepNext/>
        <w:widowControl/>
        <w:jc w:val="center"/>
      </w:pPr>
      <w:r>
        <w:rPr>
          <w:rFonts w:ascii="Noto Sans CJK SC" w:hAnsi="Noto Sans CJK SC" w:eastAsia="Noto Sans CJK SC"/>
          <w:color w:val="000000"/>
        </w:rPr>
        <w:t xml:space="preserve">圖3.1的功能在於定位，而非將各格視為彼此封閉的分類。縱軸呈現哲學與價值、制度分工、政策體系、組織設計與管理運作五個分析層次；橫軸則呈現個人、團體、組織、社會與國際五個分析單位。AI介入治理之後，同一問題可能跨越多個座標，並伴隨邊界消解或權威重構。因此，二十五座標提供的是追蹤問題移動的共同語言，而不是靜態歸類的終點。</w:t>
      </w:r>
    </w:p>
    <w:p>
      <w:pPr>
        <w:pStyle w:val="BodyText"/>
        <w:widowControl/>
      </w:pPr>
      <w:r>
        <w:t>具體而言，家用照護機器人案例主要落在「哲學與價值×個人」（尊嚴與自主）、「制度分工×組織」（製造商—照護機構—政府之角色分配）、「管理運作×個人」（跌倒偵測、服藥提醒之日常介入）等座標，並可能因累積效應產生跨座標移動至「政策體系×社會」與「制度分工×社會」。此與AFST、SyRI、Robodebt所展現之跨座標移動、邊界消解與權威重構模式形成對照。</w:t>
      </w:r>
    </w:p>
    <w:bookmarkEnd w:id="37"/>
    <w:bookmarkStart w:id="38" w:name="二理論對話對象與既有機器倫理文獻之區隔"/>
    <w:p>
      <w:pPr>
        <w:pStyle w:val="Heading2"/>
        <w:keepNext/>
        <w:widowControl/>
      </w:pPr>
      <w:r>
        <w:rPr>
          <w:rFonts w:ascii="Noto Sans CJK SC" w:hAnsi="Noto Sans CJK SC" w:eastAsia="Noto Sans CJK SC"/>
          <w:color w:val="000000"/>
        </w:rPr>
        <w:t xml:space="preserve">二、理論對話對象：與既有機器倫理文獻之區隔</w:t>
      </w:r>
    </w:p>
    <w:p>
      <w:pPr>
        <w:pStyle w:val="FirstParagraph"/>
        <w:widowControl/>
      </w:pPr>
      <w:r>
        <w:rPr>
          <w:rFonts w:ascii="Noto Sans CJK SC" w:hAnsi="Noto Sans CJK SC" w:eastAsia="Noto Sans CJK SC"/>
          <w:color w:val="000000"/>
        </w:rPr>
        <w:t xml:space="preserve">協商式治理與價值敏感設計、機器倫理具有理論親緣性，但三者回答的問題並不相同。表3.1的功能不是劃出互不往來的學派邊界，而是說明本文接續了哪些問題，又在哪一個制度層次向前推進。</w:t>
      </w:r>
    </w:p>
    <w:p>
      <w:pPr>
        <w:pStyle w:val="BodyText"/>
        <w:keepNext/>
        <w:widowControl/>
        <w:jc w:val="center"/>
      </w:pPr>
      <w:r>
        <w:rPr>
          <w:bCs/>
          <w:rFonts w:ascii="Noto Sans CJK SC" w:hAnsi="Noto Sans CJK SC" w:eastAsia="Noto Sans CJK SC"/>
          <w:b/>
          <w:color w:val="000000"/>
        </w:rPr>
        <w:t xml:space="preserve">表3.1　價值敏感設計、機器倫理與本文協商式治理之比較</w:t>
      </w:r>
    </w:p>
    <w:tbl>
      <w:tblPr>
        <w:tblStyle w:val="Table"/>
        <w:tblW w:type="auto" w:w="0"/>
        <w:jc w:val="center"/>
        <w:tblLayout w:type="autofit"/>
        <w:tblLook w:firstRow="1" w:lastRow="0" w:firstColumn="0" w:lastColumn="0" w:noHBand="0" w:noVBand="0" w:val="0020"/>
        <w:tblBorders>
          <w:top w:val="single" w:sz="4" w:color="A6A6A6"/>
          <w:left w:val="single" w:sz="4" w:color="A6A6A6"/>
          <w:bottom w:val="single" w:sz="4" w:color="A6A6A6"/>
          <w:right w:val="single" w:sz="4" w:color="A6A6A6"/>
          <w:insideH w:val="single" w:sz="4" w:color="A6A6A6"/>
          <w:insideV w:val="single" w:sz="4" w:color="A6A6A6"/>
        </w:tblBorders>
      </w:tblPr>
      <w:tblGrid>
        <w:gridCol w:w="1980"/>
        <w:gridCol w:w="1980"/>
        <w:gridCol w:w="1980"/>
        <w:gridCol w:w="1980"/>
      </w:tblGrid>
      <w:tr>
        <w:trPr>
          <w:tblHeader w:val="true"/>
        </w:trPr>
        <w:tc>
          <w:tcPr>
            <w:vAlign w:val="center"/>
            <w:shd w:fill="D9E2F3"/>
          </w:tcPr>
          <w:p>
            <w:pPr>
              <w:pStyle w:val="Compact"/>
              <w:spacing w:after="40" w:line="240" w:lineRule="auto"/>
            </w:pPr>
          </w:p>
        </w:tc>
        <w:tc>
          <w:tcPr>
            <w:vAlign w:val="center"/>
            <w:shd w:fill="D9E2F3"/>
          </w:tcPr>
          <w:p>
            <w:pPr>
              <w:pStyle w:val="Compact"/>
              <w:spacing w:after="40" w:line="240" w:lineRule="auto"/>
            </w:pPr>
          </w:p>
        </w:tc>
        <w:tc>
          <w:tcPr>
            <w:vAlign w:val="center"/>
            <w:shd w:fill="D9E2F3"/>
          </w:tcPr>
          <w:p>
            <w:pPr>
              <w:pStyle w:val="Compact"/>
              <w:spacing w:after="40" w:line="240" w:lineRule="auto"/>
            </w:pPr>
          </w:p>
        </w:tc>
        <w:tc>
          <w:tcPr>
            <w:vAlign w:val="center"/>
            <w:shd w:fill="D9E2F3"/>
          </w:tcPr>
          <w:p>
            <w:pPr>
              <w:pStyle w:val="Compact"/>
              <w:spacing w:after="40" w:line="240" w:lineRule="auto"/>
            </w:pPr>
          </w:p>
        </w:tc>
      </w:tr>
      <w:tr>
        <w:trPr/>
        <w:tc>
          <w:tcPr>
            <w:vAlign w:val="center"/>
          </w:tcPr>
          <w:p>
            <w:pPr>
              <w:pStyle w:val="Compact"/>
              <w:spacing w:after="40" w:line="240" w:lineRule="auto"/>
              <w:jc w:val="left"/>
            </w:pPr>
            <w:r>
              <w:rPr>
                <w:bCs/>
                <w:rFonts w:ascii="Noto Sans CJK SC" w:hAnsi="Noto Sans CJK SC" w:eastAsia="Noto Sans CJK SC"/>
                <w:b/>
                <w:color w:val="000000"/>
                <w:sz w:val="18"/>
              </w:rPr>
              <w:t xml:space="preserve">比較維度</w:t>
            </w:r>
          </w:p>
        </w:tc>
        <w:tc>
          <w:tcPr>
            <w:vAlign w:val="center"/>
          </w:tcPr>
          <w:p>
            <w:pPr>
              <w:pStyle w:val="Compact"/>
              <w:spacing w:after="40" w:line="240" w:lineRule="auto"/>
              <w:jc w:val="left"/>
            </w:pPr>
            <w:r>
              <w:rPr>
                <w:bCs/>
                <w:rFonts w:ascii="Noto Sans CJK SC" w:hAnsi="Noto Sans CJK SC" w:eastAsia="Noto Sans CJK SC"/>
                <w:b/>
                <w:color w:val="000000"/>
                <w:sz w:val="18"/>
              </w:rPr>
              <w:t xml:space="preserve">價值敏感設計（VSD）</w:t>
            </w:r>
          </w:p>
        </w:tc>
        <w:tc>
          <w:tcPr>
            <w:vAlign w:val="center"/>
          </w:tcPr>
          <w:p>
            <w:pPr>
              <w:pStyle w:val="Compact"/>
              <w:spacing w:after="40" w:line="240" w:lineRule="auto"/>
              <w:jc w:val="left"/>
            </w:pPr>
            <w:r>
              <w:rPr>
                <w:bCs/>
                <w:rFonts w:ascii="Noto Sans CJK SC" w:hAnsi="Noto Sans CJK SC" w:eastAsia="Noto Sans CJK SC"/>
                <w:b/>
                <w:color w:val="000000"/>
                <w:sz w:val="18"/>
              </w:rPr>
              <w:t xml:space="preserve">機器倫理（Machine Ethics）</w:t>
            </w:r>
          </w:p>
        </w:tc>
        <w:tc>
          <w:tcPr>
            <w:vAlign w:val="center"/>
          </w:tcPr>
          <w:p>
            <w:pPr>
              <w:pStyle w:val="Compact"/>
              <w:spacing w:after="40" w:line="240" w:lineRule="auto"/>
              <w:jc w:val="left"/>
            </w:pPr>
            <w:r>
              <w:rPr>
                <w:bCs/>
                <w:rFonts w:ascii="Noto Sans CJK SC" w:hAnsi="Noto Sans CJK SC" w:eastAsia="Noto Sans CJK SC"/>
                <w:b/>
                <w:color w:val="000000"/>
                <w:sz w:val="18"/>
              </w:rPr>
              <w:t xml:space="preserve">本文（協商式治理）</w:t>
            </w:r>
          </w:p>
        </w:tc>
      </w:tr>
      <w:tr>
        <w:trPr/>
        <w:tc>
          <w:tcPr>
            <w:vAlign w:val="center"/>
          </w:tcPr>
          <w:p>
            <w:pPr>
              <w:pStyle w:val="Compact"/>
              <w:spacing w:after="40" w:line="240" w:lineRule="auto"/>
              <w:jc w:val="left"/>
            </w:pPr>
            <w:r>
              <w:rPr>
                <w:bCs/>
                <w:rFonts w:ascii="Noto Sans CJK SC" w:hAnsi="Noto Sans CJK SC" w:eastAsia="Noto Sans CJK SC"/>
                <w:b/>
                <w:color w:val="000000"/>
                <w:sz w:val="18"/>
              </w:rPr>
              <w:t xml:space="preserve">主要問題</w:t>
            </w:r>
          </w:p>
        </w:tc>
        <w:tc>
          <w:tcPr>
            <w:vAlign w:val="center"/>
          </w:tcPr>
          <w:p>
            <w:pPr>
              <w:pStyle w:val="Compact"/>
              <w:spacing w:after="40" w:line="240" w:lineRule="auto"/>
              <w:jc w:val="left"/>
            </w:pPr>
            <w:r>
              <w:rPr>
                <w:rFonts w:ascii="Noto Sans CJK SC" w:hAnsi="Noto Sans CJK SC" w:eastAsia="Noto Sans CJK SC"/>
                <w:color w:val="000000"/>
                <w:sz w:val="18"/>
              </w:rPr>
              <w:t xml:space="preserve">如何在設計過程中納入人類價值？</w:t>
            </w:r>
          </w:p>
        </w:tc>
        <w:tc>
          <w:tcPr>
            <w:vAlign w:val="center"/>
          </w:tcPr>
          <w:p>
            <w:pPr>
              <w:pStyle w:val="Compact"/>
              <w:spacing w:after="40" w:line="240" w:lineRule="auto"/>
              <w:jc w:val="left"/>
            </w:pPr>
            <w:r>
              <w:rPr>
                <w:rFonts w:ascii="Noto Sans CJK SC" w:hAnsi="Noto Sans CJK SC" w:eastAsia="Noto Sans CJK SC"/>
                <w:color w:val="000000"/>
                <w:sz w:val="18"/>
              </w:rPr>
              <w:t xml:space="preserve">如何讓AI機器人本身能做倫理判斷？</w:t>
            </w:r>
          </w:p>
        </w:tc>
        <w:tc>
          <w:tcPr>
            <w:vAlign w:val="center"/>
          </w:tcPr>
          <w:p>
            <w:pPr>
              <w:pStyle w:val="Compact"/>
              <w:spacing w:after="40" w:line="240" w:lineRule="auto"/>
              <w:jc w:val="left"/>
            </w:pPr>
            <w:r>
              <w:rPr>
                <w:rFonts w:ascii="Noto Sans CJK SC" w:hAnsi="Noto Sans CJK SC" w:eastAsia="Noto Sans CJK SC"/>
                <w:color w:val="000000"/>
                <w:sz w:val="18"/>
              </w:rPr>
              <w:t xml:space="preserve">價值衝突進入制度場域後，人類利害關係人如何協商出可執行的治理安排？</w:t>
            </w:r>
          </w:p>
        </w:tc>
      </w:tr>
      <w:tr>
        <w:trPr/>
        <w:tc>
          <w:tcPr>
            <w:vAlign w:val="center"/>
          </w:tcPr>
          <w:p>
            <w:pPr>
              <w:pStyle w:val="Compact"/>
              <w:spacing w:after="40" w:line="240" w:lineRule="auto"/>
              <w:jc w:val="left"/>
            </w:pPr>
            <w:r>
              <w:rPr>
                <w:bCs/>
                <w:rFonts w:ascii="Noto Sans CJK SC" w:hAnsi="Noto Sans CJK SC" w:eastAsia="Noto Sans CJK SC"/>
                <w:b/>
                <w:color w:val="000000"/>
                <w:sz w:val="18"/>
              </w:rPr>
              <w:t xml:space="preserve">焦點對象</w:t>
            </w:r>
          </w:p>
        </w:tc>
        <w:tc>
          <w:tcPr>
            <w:vAlign w:val="center"/>
          </w:tcPr>
          <w:p>
            <w:pPr>
              <w:pStyle w:val="Compact"/>
              <w:spacing w:after="40" w:line="240" w:lineRule="auto"/>
              <w:jc w:val="left"/>
            </w:pPr>
            <w:r>
              <w:rPr>
                <w:rFonts w:ascii="Noto Sans CJK SC" w:hAnsi="Noto Sans CJK SC" w:eastAsia="Noto Sans CJK SC"/>
                <w:color w:val="000000"/>
                <w:sz w:val="18"/>
              </w:rPr>
              <w:t xml:space="preserve">設計者、利害關係人、技術系統</w:t>
            </w:r>
          </w:p>
        </w:tc>
        <w:tc>
          <w:tcPr>
            <w:vAlign w:val="center"/>
          </w:tcPr>
          <w:p>
            <w:pPr>
              <w:pStyle w:val="Compact"/>
              <w:spacing w:after="40" w:line="240" w:lineRule="auto"/>
              <w:jc w:val="left"/>
            </w:pPr>
            <w:r>
              <w:rPr>
                <w:rFonts w:ascii="Noto Sans CJK SC" w:hAnsi="Noto Sans CJK SC" w:eastAsia="Noto Sans CJK SC"/>
                <w:color w:val="000000"/>
                <w:sz w:val="18"/>
              </w:rPr>
              <w:t xml:space="preserve">AI系統本身（人工道德代理人）</w:t>
            </w:r>
          </w:p>
        </w:tc>
        <w:tc>
          <w:tcPr>
            <w:vAlign w:val="center"/>
          </w:tcPr>
          <w:p>
            <w:pPr>
              <w:pStyle w:val="Compact"/>
              <w:spacing w:after="40" w:line="240" w:lineRule="auto"/>
              <w:jc w:val="left"/>
            </w:pPr>
            <w:r>
              <w:rPr>
                <w:rFonts w:ascii="Noto Sans CJK SC" w:hAnsi="Noto Sans CJK SC" w:eastAsia="Noto Sans CJK SC"/>
                <w:color w:val="000000"/>
                <w:sz w:val="18"/>
              </w:rPr>
              <w:t xml:space="preserve">人類利害關係人網絡（製造商、使用者、家屬、照護機構、政府、權益代表）</w:t>
            </w:r>
          </w:p>
        </w:tc>
      </w:tr>
      <w:tr>
        <w:trPr/>
        <w:tc>
          <w:tcPr>
            <w:vAlign w:val="center"/>
          </w:tcPr>
          <w:p>
            <w:pPr>
              <w:pStyle w:val="Compact"/>
              <w:spacing w:after="40" w:line="240" w:lineRule="auto"/>
              <w:jc w:val="left"/>
            </w:pPr>
            <w:r>
              <w:rPr>
                <w:bCs/>
                <w:rFonts w:ascii="Noto Sans CJK SC" w:hAnsi="Noto Sans CJK SC" w:eastAsia="Noto Sans CJK SC"/>
                <w:b/>
                <w:color w:val="000000"/>
                <w:sz w:val="18"/>
              </w:rPr>
              <w:t xml:space="preserve">時間點</w:t>
            </w:r>
          </w:p>
        </w:tc>
        <w:tc>
          <w:tcPr>
            <w:vAlign w:val="center"/>
          </w:tcPr>
          <w:p>
            <w:pPr>
              <w:pStyle w:val="Compact"/>
              <w:spacing w:after="40" w:line="240" w:lineRule="auto"/>
              <w:jc w:val="left"/>
            </w:pPr>
            <w:r>
              <w:rPr>
                <w:rFonts w:ascii="Noto Sans CJK SC" w:hAnsi="Noto Sans CJK SC" w:eastAsia="Noto Sans CJK SC"/>
                <w:color w:val="000000"/>
                <w:sz w:val="18"/>
              </w:rPr>
              <w:t xml:space="preserve">設計階段（事前）</w:t>
            </w:r>
          </w:p>
        </w:tc>
        <w:tc>
          <w:tcPr>
            <w:vAlign w:val="center"/>
          </w:tcPr>
          <w:p>
            <w:pPr>
              <w:pStyle w:val="Compact"/>
              <w:spacing w:after="40" w:line="240" w:lineRule="auto"/>
              <w:jc w:val="left"/>
            </w:pPr>
            <w:r>
              <w:rPr>
                <w:rFonts w:ascii="Noto Sans CJK SC" w:hAnsi="Noto Sans CJK SC" w:eastAsia="Noto Sans CJK SC"/>
                <w:color w:val="000000"/>
                <w:sz w:val="18"/>
              </w:rPr>
              <w:t xml:space="preserve">系統運行時的決策邏輯</w:t>
            </w:r>
          </w:p>
        </w:tc>
        <w:tc>
          <w:tcPr>
            <w:vAlign w:val="center"/>
          </w:tcPr>
          <w:p>
            <w:pPr>
              <w:pStyle w:val="Compact"/>
              <w:spacing w:after="40" w:line="240" w:lineRule="auto"/>
              <w:jc w:val="left"/>
            </w:pPr>
            <w:r>
              <w:rPr>
                <w:rFonts w:ascii="Noto Sans CJK SC" w:hAnsi="Noto Sans CJK SC" w:eastAsia="Noto Sans CJK SC"/>
                <w:color w:val="000000"/>
                <w:sz w:val="18"/>
              </w:rPr>
              <w:t xml:space="preserve">部署後、跨機關治理協商（事中／事後）</w:t>
            </w:r>
          </w:p>
        </w:tc>
      </w:tr>
      <w:tr>
        <w:trPr/>
        <w:tc>
          <w:tcPr>
            <w:vAlign w:val="center"/>
          </w:tcPr>
          <w:p>
            <w:pPr>
              <w:pStyle w:val="Compact"/>
              <w:spacing w:after="40" w:line="240" w:lineRule="auto"/>
              <w:jc w:val="left"/>
            </w:pPr>
            <w:r>
              <w:rPr>
                <w:bCs/>
                <w:rFonts w:ascii="Noto Sans CJK SC" w:hAnsi="Noto Sans CJK SC" w:eastAsia="Noto Sans CJK SC"/>
                <w:b/>
                <w:color w:val="000000"/>
                <w:sz w:val="18"/>
              </w:rPr>
              <w:t xml:space="preserve">方法論</w:t>
            </w:r>
          </w:p>
        </w:tc>
        <w:tc>
          <w:tcPr>
            <w:vAlign w:val="center"/>
          </w:tcPr>
          <w:p>
            <w:pPr>
              <w:pStyle w:val="Compact"/>
              <w:spacing w:after="40" w:line="240" w:lineRule="auto"/>
              <w:jc w:val="left"/>
            </w:pPr>
            <w:r>
              <w:rPr>
                <w:rFonts w:ascii="Noto Sans CJK SC" w:hAnsi="Noto Sans CJK SC" w:eastAsia="Noto Sans CJK SC"/>
                <w:color w:val="000000"/>
                <w:sz w:val="18"/>
              </w:rPr>
              <w:t xml:space="preserve">概念調查＋經驗調查＋技術調查（三重迭代）</w:t>
            </w:r>
          </w:p>
        </w:tc>
        <w:tc>
          <w:tcPr>
            <w:vAlign w:val="center"/>
          </w:tcPr>
          <w:p>
            <w:pPr>
              <w:pStyle w:val="Compact"/>
              <w:spacing w:after="40" w:line="240" w:lineRule="auto"/>
              <w:jc w:val="left"/>
            </w:pPr>
            <w:r>
              <w:rPr>
                <w:rFonts w:ascii="Noto Sans CJK SC" w:hAnsi="Noto Sans CJK SC" w:eastAsia="Noto Sans CJK SC"/>
                <w:color w:val="000000"/>
                <w:sz w:val="18"/>
              </w:rPr>
              <w:t xml:space="preserve">原則式、案例式、或混合式倫理演算法</w:t>
            </w:r>
          </w:p>
        </w:tc>
        <w:tc>
          <w:tcPr>
            <w:vAlign w:val="center"/>
          </w:tcPr>
          <w:p>
            <w:pPr>
              <w:pStyle w:val="Compact"/>
              <w:spacing w:after="40" w:line="240" w:lineRule="auto"/>
              <w:jc w:val="left"/>
            </w:pPr>
            <w:r>
              <w:rPr>
                <w:rFonts w:ascii="Noto Sans CJK SC" w:hAnsi="Noto Sans CJK SC" w:eastAsia="Noto Sans CJK SC"/>
                <w:color w:val="000000"/>
                <w:sz w:val="18"/>
              </w:rPr>
              <w:t xml:space="preserve">風險地圖＋談判腳本（四鏈操作化）</w:t>
            </w:r>
          </w:p>
        </w:tc>
      </w:tr>
      <w:tr>
        <w:trPr/>
        <w:tc>
          <w:tcPr>
            <w:vAlign w:val="center"/>
          </w:tcPr>
          <w:p>
            <w:pPr>
              <w:pStyle w:val="Compact"/>
              <w:spacing w:after="40" w:line="240" w:lineRule="auto"/>
              <w:jc w:val="left"/>
            </w:pPr>
            <w:r>
              <w:rPr>
                <w:bCs/>
                <w:rFonts w:ascii="Noto Sans CJK SC" w:hAnsi="Noto Sans CJK SC" w:eastAsia="Noto Sans CJK SC"/>
                <w:b/>
                <w:color w:val="000000"/>
                <w:sz w:val="18"/>
              </w:rPr>
              <w:t xml:space="preserve">對AI主體地位的態度</w:t>
            </w:r>
          </w:p>
        </w:tc>
        <w:tc>
          <w:tcPr>
            <w:vAlign w:val="center"/>
          </w:tcPr>
          <w:p>
            <w:pPr>
              <w:pStyle w:val="Compact"/>
              <w:spacing w:after="40" w:line="240" w:lineRule="auto"/>
              <w:jc w:val="left"/>
            </w:pPr>
            <w:r>
              <w:rPr>
                <w:rFonts w:ascii="Noto Sans CJK SC" w:hAnsi="Noto Sans CJK SC" w:eastAsia="Noto Sans CJK SC"/>
                <w:color w:val="000000"/>
                <w:sz w:val="18"/>
              </w:rPr>
              <w:t xml:space="preserve">通常不主張AI具道德主體地位</w:t>
            </w:r>
          </w:p>
        </w:tc>
        <w:tc>
          <w:tcPr>
            <w:vAlign w:val="center"/>
          </w:tcPr>
          <w:p>
            <w:pPr>
              <w:pStyle w:val="Compact"/>
              <w:spacing w:after="40" w:line="240" w:lineRule="auto"/>
              <w:jc w:val="left"/>
            </w:pPr>
            <w:r>
              <w:rPr>
                <w:rFonts w:ascii="Noto Sans CJK SC" w:hAnsi="Noto Sans CJK SC" w:eastAsia="Noto Sans CJK SC"/>
                <w:color w:val="000000"/>
                <w:sz w:val="18"/>
              </w:rPr>
              <w:t xml:space="preserve">部分文獻探討「人工道德代理人」可能性</w:t>
            </w:r>
          </w:p>
        </w:tc>
        <w:tc>
          <w:tcPr>
            <w:vAlign w:val="center"/>
          </w:tcPr>
          <w:p>
            <w:pPr>
              <w:pStyle w:val="Compact"/>
              <w:spacing w:after="40" w:line="240" w:lineRule="auto"/>
              <w:jc w:val="left"/>
            </w:pPr>
            <w:r>
              <w:rPr>
                <w:rFonts w:ascii="Noto Sans CJK SC" w:hAnsi="Noto Sans CJK SC" w:eastAsia="Noto Sans CJK SC"/>
                <w:color w:val="000000"/>
                <w:sz w:val="18"/>
              </w:rPr>
              <w:t xml:space="preserve">明確拒絕預設AI具道德主體地位（防禦性宣告）</w:t>
            </w:r>
          </w:p>
        </w:tc>
      </w:tr>
      <w:tr>
        <w:trPr/>
        <w:tc>
          <w:tcPr>
            <w:vAlign w:val="center"/>
          </w:tcPr>
          <w:p>
            <w:pPr>
              <w:pStyle w:val="Compact"/>
              <w:spacing w:after="40" w:line="240" w:lineRule="auto"/>
              <w:jc w:val="left"/>
            </w:pPr>
            <w:r>
              <w:rPr>
                <w:bCs/>
                <w:rFonts w:ascii="Noto Sans CJK SC" w:hAnsi="Noto Sans CJK SC" w:eastAsia="Noto Sans CJK SC"/>
                <w:b/>
                <w:color w:val="000000"/>
                <w:sz w:val="18"/>
              </w:rPr>
              <w:t xml:space="preserve">典型代表</w:t>
            </w:r>
          </w:p>
        </w:tc>
        <w:tc>
          <w:tcPr>
            <w:vAlign w:val="center"/>
          </w:tcPr>
          <w:p>
            <w:pPr>
              <w:pStyle w:val="Compact"/>
              <w:spacing w:after="40" w:line="240" w:lineRule="auto"/>
              <w:jc w:val="left"/>
            </w:pPr>
            <w:r>
              <w:rPr>
                <w:rFonts w:ascii="Noto Sans CJK SC" w:hAnsi="Noto Sans CJK SC" w:eastAsia="Noto Sans CJK SC"/>
                <w:color w:val="000000"/>
                <w:sz w:val="18"/>
              </w:rPr>
              <w:t xml:space="preserve">Friedman &amp; Hendry (2019)；van Wynsberghe (2013) 照顧中心VSD</w:t>
            </w:r>
          </w:p>
        </w:tc>
        <w:tc>
          <w:tcPr>
            <w:vAlign w:val="center"/>
          </w:tcPr>
          <w:p>
            <w:pPr>
              <w:pStyle w:val="Compact"/>
              <w:spacing w:after="40" w:line="240" w:lineRule="auto"/>
              <w:jc w:val="left"/>
            </w:pPr>
            <w:r>
              <w:rPr>
                <w:rFonts w:ascii="Noto Sans CJK SC" w:hAnsi="Noto Sans CJK SC" w:eastAsia="Noto Sans CJK SC"/>
                <w:color w:val="000000"/>
                <w:sz w:val="18"/>
              </w:rPr>
              <w:t xml:space="preserve">Wallach &amp; Allen (2009)；Anderson &amp; Anderson (2011)</w:t>
            </w:r>
          </w:p>
        </w:tc>
        <w:tc>
          <w:tcPr>
            <w:vAlign w:val="center"/>
          </w:tcPr>
          <w:p>
            <w:pPr>
              <w:pStyle w:val="Compact"/>
              <w:spacing w:after="40" w:line="240" w:lineRule="auto"/>
              <w:jc w:val="left"/>
            </w:pPr>
            <w:r>
              <w:rPr>
                <w:rFonts w:ascii="Noto Sans CJK SC" w:hAnsi="Noto Sans CJK SC" w:eastAsia="Noto Sans CJK SC"/>
                <w:color w:val="000000"/>
                <w:sz w:val="18"/>
              </w:rPr>
              <w:t xml:space="preserve">本文協商式／多方共構路徑</w:t>
            </w:r>
          </w:p>
        </w:tc>
      </w:tr>
    </w:tbl>
    <w:p>
      <w:pPr>
        <w:pStyle w:val="BodyText"/>
        <w:widowControl/>
      </w:pPr>
      <w:r>
        <w:rPr>
          <w:rFonts w:ascii="Noto Sans CJK SC" w:hAnsi="Noto Sans CJK SC" w:eastAsia="Noto Sans CJK SC"/>
          <w:color w:val="000000"/>
        </w:rPr>
        <w:t xml:space="preserve">資料來源：本文自行整理。</w:t>
      </w:r>
    </w:p>
    <w:p>
      <w:pPr>
        <w:pStyle w:val="BodyText"/>
        <w:widowControl/>
      </w:pPr>
      <w:r>
        <w:rPr>
          <w:rFonts w:ascii="Noto Sans CJK SC" w:hAnsi="Noto Sans CJK SC" w:eastAsia="Noto Sans CJK SC"/>
          <w:color w:val="000000"/>
        </w:rPr>
        <w:t xml:space="preserve">價值敏感設計由Friedman與同事發展，強調在技術設計全程以前瞻方式納入人類價值，並透過概念調查、經驗調查與技術調查三者迭代進行（Friedman</w:t>
      </w:r>
      <w:r>
        <w:rPr>
          <w:rFonts w:ascii="Noto Sans CJK SC" w:hAnsi="Noto Sans CJK SC" w:eastAsia="Noto Sans CJK SC"/>
          <w:color w:val="000000"/>
        </w:rPr>
        <w:t xml:space="preserve"> </w:t>
      </w:r>
      <w:r>
        <w:rPr>
          <w:rFonts w:ascii="Noto Sans CJK SC" w:hAnsi="Noto Sans CJK SC" w:eastAsia="Noto Sans CJK SC"/>
          <w:color w:val="000000"/>
        </w:rPr>
        <w:t xml:space="preserve">et al., 2006; Friedman &amp; Hendry,</w:t>
      </w:r>
      <w:r>
        <w:rPr>
          <w:rFonts w:ascii="Noto Sans CJK SC" w:hAnsi="Noto Sans CJK SC" w:eastAsia="Noto Sans CJK SC"/>
          <w:color w:val="000000"/>
        </w:rPr>
        <w:t xml:space="preserve"> </w:t>
      </w:r>
      <w:r>
        <w:rPr>
          <w:rFonts w:ascii="Noto Sans CJK SC" w:hAnsi="Noto Sans CJK SC" w:eastAsia="Noto Sans CJK SC"/>
          <w:color w:val="000000"/>
        </w:rPr>
        <w:t xml:space="preserve">2019）。概念調查釐清利害關係人與價值定義；經驗調查透過訪談、觀察或調查蒐集實際使用者與受影響者之價值經驗；技術調查則檢視系統設計如何體現或損害特定價值。VSD已應用於照護機器人，van</w:t>
      </w:r>
      <w:r>
        <w:rPr>
          <w:rFonts w:ascii="Noto Sans CJK SC" w:hAnsi="Noto Sans CJK SC" w:eastAsia="Noto Sans CJK SC"/>
          <w:color w:val="000000"/>
        </w:rPr>
        <w:t xml:space="preserve"> </w:t>
      </w:r>
      <w:r>
        <w:rPr>
          <w:rFonts w:ascii="Noto Sans CJK SC" w:hAnsi="Noto Sans CJK SC" w:eastAsia="Noto Sans CJK SC"/>
          <w:color w:val="000000"/>
        </w:rPr>
        <w:t xml:space="preserve">Wynsberghe（2013）提出「照顧中心價值敏感設計」（Care-Centered Value</w:t>
      </w:r>
      <w:r>
        <w:rPr>
          <w:rFonts w:ascii="Noto Sans CJK SC" w:hAnsi="Noto Sans CJK SC" w:eastAsia="Noto Sans CJK SC"/>
          <w:color w:val="000000"/>
        </w:rPr>
        <w:t xml:space="preserve"> </w:t>
      </w:r>
      <w:r>
        <w:rPr>
          <w:rFonts w:ascii="Noto Sans CJK SC" w:hAnsi="Noto Sans CJK SC" w:eastAsia="Noto Sans CJK SC"/>
          <w:color w:val="000000"/>
        </w:rPr>
        <w:t xml:space="preserve">Sensitive</w:t>
      </w:r>
      <w:r>
        <w:rPr>
          <w:rFonts w:ascii="Noto Sans CJK SC" w:hAnsi="Noto Sans CJK SC" w:eastAsia="Noto Sans CJK SC"/>
          <w:color w:val="000000"/>
        </w:rPr>
        <w:t xml:space="preserve"> </w:t>
      </w:r>
      <w:r>
        <w:rPr>
          <w:rFonts w:ascii="Noto Sans CJK SC" w:hAnsi="Noto Sans CJK SC" w:eastAsia="Noto Sans CJK SC"/>
          <w:color w:val="000000"/>
        </w:rPr>
        <w:t xml:space="preserve">Design），主張照護機器人應以照顧實踐中的價值（如關注、責任、能力、互惠）為設計核心，而非僅追求效率或安全。</w:t>
      </w:r>
    </w:p>
    <w:p>
      <w:pPr>
        <w:pStyle w:val="BodyText"/>
        <w:widowControl/>
      </w:pPr>
      <w:r>
        <w:rPr>
          <w:rFonts w:ascii="Noto Sans CJK SC" w:hAnsi="Noto Sans CJK SC" w:eastAsia="Noto Sans CJK SC"/>
          <w:color w:val="000000"/>
        </w:rPr>
        <w:t xml:space="preserve">機器倫理則側重於AI系統本身之倫理決策演算法，探討如何使機器人在道德困境中依原則或案例推理行動（Wallach</w:t>
      </w:r>
      <w:r>
        <w:rPr>
          <w:rFonts w:ascii="Noto Sans CJK SC" w:hAnsi="Noto Sans CJK SC" w:eastAsia="Noto Sans CJK SC"/>
          <w:color w:val="000000"/>
        </w:rPr>
        <w:t xml:space="preserve"> </w:t>
      </w:r>
      <w:r>
        <w:rPr>
          <w:rFonts w:ascii="Noto Sans CJK SC" w:hAnsi="Noto Sans CJK SC" w:eastAsia="Noto Sans CJK SC"/>
          <w:color w:val="000000"/>
        </w:rPr>
        <w:t xml:space="preserve">&amp; Allen, 2009; Anderson &amp; Anderson,</w:t>
      </w:r>
      <w:r>
        <w:rPr>
          <w:rFonts w:ascii="Noto Sans CJK SC" w:hAnsi="Noto Sans CJK SC" w:eastAsia="Noto Sans CJK SC"/>
          <w:color w:val="000000"/>
        </w:rPr>
        <w:t xml:space="preserve"> </w:t>
      </w:r>
      <w:r>
        <w:rPr>
          <w:rFonts w:ascii="Noto Sans CJK SC" w:hAnsi="Noto Sans CJK SC" w:eastAsia="Noto Sans CJK SC"/>
          <w:color w:val="000000"/>
        </w:rPr>
        <w:t xml:space="preserve">2011）。其核心關切是：當機器人必須在「提醒服藥」與「尊重拒絕」之間、或「保護安全」與「尊重自主」之間做出即時判斷時，系統應依何種倫理理論（義務論、效益論、德性倫理）或案例庫進行計算。部分文獻進一步討論「人工道德代理人」（artificial</w:t>
      </w:r>
      <w:r>
        <w:rPr>
          <w:rFonts w:ascii="Noto Sans CJK SC" w:hAnsi="Noto Sans CJK SC" w:eastAsia="Noto Sans CJK SC"/>
          <w:color w:val="000000"/>
        </w:rPr>
        <w:t xml:space="preserve"> </w:t>
      </w:r>
      <w:r>
        <w:rPr>
          <w:rFonts w:ascii="Noto Sans CJK SC" w:hAnsi="Noto Sans CJK SC" w:eastAsia="Noto Sans CJK SC"/>
          <w:color w:val="000000"/>
        </w:rPr>
        <w:t xml:space="preserve">moral</w:t>
      </w:r>
      <w:r>
        <w:rPr>
          <w:rFonts w:ascii="Noto Sans CJK SC" w:hAnsi="Noto Sans CJK SC" w:eastAsia="Noto Sans CJK SC"/>
          <w:color w:val="000000"/>
        </w:rPr>
        <w:t xml:space="preserve"> </w:t>
      </w:r>
      <w:r>
        <w:rPr>
          <w:rFonts w:ascii="Noto Sans CJK SC" w:hAnsi="Noto Sans CJK SC" w:eastAsia="Noto Sans CJK SC"/>
          <w:color w:val="000000"/>
        </w:rPr>
        <w:t xml:space="preserve">agents）的可能性，亦即機器人是否可能、或應該具備某種程度的道德主體地位。</w:t>
      </w:r>
    </w:p>
    <w:p>
      <w:pPr>
        <w:pStyle w:val="BodyText"/>
        <w:widowControl/>
      </w:pPr>
      <w:r>
        <w:rPr>
          <w:rFonts w:ascii="Noto Sans CJK SC" w:hAnsi="Noto Sans CJK SC" w:eastAsia="Noto Sans CJK SC"/>
          <w:color w:val="000000"/>
        </w:rPr>
        <w:t xml:space="preserve">VSD關心如何在設計過程納入價值；機器倫理追問系統在運作時如何作出倫理判斷；本文則處理價值衝突進入制度場域後，人類行動者如何形成可執行、可說明、可歸責的安排。時間上，本文從設計延伸至部署、跨機關協調與事故處理；主體上，協商資格仍屬人類利害關係人；方法上，四條治理鏈把問題框定、法定權威、決策理由與責任安排轉化為談判腳本。這裡最重要的差異是：問題如何被框定，本身已經是治理的一部分，不能等到權威與責任出現爭議後才回頭處理。</w:t>
      </w:r>
    </w:p>
    <w:bookmarkEnd w:id="38"/>
    <w:bookmarkStart w:id="39" w:name="三人工道德代理人amas之倫理爭議"/>
    <w:p>
      <w:pPr>
        <w:pStyle w:val="Heading2"/>
        <w:keepNext/>
        <w:widowControl/>
      </w:pPr>
      <w:r>
        <w:rPr>
          <w:rFonts w:ascii="Noto Sans CJK SC" w:hAnsi="Noto Sans CJK SC" w:eastAsia="Noto Sans CJK SC"/>
          <w:color w:val="000000"/>
        </w:rPr>
        <w:t xml:space="preserve">三、人工道德代理人（AMAs）之倫理爭議</w:t>
      </w:r>
    </w:p>
    <w:p>
      <w:pPr>
        <w:pStyle w:val="FirstParagraph"/>
        <w:widowControl/>
      </w:pPr>
      <w:r>
        <w:rPr>
          <w:rFonts w:ascii="Noto Sans CJK SC" w:hAnsi="Noto Sans CJK SC" w:eastAsia="Noto Sans CJK SC"/>
          <w:color w:val="000000"/>
        </w:rPr>
        <w:t xml:space="preserve">機器倫理文獻中，「人工道德代理人」（Artificial Moral Agents,</w:t>
      </w:r>
      <w:r>
        <w:rPr>
          <w:rFonts w:ascii="Noto Sans CJK SC" w:hAnsi="Noto Sans CJK SC" w:eastAsia="Noto Sans CJK SC"/>
          <w:color w:val="000000"/>
        </w:rPr>
        <w:t xml:space="preserve"> </w:t>
      </w:r>
      <w:r>
        <w:rPr>
          <w:rFonts w:ascii="Noto Sans CJK SC" w:hAnsi="Noto Sans CJK SC" w:eastAsia="Noto Sans CJK SC"/>
          <w:color w:val="000000"/>
        </w:rPr>
        <w:t xml:space="preserve">AMAs）是核心爭議焦點。Wallach與Allen（2009）區分操作性道德、功能性道德與完整道德代理人三層；Moor（2006）亦提出類似分級。為使爭議結構更為清晰，整理如表3.2。</w:t>
      </w:r>
    </w:p>
    <w:p>
      <w:pPr>
        <w:pStyle w:val="BodyText"/>
        <w:keepNext/>
        <w:widowControl/>
        <w:jc w:val="center"/>
      </w:pPr>
      <w:r>
        <w:rPr>
          <w:bCs/>
          <w:rFonts w:ascii="Noto Sans CJK SC" w:hAnsi="Noto Sans CJK SC" w:eastAsia="Noto Sans CJK SC"/>
          <w:b/>
          <w:color w:val="000000"/>
        </w:rPr>
        <w:t xml:space="preserve">表3.2　人工道德代理人（AMAs）倫理爭議之主要立場比較</w:t>
      </w:r>
    </w:p>
    <w:tbl>
      <w:tblPr>
        <w:tblStyle w:val="Table"/>
        <w:tblW w:type="auto" w:w="0"/>
        <w:jc w:val="center"/>
        <w:tblLayout w:type="autofit"/>
        <w:tblLook w:firstRow="1" w:lastRow="0" w:firstColumn="0" w:lastColumn="0" w:noHBand="0" w:noVBand="0" w:val="0020"/>
        <w:tblBorders>
          <w:top w:val="single" w:sz="4" w:color="A6A6A6"/>
          <w:left w:val="single" w:sz="4" w:color="A6A6A6"/>
          <w:bottom w:val="single" w:sz="4" w:color="A6A6A6"/>
          <w:right w:val="single" w:sz="4" w:color="A6A6A6"/>
          <w:insideH w:val="single" w:sz="4" w:color="A6A6A6"/>
          <w:insideV w:val="single" w:sz="4" w:color="A6A6A6"/>
        </w:tblBorders>
      </w:tblPr>
      <w:tblGrid>
        <w:gridCol w:w="2640"/>
        <w:gridCol w:w="2640"/>
        <w:gridCol w:w="2640"/>
      </w:tblGrid>
      <w:tr>
        <w:trPr>
          <w:tblHeader w:val="true"/>
        </w:trPr>
        <w:tc>
          <w:tcPr>
            <w:vAlign w:val="center"/>
            <w:shd w:fill="D9E2F3"/>
          </w:tcPr>
          <w:p>
            <w:pPr>
              <w:pStyle w:val="Compact"/>
              <w:spacing w:after="40" w:line="240" w:lineRule="auto"/>
            </w:pPr>
          </w:p>
        </w:tc>
        <w:tc>
          <w:tcPr>
            <w:vAlign w:val="center"/>
            <w:shd w:fill="D9E2F3"/>
          </w:tcPr>
          <w:p>
            <w:pPr>
              <w:pStyle w:val="Compact"/>
              <w:spacing w:after="40" w:line="240" w:lineRule="auto"/>
            </w:pPr>
          </w:p>
        </w:tc>
        <w:tc>
          <w:tcPr>
            <w:vAlign w:val="center"/>
            <w:shd w:fill="D9E2F3"/>
          </w:tcPr>
          <w:p>
            <w:pPr>
              <w:pStyle w:val="Compact"/>
              <w:spacing w:after="40" w:line="240" w:lineRule="auto"/>
            </w:pPr>
          </w:p>
        </w:tc>
      </w:tr>
      <w:tr>
        <w:trPr/>
        <w:tc>
          <w:tcPr>
            <w:vAlign w:val="center"/>
          </w:tcPr>
          <w:p>
            <w:pPr>
              <w:pStyle w:val="Compact"/>
              <w:spacing w:after="40" w:line="240" w:lineRule="auto"/>
              <w:jc w:val="left"/>
            </w:pPr>
            <w:r>
              <w:rPr>
                <w:bCs/>
                <w:rFonts w:ascii="Noto Sans CJK SC" w:hAnsi="Noto Sans CJK SC" w:eastAsia="Noto Sans CJK SC"/>
                <w:b/>
                <w:color w:val="000000"/>
                <w:sz w:val="18"/>
              </w:rPr>
              <w:t xml:space="preserve">爭議面向</w:t>
            </w:r>
          </w:p>
        </w:tc>
        <w:tc>
          <w:tcPr>
            <w:vAlign w:val="center"/>
          </w:tcPr>
          <w:p>
            <w:pPr>
              <w:pStyle w:val="Compact"/>
              <w:spacing w:after="40" w:line="240" w:lineRule="auto"/>
              <w:jc w:val="left"/>
            </w:pPr>
            <w:r>
              <w:rPr>
                <w:bCs/>
                <w:rFonts w:ascii="Noto Sans CJK SC" w:hAnsi="Noto Sans CJK SC" w:eastAsia="Noto Sans CJK SC"/>
                <w:b/>
                <w:color w:val="000000"/>
                <w:sz w:val="18"/>
              </w:rPr>
              <w:t xml:space="preserve">探索／支持AMAs的立場</w:t>
            </w:r>
          </w:p>
        </w:tc>
        <w:tc>
          <w:tcPr>
            <w:vAlign w:val="center"/>
          </w:tcPr>
          <w:p>
            <w:pPr>
              <w:pStyle w:val="Compact"/>
              <w:spacing w:after="40" w:line="240" w:lineRule="auto"/>
              <w:jc w:val="left"/>
            </w:pPr>
            <w:r>
              <w:rPr>
                <w:bCs/>
                <w:rFonts w:ascii="Noto Sans CJK SC" w:hAnsi="Noto Sans CJK SC" w:eastAsia="Noto Sans CJK SC"/>
                <w:b/>
                <w:color w:val="000000"/>
                <w:sz w:val="18"/>
              </w:rPr>
              <w:t xml:space="preserve">審慎／反對賦予道德主體地位的立場（本文採此）</w:t>
            </w:r>
          </w:p>
        </w:tc>
      </w:tr>
      <w:tr>
        <w:trPr/>
        <w:tc>
          <w:tcPr>
            <w:vAlign w:val="center"/>
          </w:tcPr>
          <w:p>
            <w:pPr>
              <w:pStyle w:val="Compact"/>
              <w:spacing w:after="40" w:line="240" w:lineRule="auto"/>
              <w:jc w:val="left"/>
            </w:pPr>
            <w:r>
              <w:rPr>
                <w:bCs/>
                <w:rFonts w:ascii="Noto Sans CJK SC" w:hAnsi="Noto Sans CJK SC" w:eastAsia="Noto Sans CJK SC"/>
                <w:b/>
                <w:color w:val="000000"/>
                <w:sz w:val="18"/>
              </w:rPr>
              <w:t xml:space="preserve">核心主張</w:t>
            </w:r>
          </w:p>
        </w:tc>
        <w:tc>
          <w:tcPr>
            <w:vAlign w:val="center"/>
          </w:tcPr>
          <w:p>
            <w:pPr>
              <w:pStyle w:val="Compact"/>
              <w:spacing w:after="40" w:line="240" w:lineRule="auto"/>
              <w:jc w:val="left"/>
            </w:pPr>
            <w:r>
              <w:rPr>
                <w:rFonts w:ascii="Noto Sans CJK SC" w:hAnsi="Noto Sans CJK SC" w:eastAsia="Noto Sans CJK SC"/>
                <w:color w:val="000000"/>
                <w:sz w:val="18"/>
              </w:rPr>
              <w:t xml:space="preserve">機器人將在醫療、照護、軍事等領域做出影響生命的決策，必須具備某種道德推理能力，否則人類無法信任其行為。</w:t>
            </w:r>
          </w:p>
        </w:tc>
        <w:tc>
          <w:tcPr>
            <w:vAlign w:val="center"/>
          </w:tcPr>
          <w:p>
            <w:pPr>
              <w:pStyle w:val="Compact"/>
              <w:spacing w:after="40" w:line="240" w:lineRule="auto"/>
              <w:jc w:val="left"/>
            </w:pPr>
            <w:r>
              <w:rPr>
                <w:rFonts w:ascii="Noto Sans CJK SC" w:hAnsi="Noto Sans CJK SC" w:eastAsia="Noto Sans CJK SC"/>
                <w:color w:val="000000"/>
                <w:sz w:val="18"/>
              </w:rPr>
              <w:t xml:space="preserve">道德主體需要意識、意圖與真正的責任能力。現行AI僅是複雜的統計與規則系統，賦予其道德代理人地位會稀釋人類責任。</w:t>
            </w:r>
          </w:p>
        </w:tc>
      </w:tr>
      <w:tr>
        <w:trPr/>
        <w:tc>
          <w:tcPr>
            <w:vAlign w:val="center"/>
          </w:tcPr>
          <w:p>
            <w:pPr>
              <w:pStyle w:val="Compact"/>
              <w:spacing w:after="40" w:line="240" w:lineRule="auto"/>
              <w:jc w:val="left"/>
            </w:pPr>
            <w:r>
              <w:rPr>
                <w:bCs/>
                <w:rFonts w:ascii="Noto Sans CJK SC" w:hAnsi="Noto Sans CJK SC" w:eastAsia="Noto Sans CJK SC"/>
                <w:b/>
                <w:color w:val="000000"/>
                <w:sz w:val="18"/>
              </w:rPr>
              <w:t xml:space="preserve">責任歸屬</w:t>
            </w:r>
          </w:p>
        </w:tc>
        <w:tc>
          <w:tcPr>
            <w:vAlign w:val="center"/>
          </w:tcPr>
          <w:p>
            <w:pPr>
              <w:pStyle w:val="Compact"/>
              <w:spacing w:after="40" w:line="240" w:lineRule="auto"/>
              <w:jc w:val="left"/>
            </w:pPr>
            <w:r>
              <w:rPr>
                <w:rFonts w:ascii="Noto Sans CJK SC" w:hAnsi="Noto Sans CJK SC" w:eastAsia="Noto Sans CJK SC"/>
                <w:color w:val="000000"/>
                <w:sz w:val="18"/>
              </w:rPr>
              <w:t xml:space="preserve">探討是否可能讓系統本身承擔部分責任，或發展新的歸責框架。</w:t>
            </w:r>
          </w:p>
        </w:tc>
        <w:tc>
          <w:tcPr>
            <w:vAlign w:val="center"/>
          </w:tcPr>
          <w:p>
            <w:pPr>
              <w:pStyle w:val="Compact"/>
              <w:spacing w:after="40" w:line="240" w:lineRule="auto"/>
              <w:jc w:val="left"/>
            </w:pPr>
            <w:r>
              <w:rPr>
                <w:rFonts w:ascii="Noto Sans CJK SC" w:hAnsi="Noto Sans CJK SC" w:eastAsia="Noto Sans CJK SC"/>
                <w:color w:val="000000"/>
                <w:sz w:val="18"/>
              </w:rPr>
              <w:t xml:space="preserve">責任必須始終落在人類（設計者、製造商、使用者、主管機關）身上，不能以「機器人決定」作為免責理由（responsibility void）。</w:t>
            </w:r>
          </w:p>
        </w:tc>
      </w:tr>
      <w:tr>
        <w:trPr/>
        <w:tc>
          <w:tcPr>
            <w:vAlign w:val="center"/>
          </w:tcPr>
          <w:p>
            <w:pPr>
              <w:pStyle w:val="Compact"/>
              <w:spacing w:after="40" w:line="240" w:lineRule="auto"/>
              <w:jc w:val="left"/>
            </w:pPr>
            <w:r>
              <w:rPr>
                <w:bCs/>
                <w:rFonts w:ascii="Noto Sans CJK SC" w:hAnsi="Noto Sans CJK SC" w:eastAsia="Noto Sans CJK SC"/>
                <w:b/>
                <w:color w:val="000000"/>
                <w:sz w:val="18"/>
              </w:rPr>
              <w:t xml:space="preserve">倫理理論植入</w:t>
            </w:r>
          </w:p>
        </w:tc>
        <w:tc>
          <w:tcPr>
            <w:vAlign w:val="center"/>
          </w:tcPr>
          <w:p>
            <w:pPr>
              <w:pStyle w:val="Compact"/>
              <w:spacing w:after="40" w:line="240" w:lineRule="auto"/>
              <w:jc w:val="left"/>
            </w:pPr>
            <w:r>
              <w:rPr>
                <w:rFonts w:ascii="Noto Sans CJK SC" w:hAnsi="Noto Sans CJK SC" w:eastAsia="Noto Sans CJK SC"/>
                <w:color w:val="000000"/>
                <w:sz w:val="18"/>
              </w:rPr>
              <w:t xml:space="preserve">應選擇義務論、效益論、德性倫理或案例式推理，讓機器人能即時計算道德後果。</w:t>
            </w:r>
          </w:p>
        </w:tc>
        <w:tc>
          <w:tcPr>
            <w:vAlign w:val="center"/>
          </w:tcPr>
          <w:p>
            <w:pPr>
              <w:pStyle w:val="Compact"/>
              <w:spacing w:after="40" w:line="240" w:lineRule="auto"/>
              <w:jc w:val="left"/>
            </w:pPr>
            <w:r>
              <w:rPr>
                <w:rFonts w:ascii="Noto Sans CJK SC" w:hAnsi="Noto Sans CJK SC" w:eastAsia="Noto Sans CJK SC"/>
                <w:color w:val="000000"/>
                <w:sz w:val="18"/>
              </w:rPr>
              <w:t xml:space="preserve">設計者單方選擇哪一種倫理理論，本身就是一種未經協商的價值植入；應改由多方利害關係人協商。</w:t>
            </w:r>
          </w:p>
        </w:tc>
      </w:tr>
      <w:tr>
        <w:trPr/>
        <w:tc>
          <w:tcPr>
            <w:vAlign w:val="center"/>
          </w:tcPr>
          <w:p>
            <w:pPr>
              <w:pStyle w:val="Compact"/>
              <w:spacing w:after="40" w:line="240" w:lineRule="auto"/>
              <w:jc w:val="left"/>
            </w:pPr>
            <w:r>
              <w:rPr>
                <w:bCs/>
                <w:rFonts w:ascii="Noto Sans CJK SC" w:hAnsi="Noto Sans CJK SC" w:eastAsia="Noto Sans CJK SC"/>
                <w:b/>
                <w:color w:val="000000"/>
                <w:sz w:val="18"/>
              </w:rPr>
              <w:t xml:space="preserve">照護場域特殊風險</w:t>
            </w:r>
          </w:p>
        </w:tc>
        <w:tc>
          <w:tcPr>
            <w:vAlign w:val="center"/>
          </w:tcPr>
          <w:p>
            <w:pPr>
              <w:pStyle w:val="Compact"/>
              <w:spacing w:after="40" w:line="240" w:lineRule="auto"/>
              <w:jc w:val="left"/>
            </w:pPr>
            <w:r>
              <w:rPr>
                <w:rFonts w:ascii="Noto Sans CJK SC" w:hAnsi="Noto Sans CJK SC" w:eastAsia="Noto Sans CJK SC"/>
                <w:color w:val="000000"/>
                <w:sz w:val="18"/>
              </w:rPr>
              <w:t xml:space="preserve">機器人可減輕照顧負擔，並在有限情境中做出符合倫理的提醒或介入。</w:t>
            </w:r>
          </w:p>
        </w:tc>
        <w:tc>
          <w:tcPr>
            <w:vAlign w:val="center"/>
          </w:tcPr>
          <w:p>
            <w:pPr>
              <w:pStyle w:val="Compact"/>
              <w:spacing w:after="40" w:line="240" w:lineRule="auto"/>
              <w:jc w:val="left"/>
            </w:pPr>
            <w:r>
              <w:rPr>
                <w:rFonts w:ascii="Noto Sans CJK SC" w:hAnsi="Noto Sans CJK SC" w:eastAsia="Noto Sans CJK SC"/>
                <w:color w:val="000000"/>
                <w:sz w:val="18"/>
              </w:rPr>
              <w:t xml:space="preserve">可能讓家屬或機構推卸照顧責任；長者產生情感依附卻得不到真正人際回應；「欺騙」是否道德？（Sharkey &amp; Sharkey, 2012）</w:t>
            </w:r>
          </w:p>
        </w:tc>
      </w:tr>
      <w:tr>
        <w:trPr/>
        <w:tc>
          <w:tcPr>
            <w:vAlign w:val="center"/>
          </w:tcPr>
          <w:p>
            <w:pPr>
              <w:pStyle w:val="Compact"/>
              <w:spacing w:after="40" w:line="240" w:lineRule="auto"/>
              <w:jc w:val="left"/>
            </w:pPr>
            <w:r>
              <w:rPr>
                <w:bCs/>
                <w:rFonts w:ascii="Noto Sans CJK SC" w:hAnsi="Noto Sans CJK SC" w:eastAsia="Noto Sans CJK SC"/>
                <w:b/>
                <w:color w:val="000000"/>
                <w:sz w:val="18"/>
              </w:rPr>
              <w:t xml:space="preserve">與本文關係</w:t>
            </w:r>
          </w:p>
        </w:tc>
        <w:tc>
          <w:tcPr>
            <w:vAlign w:val="center"/>
          </w:tcPr>
          <w:p>
            <w:pPr>
              <w:pStyle w:val="Compact"/>
              <w:spacing w:after="40" w:line="240" w:lineRule="auto"/>
              <w:jc w:val="left"/>
            </w:pPr>
            <w:r>
              <w:rPr>
                <w:rFonts w:ascii="Noto Sans CJK SC" w:hAnsi="Noto Sans CJK SC" w:eastAsia="Noto Sans CJK SC"/>
                <w:color w:val="000000"/>
                <w:sz w:val="18"/>
              </w:rPr>
              <w:t xml:space="preserve">屬機器倫理內部的技術／哲學探索路線。</w:t>
            </w:r>
          </w:p>
        </w:tc>
        <w:tc>
          <w:tcPr>
            <w:vAlign w:val="center"/>
          </w:tcPr>
          <w:p>
            <w:pPr>
              <w:pStyle w:val="Compact"/>
              <w:spacing w:after="40" w:line="240" w:lineRule="auto"/>
              <w:jc w:val="left"/>
            </w:pPr>
            <w:r>
              <w:rPr>
                <w:rFonts w:ascii="Noto Sans CJK SC" w:hAnsi="Noto Sans CJK SC" w:eastAsia="Noto Sans CJK SC"/>
                <w:color w:val="000000"/>
                <w:sz w:val="18"/>
              </w:rPr>
              <w:t xml:space="preserve">本文防禦性宣告明確採取此立場：協商對象始終為人類利害關係人網絡，不預設AI具道德主體地位。</w:t>
            </w:r>
          </w:p>
        </w:tc>
      </w:tr>
      <w:tr>
        <w:trPr/>
        <w:tc>
          <w:tcPr>
            <w:vAlign w:val="center"/>
          </w:tcPr>
          <w:p>
            <w:pPr>
              <w:pStyle w:val="Compact"/>
              <w:spacing w:after="40" w:line="240" w:lineRule="auto"/>
              <w:jc w:val="left"/>
            </w:pPr>
            <w:r>
              <w:rPr>
                <w:bCs/>
                <w:rFonts w:ascii="Noto Sans CJK SC" w:hAnsi="Noto Sans CJK SC" w:eastAsia="Noto Sans CJK SC"/>
                <w:b/>
                <w:color w:val="000000"/>
                <w:sz w:val="18"/>
              </w:rPr>
              <w:t xml:space="preserve">代表文獻</w:t>
            </w:r>
          </w:p>
        </w:tc>
        <w:tc>
          <w:tcPr>
            <w:vAlign w:val="center"/>
          </w:tcPr>
          <w:p>
            <w:pPr>
              <w:pStyle w:val="Compact"/>
              <w:spacing w:after="40" w:line="240" w:lineRule="auto"/>
              <w:jc w:val="left"/>
            </w:pPr>
            <w:r>
              <w:rPr>
                <w:rFonts w:ascii="Noto Sans CJK SC" w:hAnsi="Noto Sans CJK SC" w:eastAsia="Noto Sans CJK SC"/>
                <w:color w:val="000000"/>
                <w:sz w:val="18"/>
              </w:rPr>
              <w:t xml:space="preserve">Wallach &amp; Allen (2009)；Anderson &amp; Anderson (2011)；部分機器倫理研究</w:t>
            </w:r>
          </w:p>
        </w:tc>
        <w:tc>
          <w:tcPr>
            <w:vAlign w:val="center"/>
          </w:tcPr>
          <w:p>
            <w:pPr>
              <w:pStyle w:val="Compact"/>
              <w:spacing w:after="40" w:line="240" w:lineRule="auto"/>
              <w:jc w:val="left"/>
            </w:pPr>
            <w:r>
              <w:rPr>
                <w:rFonts w:ascii="Noto Sans CJK SC" w:hAnsi="Noto Sans CJK SC" w:eastAsia="Noto Sans CJK SC"/>
                <w:color w:val="000000"/>
                <w:sz w:val="18"/>
              </w:rPr>
              <w:t xml:space="preserve">本文防禦性宣告；Rachum-Twaig (2020) 責任討論；Sharkey &amp; Sharkey (2012) 照護倫理</w:t>
            </w:r>
          </w:p>
        </w:tc>
      </w:tr>
    </w:tbl>
    <w:p>
      <w:pPr>
        <w:pStyle w:val="BodyText"/>
        <w:widowControl/>
      </w:pPr>
      <w:r>
        <w:rPr>
          <w:rFonts w:ascii="Noto Sans CJK SC" w:hAnsi="Noto Sans CJK SC" w:eastAsia="Noto Sans CJK SC"/>
          <w:color w:val="000000"/>
        </w:rPr>
        <w:t xml:space="preserve">資料來源：本文自行整理。</w:t>
      </w:r>
    </w:p>
    <w:p>
      <w:pPr>
        <w:pStyle w:val="BodyText"/>
        <w:keepNext/>
        <w:widowControl/>
        <w:jc w:val="center"/>
      </w:pPr>
      <w:r>
        <w:rPr>
          <w:rFonts w:ascii="Noto Sans CJK SC" w:hAnsi="Noto Sans CJK SC" w:eastAsia="Noto Sans CJK SC"/>
          <w:color w:val="000000"/>
        </w:rPr>
        <w:t xml:space="preserve">表3.2所呈現的爭議，表面上是機器能否模擬道德推理，實際上卻會回到一個更難迴避的問題：責任能否因此移轉給非人類系統？本文採取審慎立場。即使系統具有功能性的道德計算能力，法定權威、可理解理由與最終責任仍須留在人類制度網絡中。談判腳本所要處理的，正是人類行動者之間如何分配設計、部署、監督與救濟責任，而不是邀請機器人成為協商的一方。</w:t>
      </w:r>
    </w:p>
    <w:bookmarkEnd w:id="39"/>
    <w:bookmarkStart w:id="40" w:name="四自動駕駛倫理案例作為對照"/>
    <w:p>
      <w:pPr>
        <w:pStyle w:val="Heading2"/>
        <w:keepNext/>
        <w:widowControl/>
      </w:pPr>
      <w:r>
        <w:rPr>
          <w:rFonts w:ascii="Noto Sans CJK SC" w:hAnsi="Noto Sans CJK SC" w:eastAsia="Noto Sans CJK SC"/>
          <w:color w:val="000000"/>
        </w:rPr>
        <w:t xml:space="preserve">四、自動駕駛倫理案例作為對照</w:t>
      </w:r>
    </w:p>
    <w:p>
      <w:pPr>
        <w:pStyle w:val="FirstParagraph"/>
        <w:widowControl/>
      </w:pPr>
      <w:r>
        <w:rPr>
          <w:rFonts w:ascii="Noto Sans CJK SC" w:hAnsi="Noto Sans CJK SC" w:eastAsia="Noto Sans CJK SC"/>
          <w:color w:val="000000"/>
        </w:rPr>
        <w:t xml:space="preserve">自動駕駛常被簡化為「電車難題」：碰撞不可避免時，系統應保護車內乘客，還是行人？這類思想實驗能凸顯價值衝突，卻容易讓讀者誤以為事故總是在兩個確定犧牲之間選擇。Nyholm與Smids（2016）以及Himmelreich（2018）都指出，真正的治理問題還包括事前風險分配、系統設計、道路規則與人類監督，不能只把倫理壓縮成碰撞瞬間的演算法選擇。</w:t>
      </w:r>
    </w:p>
    <w:p>
      <w:pPr>
        <w:pStyle w:val="BodyText"/>
        <w:widowControl/>
      </w:pPr>
      <w:r>
        <w:rPr>
          <w:rFonts w:ascii="Noto Sans CJK SC" w:hAnsi="Noto Sans CJK SC" w:eastAsia="Noto Sans CJK SC"/>
          <w:color w:val="000000"/>
        </w:rPr>
        <w:t xml:space="preserve">半自動駕駛事故更接近治理現實：駕駛可能過度信賴系統，廠商可能誇大或模糊功能邊界，監管者也可能尚未建立足夠的測試與揭露要求。臺灣《無人載具科技創新實驗條例》明文不排除民事、刑事責任之適用，顯示立法者仍將最終歸責留給既有法律框架。這些案例共同提醒我們，高度自動化不會自動產生新的責任主體；設計者、製造商、監管者與使用者之間的責任鏈仍須被具體說明。</w:t>
      </w:r>
    </w:p>
    <w:p>
      <w:pPr>
        <w:pStyle w:val="BodyText"/>
        <w:widowControl/>
      </w:pPr>
      <w:r>
        <w:rPr>
          <w:rFonts w:ascii="Noto Sans CJK SC" w:hAnsi="Noto Sans CJK SC" w:eastAsia="Noto Sans CJK SC"/>
          <w:color w:val="000000"/>
        </w:rPr>
        <w:t xml:space="preserve">德國自動與聯網駕駛倫理委員會（2017）的指引強調，人類生命優先於財產或動物，不得依年齡、性別等個人特徵衡量生命價值，製造商與營運者的責任也不能移轉給機器。自動駕駛與照護機器人的場域不同，卻共享同一個治理底線：技術自主性不能成為責任真空的理由。這個外部案例可依四條治理鏈重新追問：誰定義可接受風險、誰具有授權、事故後能否說明，以及設計、部署、監督與救濟是否都有具名主體。</w:t>
      </w:r>
    </w:p>
    <w:bookmarkEnd w:id="40"/>
    <w:bookmarkEnd w:id="41"/>
    <w:bookmarkStart w:id="44" w:name="肆案例材料機器人衝擊之價值圖譜與參與經驗"/>
    <w:p>
      <w:pPr>
        <w:pStyle w:val="Heading1"/>
        <w:keepNext/>
        <w:widowControl/>
      </w:pPr>
      <w:r>
        <w:rPr>
          <w:rFonts w:ascii="Noto Sans CJK SC" w:hAnsi="Noto Sans CJK SC" w:eastAsia="Noto Sans CJK SC"/>
          <w:color w:val="000000"/>
        </w:rPr>
        <w:t xml:space="preserve">肆、案例材料：機器人衝擊之價值圖譜與參與經驗</w:t>
      </w:r>
    </w:p>
    <w:bookmarkStart w:id="42" w:name="一ai機器人牽涉之普世價值清單"/>
    <w:p>
      <w:pPr>
        <w:pStyle w:val="Heading2"/>
        <w:keepNext/>
        <w:widowControl/>
      </w:pPr>
      <w:r>
        <w:rPr>
          <w:rFonts w:ascii="Noto Sans CJK SC" w:hAnsi="Noto Sans CJK SC" w:eastAsia="Noto Sans CJK SC"/>
          <w:color w:val="000000"/>
        </w:rPr>
        <w:t xml:space="preserve">一、AI機器人牽涉之普世價值清單</w:t>
      </w:r>
    </w:p>
    <w:p>
      <w:pPr>
        <w:pStyle w:val="FirstParagraph"/>
        <w:widowControl/>
      </w:pPr>
      <w:r>
        <w:rPr>
          <w:rFonts w:ascii="Noto Sans CJK SC" w:hAnsi="Noto Sans CJK SC" w:eastAsia="Noto Sans CJK SC"/>
          <w:color w:val="000000"/>
        </w:rPr>
        <w:t xml:space="preserve">相較於深偽選舉干預較集中於民主誠信、資訊真實性與言論自由，家用與照護型AI機器人會同時進入身體、家庭、勞動、財產與照護關係。以下價值清單不是要證明議題很多，而是用來辨識哪些衝突必須進入後續治理安排：</w:t>
      </w:r>
    </w:p>
    <w:p>
      <w:pPr>
        <w:widowControl/>
        <w:numPr>
          <w:ilvl w:val="0"/>
          <w:numId w:val="1001"/>
        </w:numPr>
      </w:pPr>
      <w:r>
        <w:rPr>
          <w:rFonts w:ascii="Noto Sans CJK SC" w:hAnsi="Noto Sans CJK SC" w:eastAsia="Noto Sans CJK SC"/>
          <w:color w:val="000000"/>
        </w:rPr>
        <w:t xml:space="preserve">人性尊嚴與自主權：身心障礙者權利公約（CRPD）八大原則——尊重固有尊嚴與個人自主、不歧視、充分與有效地參與和融入社會、尊重差異、機會均等、無障礙、男女平等、尊重障礙兒童逐漸發展的能力（United</w:t>
      </w:r>
      <w:r>
        <w:rPr>
          <w:rFonts w:ascii="Noto Sans CJK SC" w:hAnsi="Noto Sans CJK SC" w:eastAsia="Noto Sans CJK SC"/>
          <w:color w:val="000000"/>
        </w:rPr>
        <w:t xml:space="preserve"> </w:t>
      </w:r>
      <w:r>
        <w:rPr>
          <w:rFonts w:ascii="Noto Sans CJK SC" w:hAnsi="Noto Sans CJK SC" w:eastAsia="Noto Sans CJK SC"/>
          <w:color w:val="000000"/>
        </w:rPr>
        <w:t xml:space="preserve">Nations,</w:t>
      </w:r>
      <w:r>
        <w:rPr>
          <w:rFonts w:ascii="Noto Sans CJK SC" w:hAnsi="Noto Sans CJK SC" w:eastAsia="Noto Sans CJK SC"/>
          <w:color w:val="000000"/>
        </w:rPr>
        <w:t xml:space="preserve"> </w:t>
      </w:r>
      <w:r>
        <w:rPr>
          <w:rFonts w:ascii="Noto Sans CJK SC" w:hAnsi="Noto Sans CJK SC" w:eastAsia="Noto Sans CJK SC"/>
          <w:color w:val="000000"/>
        </w:rPr>
        <w:t xml:space="preserve">2006）。於長照／居家照護機器人情境下，這些原則直接觸發「誰決定機器人介入的程度與方式」之協商議題。</w:t>
      </w:r>
    </w:p>
    <w:p>
      <w:pPr>
        <w:widowControl/>
        <w:numPr>
          <w:ilvl w:val="0"/>
          <w:numId w:val="1001"/>
        </w:numPr>
      </w:pPr>
      <w:r>
        <w:rPr>
          <w:rFonts w:ascii="Noto Sans CJK SC" w:hAnsi="Noto Sans CJK SC" w:eastAsia="Noto Sans CJK SC"/>
          <w:color w:val="000000"/>
        </w:rPr>
        <w:t xml:space="preserve">不歧視與無障礙權：照護機器人若設計不良，可能強化而非減緩社會排除（Sharkey</w:t>
      </w:r>
      <w:r>
        <w:rPr>
          <w:rFonts w:ascii="Noto Sans CJK SC" w:hAnsi="Noto Sans CJK SC" w:eastAsia="Noto Sans CJK SC"/>
          <w:color w:val="000000"/>
        </w:rPr>
        <w:t xml:space="preserve"> </w:t>
      </w:r>
      <w:r>
        <w:rPr>
          <w:rFonts w:ascii="Noto Sans CJK SC" w:hAnsi="Noto Sans CJK SC" w:eastAsia="Noto Sans CJK SC"/>
          <w:color w:val="000000"/>
        </w:rPr>
        <w:t xml:space="preserve">&amp; Sharkey, 2012）。</w:t>
      </w:r>
    </w:p>
    <w:p>
      <w:pPr>
        <w:widowControl/>
        <w:numPr>
          <w:ilvl w:val="0"/>
          <w:numId w:val="1001"/>
        </w:numPr>
      </w:pPr>
      <w:r>
        <w:rPr>
          <w:rFonts w:ascii="Noto Sans CJK SC" w:hAnsi="Noto Sans CJK SC" w:eastAsia="Noto Sans CJK SC"/>
          <w:color w:val="000000"/>
        </w:rPr>
        <w:t xml:space="preserve">勞動權與就業替代：臺灣已進入超高齡社會，行政院《智慧機器人產業推動方案》將長照與高風險職業列為優先應用領域（行政院，2025）；《人工智慧基本法》亦明定應積極運用人工智慧確保勞動者之勞動權益。</w:t>
      </w:r>
    </w:p>
    <w:p>
      <w:pPr>
        <w:widowControl/>
        <w:numPr>
          <w:ilvl w:val="0"/>
          <w:numId w:val="1001"/>
        </w:numPr>
      </w:pPr>
      <w:r>
        <w:rPr>
          <w:rFonts w:ascii="Noto Sans CJK SC" w:hAnsi="Noto Sans CJK SC" w:eastAsia="Noto Sans CJK SC"/>
          <w:color w:val="000000"/>
        </w:rPr>
        <w:t xml:space="preserve">產品安全與侵權責任：既有產品責任法與過失侵權框架對自主學習系統之適用性已受質疑（Rachum-Twaig,</w:t>
      </w:r>
      <w:r>
        <w:rPr>
          <w:rFonts w:ascii="Noto Sans CJK SC" w:hAnsi="Noto Sans CJK SC" w:eastAsia="Noto Sans CJK SC"/>
          <w:color w:val="000000"/>
        </w:rPr>
        <w:t xml:space="preserve"> </w:t>
      </w:r>
      <w:r>
        <w:rPr>
          <w:rFonts w:ascii="Noto Sans CJK SC" w:hAnsi="Noto Sans CJK SC" w:eastAsia="Noto Sans CJK SC"/>
          <w:color w:val="000000"/>
        </w:rPr>
        <w:t xml:space="preserve">2020）。</w:t>
      </w:r>
    </w:p>
    <w:p>
      <w:pPr>
        <w:widowControl/>
        <w:numPr>
          <w:ilvl w:val="0"/>
          <w:numId w:val="1001"/>
        </w:numPr>
      </w:pPr>
      <w:r>
        <w:rPr>
          <w:rFonts w:ascii="Noto Sans CJK SC" w:hAnsi="Noto Sans CJK SC" w:eastAsia="Noto Sans CJK SC"/>
          <w:color w:val="000000"/>
        </w:rPr>
        <w:t xml:space="preserve">國際人道法：具殺傷力之自主機器人已促使各國軍方訂定倫理約束。</w:t>
      </w:r>
    </w:p>
    <w:p>
      <w:pPr>
        <w:widowControl/>
        <w:numPr>
          <w:ilvl w:val="0"/>
          <w:numId w:val="1001"/>
        </w:numPr>
      </w:pPr>
      <w:r>
        <w:rPr>
          <w:rFonts w:ascii="Noto Sans CJK SC" w:hAnsi="Noto Sans CJK SC" w:eastAsia="Noto Sans CJK SC"/>
          <w:color w:val="000000"/>
        </w:rPr>
        <w:t xml:space="preserve">隱私與資料保護：機器人常駐家中蒐集影像、語音、行為資料，觸及個人資料保護法與長照服務法相關規範。</w:t>
      </w:r>
    </w:p>
    <w:p>
      <w:pPr>
        <w:widowControl/>
        <w:numPr>
          <w:ilvl w:val="0"/>
          <w:numId w:val="1001"/>
        </w:numPr>
      </w:pPr>
      <w:r>
        <w:rPr>
          <w:rFonts w:ascii="Noto Sans CJK SC" w:hAnsi="Noto Sans CJK SC" w:eastAsia="Noto Sans CJK SC"/>
          <w:color w:val="000000"/>
        </w:rPr>
        <w:t xml:space="preserve">國家安全：跨國供應鏈之資安疑慮。</w:t>
      </w:r>
    </w:p>
    <w:p>
      <w:pPr>
        <w:widowControl/>
        <w:numPr>
          <w:ilvl w:val="0"/>
          <w:numId w:val="1001"/>
        </w:numPr>
      </w:pPr>
      <w:r>
        <w:rPr>
          <w:rFonts w:ascii="Noto Sans CJK SC" w:hAnsi="Noto Sans CJK SC" w:eastAsia="Noto Sans CJK SC"/>
          <w:color w:val="000000"/>
        </w:rPr>
        <w:t xml:space="preserve">老年人權益：聯合國關於老年人原則及臺灣長照服務法對使用者安全與同意之規定。</w:t>
      </w:r>
    </w:p>
    <w:p>
      <w:pPr>
        <w:widowControl/>
        <w:numPr>
          <w:ilvl w:val="0"/>
          <w:numId w:val="1001"/>
        </w:numPr>
      </w:pPr>
      <w:r>
        <w:rPr>
          <w:rFonts w:ascii="Noto Sans CJK SC" w:hAnsi="Noto Sans CJK SC" w:eastAsia="Noto Sans CJK SC"/>
          <w:color w:val="000000"/>
        </w:rPr>
        <w:t xml:space="preserve">財產權與繼承法：機器人本體之動產所有權、雲端個人化記憶之數位遺產難題。</w:t>
      </w:r>
    </w:p>
    <w:p>
      <w:pPr>
        <w:widowControl/>
        <w:numPr>
          <w:ilvl w:val="0"/>
          <w:numId w:val="1001"/>
        </w:numPr>
      </w:pPr>
      <w:r>
        <w:rPr>
          <w:rFonts w:ascii="Noto Sans CJK SC" w:hAnsi="Noto Sans CJK SC" w:eastAsia="Noto Sans CJK SC"/>
          <w:color w:val="000000"/>
        </w:rPr>
        <w:t xml:space="preserve">消費者保護：瑕疵召回、定期安檢機制。</w:t>
      </w:r>
    </w:p>
    <w:p>
      <w:pPr>
        <w:widowControl/>
        <w:numPr>
          <w:ilvl w:val="0"/>
          <w:numId w:val="1001"/>
        </w:numPr>
      </w:pPr>
      <w:r>
        <w:rPr>
          <w:rFonts w:ascii="Noto Sans CJK SC" w:hAnsi="Noto Sans CJK SC" w:eastAsia="Noto Sans CJK SC"/>
          <w:color w:val="000000"/>
        </w:rPr>
        <w:t xml:space="preserve">經濟公平分配與環境永續：自動化可能加劇財富集中，以及大規模量產之能資源消耗。</w:t>
      </w:r>
    </w:p>
    <w:p>
      <w:pPr>
        <w:pStyle w:val="FirstParagraph"/>
        <w:widowControl/>
      </w:pPr>
      <w:r>
        <w:rPr>
          <w:rFonts w:ascii="Noto Sans CJK SC" w:hAnsi="Noto Sans CJK SC" w:eastAsia="Noto Sans CJK SC"/>
          <w:color w:val="000000"/>
        </w:rPr>
        <w:t xml:space="preserve">臺灣本地研究已開始處理照護機器人倫理議題，指出「照顧中心價值敏感設計」與負責任研究創新之重要性（蔡甫昌等，2021）。</w:t>
      </w:r>
    </w:p>
    <w:p>
      <w:pPr>
        <w:pStyle w:val="BodyText"/>
        <w:widowControl/>
      </w:pPr>
      <w:r>
        <w:rPr>
          <w:rFonts w:ascii="Noto Sans CJK SC" w:hAnsi="Noto Sans CJK SC" w:eastAsia="Noto Sans CJK SC"/>
          <w:color w:val="000000"/>
        </w:rPr>
        <w:t xml:space="preserve">二、實務參與回顧：2002–2005年臺灣機器人政策跨部會協調經驗</w:t>
      </w:r>
    </w:p>
    <w:p>
      <w:pPr>
        <w:pStyle w:val="BodyText"/>
        <w:widowControl/>
      </w:pPr>
      <w:r>
        <w:rPr>
          <w:rFonts w:ascii="Noto Sans CJK SC" w:hAnsi="Noto Sans CJK SC" w:eastAsia="Noto Sans CJK SC"/>
          <w:color w:val="000000"/>
        </w:rPr>
        <w:t xml:space="preserve">本文另納入一項正式文件不容易留下的材料。2002至2005年間，作者曾以國際事務與外交部門實務工作者身分，參與機器人研究所、資策會、國科會、經濟部、中山科學研究院、衛生署及其他機關的跨部會討論，共同研擬臺灣2030年機器人政策目標。以下內容屬參與者的口述回憶，不用來取代正式檔案，而是補充會議現場如何形成問題框架、又如何出現權威空缺。</w:t>
      </w:r>
    </w:p>
    <w:p>
      <w:pPr>
        <w:pStyle w:val="BodyText"/>
        <w:widowControl/>
      </w:pPr>
      <w:r>
        <w:rPr>
          <w:rFonts w:ascii="Noto Sans CJK SC" w:hAnsi="Noto Sans CJK SC" w:eastAsia="Noto Sans CJK SC"/>
          <w:color w:val="000000"/>
        </w:rPr>
        <w:t xml:space="preserve">會議中，一位中央研究院資深研究者質疑何以須針對「人形」機器人進行政策探討，主張依工業用、服務型分工即可；實務工作者則從社會學與心理學角度主張，人形機器人之意義在於能以最小幅度改造既有人類生活環境並自然嵌入人際互動；衛生署代表則呈現明顯茫然，未能提出實質立場。</w:t>
      </w:r>
    </w:p>
    <w:p>
      <w:pPr>
        <w:pStyle w:val="BodyText"/>
        <w:widowControl/>
      </w:pPr>
      <w:r>
        <w:rPr>
          <w:rFonts w:ascii="Noto Sans CJK SC" w:hAnsi="Noto Sans CJK SC" w:eastAsia="Noto Sans CJK SC"/>
          <w:color w:val="000000"/>
        </w:rPr>
        <w:t xml:space="preserve">若以四條治理鏈重讀這段經驗，工程效能與社會心理嵌入並不是兩個可以簡單折衷的觀點，而是對「機器人政策究竟要處理什麼」的不同框定。衛生署代表未能形成長照福祉立場，則暴露了更根本的問題：當時行政體系尚未確認誰有權代表照護需求，也沒有相應的責任鏈。這項經驗說明，層二的制度分裂並非2020年代才突然出現；新科技只是使長期存在的管轄與能力問題變得更明顯。</w:t>
      </w:r>
    </w:p>
    <w:p>
      <w:pPr>
        <w:pStyle w:val="BodyText"/>
        <w:widowControl/>
      </w:pPr>
      <w:r>
        <w:rPr>
          <w:rFonts w:ascii="Noto Sans CJK SC" w:hAnsi="Noto Sans CJK SC" w:eastAsia="Noto Sans CJK SC"/>
          <w:color w:val="000000"/>
        </w:rPr>
        <w:t xml:space="preserve">晚近政策發展顯示此一協調難題仍在延續與轉化。行政院於2025年7月核定《智慧機器人產業推動方案（2026—2029年）》，以關鍵技術布局、產業生態系建立、資安／標準／法規制定，以及人才培育與應用推廣為主要策略；政策也把勞動力短缺與高齡照護需求列為重要背景（行政院，2025）。這些正式政策足以說明智慧機器人已進入跨部會治理議程，但不能因此推論產業推動目標已經回答照護、自主與責任歸屬問題。</w:t>
      </w:r>
    </w:p>
    <w:p>
      <w:pPr>
        <w:pStyle w:val="BodyText"/>
        <w:widowControl/>
      </w:pPr>
      <w:r>
        <w:rPr>
          <w:rFonts w:ascii="Noto Sans CJK SC" w:hAnsi="Noto Sans CJK SC" w:eastAsia="Noto Sans CJK SC"/>
          <w:color w:val="000000"/>
        </w:rPr>
        <w:t xml:space="preserve">更重要的是，臺灣已於2025年12月23日立法院三讀通過、2026年1月14日公布施行《人工智慧基本法》。這是臺灣首部AI專法，全文20條，屬方針性基本法，中央主管機關為國家科學及技術委員會，並要求行政院成立國家人工智慧戰略特別委員會。該法揭示七大基本原則：永續發展與福祉、人類自主、隱私保護與資料治理、資安與安全、透明與可解釋、公平不歧視、問責（人工智慧基本法，2026）。本法雖本身不直接課予私部門罰則，但要求各目的事業主管機關於兩年內依風險分類框架訂定以風險為基礎之管理規範，並特別指出應積極運用人工智慧確保勞動者之勞動權益，以及高風險應用應標示警語。對家用／照護型機器人而言，此法提供了「制度分工」層次的正式法源，使原本分散於產品安全、長照、個資、勞動等不同部門的規範，開始有統一的原則性框架可資對照；同時也凸顯「情境建構鏈」仍待協商——究竟以產業促進、風險管控、還是長者與身障者自主尊嚴為優先框定，仍須多方共構加以釐清。</w:t>
      </w:r>
    </w:p>
    <w:bookmarkEnd w:id="42"/>
    <w:bookmarkStart w:id="43" w:name="三前瞻性思想實驗四個具體治理難題"/>
    <w:p>
      <w:pPr>
        <w:pStyle w:val="Heading2"/>
        <w:keepNext/>
        <w:widowControl/>
      </w:pPr>
      <w:r>
        <w:rPr>
          <w:rFonts w:ascii="Noto Sans CJK SC" w:hAnsi="Noto Sans CJK SC" w:eastAsia="Noto Sans CJK SC"/>
          <w:color w:val="000000"/>
        </w:rPr>
        <w:t xml:space="preserve">三、前瞻性思想實驗：四個具體治理難題</w:t>
      </w:r>
    </w:p>
    <w:p>
      <w:pPr>
        <w:pStyle w:val="FirstParagraph"/>
        <w:widowControl/>
      </w:pPr>
      <w:r>
        <w:rPr>
          <w:rFonts w:ascii="Noto Sans CJK SC" w:hAnsi="Noto Sans CJK SC" w:eastAsia="Noto Sans CJK SC"/>
          <w:color w:val="000000"/>
        </w:rPr>
        <w:t xml:space="preserve">以下案例旨在辨識不同法律部門交會時可能出現的治理缺口，並不構成對特定案件法律效果的確定判斷。刑事、民事或強制執行責任仍須依具體事實、構成要件、契約內容及主管機關解釋判定。</w:t>
      </w:r>
    </w:p>
    <w:p>
      <w:pPr>
        <w:pStyle w:val="BodyText"/>
        <w:widowControl/>
      </w:pPr>
      <w:r>
        <w:rPr>
          <w:rFonts w:ascii="Noto Sans CJK SC" w:hAnsi="Noto Sans CJK SC" w:eastAsia="Noto Sans CJK SC"/>
          <w:color w:val="000000"/>
        </w:rPr>
        <w:t xml:space="preserve">家用照護機器人進入臺灣家庭將觸發至少四個現行法制未有清楚答案、或答案分散於不同法律部門之具體難題：</w:t>
      </w:r>
    </w:p>
    <w:p>
      <w:pPr>
        <w:widowControl/>
        <w:numPr>
          <w:ilvl w:val="0"/>
          <w:numId w:val="1002"/>
        </w:numPr>
      </w:pPr>
      <w:r>
        <w:t>刑法歸責難題：機器人為保護家庭成員而對入侵者採取致命或傷害性反應時，責任主體須從「機器人之決定」轉移至「製造商演算法設計是否合理」與「使用者配置是否符合比例原則」，形成刑法、產品責任、工程安全三套專業框架同時黏著、邊界消解之典型案例。這正對應「邊界消解」與「責任鏈」斷裂風險。</w:t>
      </w:r>
    </w:p>
    <w:p>
      <w:pPr>
        <w:widowControl/>
        <w:numPr>
          <w:ilvl w:val="0"/>
          <w:numId w:val="1002"/>
        </w:numPr>
      </w:pPr>
      <w:r>
        <w:rPr>
          <w:rFonts w:ascii="Noto Sans CJK SC" w:hAnsi="Noto Sans CJK SC" w:eastAsia="Noto Sans CJK SC"/>
          <w:color w:val="000000"/>
        </w:rPr>
        <w:t xml:space="preserve">財產繼承難題：機器人本體屬普通動產，依民法可繼承；惟雲端個人化學習記憶可能因服務條款限制帳戶不可轉讓，繼承人僅能繼承硬體殼子而無法繼承互動記憶，形成數位遺產性質之法律前沿問題。</w:t>
      </w:r>
    </w:p>
    <w:p>
      <w:pPr>
        <w:widowControl/>
        <w:numPr>
          <w:ilvl w:val="0"/>
          <w:numId w:val="1002"/>
        </w:numPr>
      </w:pPr>
      <w:r>
        <w:rPr>
          <w:rFonts w:ascii="Noto Sans CJK SC" w:hAnsi="Noto Sans CJK SC" w:eastAsia="Noto Sans CJK SC"/>
          <w:color w:val="000000"/>
        </w:rPr>
        <w:t xml:space="preserve">動產法拍與維生輔具保護難題：機器人若透過貸款分期購入，原則上可能成為動產擔保或強制執行之標的；但若該機器人是獨居老人進行跌倒偵測、服藥提醒或緊急通報的主要載具，停止使用可能直接危及其基本生活與人身安全。《強制執行法》對債務人及其共同生活親屬維持生活所必需的物品，以及從事職業所必需的器具，已有一定程度的保護邏輯；然而，具有維生或照護功能的智慧機器人能否據此被認定為不得查封、應予酌留，或僅屬一般消費性電子產品，現行法仍欠缺明確判準。本文不主張現行法已當然排除其查封，而是建議未來依使用者失能程度、設備實際功能、替代服務可得性及停用後風險，建立功能性認定標準；必要時再以修法或主管機關指引提供特別保護。</w:t>
      </w:r>
    </w:p>
    <w:p>
      <w:pPr>
        <w:widowControl/>
        <w:numPr>
          <w:ilvl w:val="0"/>
          <w:numId w:val="1002"/>
        </w:numPr>
      </w:pPr>
      <w:r>
        <w:rPr>
          <w:rFonts w:ascii="Noto Sans CJK SC" w:hAnsi="Noto Sans CJK SC" w:eastAsia="Noto Sans CJK SC"/>
          <w:color w:val="000000"/>
        </w:rPr>
        <w:t xml:space="preserve">維修與定期安檢難題：維修與監督責任首先取決於系統被歸類為醫療器材、長照輔具或一般消費性電子產品；立法院的法制研析也指出，照顧機器人的法律定位與使用範圍仍須進一步分類分級（李郁強，2022）。這項分類本身就是尚待決定的層二制度問題；較可能之答案是定期安全檢驗搭配瑕疵召回，而非強制世代汰換。</w:t>
      </w:r>
    </w:p>
    <w:bookmarkEnd w:id="43"/>
    <w:bookmarkEnd w:id="44"/>
    <w:bookmarkStart w:id="52" w:name="伍四條治理鏈之並行展開四種治理路徑的治理可能性空間"/>
    <w:p>
      <w:pPr>
        <w:pStyle w:val="Heading1"/>
        <w:keepNext/>
        <w:widowControl/>
      </w:pPr>
      <w:r>
        <w:rPr>
          <w:rFonts w:ascii="Noto Sans CJK SC" w:hAnsi="Noto Sans CJK SC" w:eastAsia="Noto Sans CJK SC"/>
          <w:color w:val="000000"/>
        </w:rPr>
        <w:t xml:space="preserve">伍、四條治理鏈之並行展開：四種治理路徑的治理可能性空間</w:t>
      </w:r>
    </w:p>
    <w:p>
      <w:pPr>
        <w:pStyle w:val="FirstParagraph"/>
        <w:widowControl/>
      </w:pPr>
      <w:r>
        <w:rPr>
          <w:rFonts w:ascii="Noto Sans CJK SC" w:hAnsi="Noto Sans CJK SC" w:eastAsia="Noto Sans CJK SC"/>
          <w:color w:val="000000"/>
        </w:rPr>
        <w:t xml:space="preserve">問題是，四種治理路徑是否只能被畫成彼此分離、各自通往固定終點的選項？本文的答案是否定的。若以人類生活領域的尊嚴與安全作為共同起點，廠商內建、政府命令、市場契約與多方協商仍可能相互交會、偏移與重新組合。以下先以四條治理鏈比較其制度後果，再用圖5.1呈現這個開放的治理可能性空間。</w:t>
      </w:r>
    </w:p>
    <w:p>
      <w:pPr>
        <w:pStyle w:val="BodyText"/>
        <w:widowControl/>
      </w:pPr>
      <w:r>
        <w:rPr>
          <w:rFonts w:ascii="Noto Sans CJK SC" w:hAnsi="Noto Sans CJK SC" w:eastAsia="Noto Sans CJK SC"/>
          <w:color w:val="000000"/>
        </w:rPr>
        <w:t xml:space="preserve">本文各層概念的功能並不相同：二十五治理座標用來定位衝突發生的分析位置；四條治理鏈是檢查每一種制度安排如何框定問題、配置權威、提出理由與安排責任的共同工具；四種治理路徑是可供比較的制度選擇；星雲圖呈現路徑可能混合與變動；六步驟流程則把前述分析轉化為政府研究人員可以完成的行政工作。四條治理鏈不是另外四種治理模式，六步驟也不是取代理論架構的新分類。</w:t>
      </w:r>
    </w:p>
    <w:p>
      <w:pPr>
        <w:pStyle w:val="BodyText"/>
        <w:widowControl/>
      </w:pPr>
      <w:r>
        <w:rPr>
          <w:rFonts w:ascii="Noto Sans CJK SC" w:hAnsi="Noto Sans CJK SC" w:eastAsia="Noto Sans CJK SC"/>
          <w:color w:val="000000"/>
        </w:rPr>
        <w:drawing>
          <wp:inline>
            <wp:extent cx="5334000" cy="3437466"/>
            <wp:effectExtent b="0" l="0" r="0" t="0"/>
            <wp:docPr descr="四種治理路徑在圓形治理可能性空間內交會的淺色星雲圖，四條路徑均有中英文標示。" title="" id="46" name="Picture"/>
            <a:graphic>
              <a:graphicData uri="http://schemas.openxmlformats.org/drawingml/2006/picture">
                <pic:pic>
                  <pic:nvPicPr>
                    <pic:cNvPr descr="work/extracted/article_media/media/image1.png" id="47" name="Picture"/>
                    <pic:cNvPicPr>
                      <a:picLocks noChangeArrowheads="1" noChangeAspect="1"/>
                    </pic:cNvPicPr>
                  </pic:nvPicPr>
                  <pic:blipFill>
                    <a:blip r:embed="rId45"/>
                    <a:stretch>
                      <a:fillRect/>
                    </a:stretch>
                  </pic:blipFill>
                  <pic:spPr bwMode="auto">
                    <a:xfrm>
                      <a:off x="0" y="0"/>
                      <a:ext cx="5334000" cy="3437466"/>
                    </a:xfrm>
                    <a:prstGeom prst="rect">
                      <a:avLst/>
                    </a:prstGeom>
                    <a:noFill/>
                    <a:ln w="9525">
                      <a:noFill/>
                      <a:headEnd/>
                      <a:tailEnd/>
                    </a:ln>
                  </pic:spPr>
                </pic:pic>
              </a:graphicData>
            </a:graphic>
          </wp:inline>
        </w:drawing>
      </w:r>
    </w:p>
    <w:p>
      <w:pPr>
        <w:pStyle w:val="BodyText"/>
        <w:keepNext/>
        <w:widowControl/>
        <w:jc w:val="center"/>
      </w:pPr>
      <w:r>
        <w:rPr>
          <w:bCs/>
          <w:rFonts w:ascii="Noto Sans CJK SC" w:hAnsi="Noto Sans CJK SC" w:eastAsia="Noto Sans CJK SC"/>
          <w:b/>
          <w:color w:val="000000"/>
        </w:rPr>
        <w:t xml:space="preserve">圖5.1　四種治理路徑的治理可能性空間</w:t>
      </w:r>
    </w:p>
    <w:p>
      <w:pPr>
        <w:pStyle w:val="BodyText"/>
        <w:widowControl/>
      </w:pPr>
      <w:r>
        <w:rPr>
          <w:rFonts w:ascii="Noto Sans CJK SC" w:hAnsi="Noto Sans CJK SC" w:eastAsia="Noto Sans CJK SC"/>
          <w:color w:val="000000"/>
        </w:rPr>
        <w:t xml:space="preserve">資料來源：本文自行繪製。</w:t>
      </w:r>
    </w:p>
    <w:p>
      <w:pPr>
        <w:pStyle w:val="BodyText"/>
        <w:keepNext/>
        <w:widowControl/>
        <w:jc w:val="center"/>
      </w:pPr>
      <w:r>
        <w:rPr>
          <w:rFonts w:ascii="Noto Sans CJK SC" w:hAnsi="Noto Sans CJK SC" w:eastAsia="Noto Sans CJK SC"/>
          <w:color w:val="000000"/>
        </w:rPr>
        <w:t xml:space="preserve">圖5.1不是宇宙物理模型，也不表示治理未來可以被精確預測。圓形邊界表示可討論的制度安排仍會擴展；四條彩色軌道分別指向廠商內建、政府命令、市場契約與多方協商，但它們可以交會、偏移或形成混合配置。圖中散點代表尚未制度化的治理契機、突發事件或目前尚未命名的風險。換言之，未來不再被表達成四個彼此分離的選項，而是一個包含交會、偏移、混合、突變與未知可能性的「治理可能性空間」。星雲圖的價值正在於提醒研究者：分類是分析起點，不是未來的邊界。</w:t>
      </w:r>
    </w:p>
    <w:bookmarkStart w:id="48" w:name="一廠商內建路徑"/>
    <w:p>
      <w:pPr>
        <w:pStyle w:val="Heading2"/>
        <w:keepNext/>
        <w:widowControl/>
      </w:pPr>
      <w:r>
        <w:rPr>
          <w:rFonts w:ascii="Noto Sans CJK SC" w:hAnsi="Noto Sans CJK SC" w:eastAsia="Noto Sans CJK SC"/>
          <w:color w:val="000000"/>
        </w:rPr>
        <w:t xml:space="preserve">一、廠商內建路徑</w:t>
      </w:r>
    </w:p>
    <w:p>
      <w:pPr>
        <w:pStyle w:val="FirstParagraph"/>
        <w:widowControl/>
      </w:pPr>
      <w:r>
        <w:rPr>
          <w:rFonts w:ascii="Noto Sans CJK SC" w:hAnsi="Noto Sans CJK SC" w:eastAsia="Noto Sans CJK SC"/>
          <w:color w:val="000000"/>
        </w:rPr>
        <w:t xml:space="preserve">廠商可以透過模型訓練、預設值與產品功能，把安全、效率或服從等價值直接寫進系統。這條路徑反應快，也最接近技術開發現場；但是反過來，使用者與權益代表往往只能事後接受。問題不只在透明不足，而在供應商可能取得實質的問題定義權，法定機關則退到事故後才介入。</w:t>
      </w:r>
    </w:p>
    <w:bookmarkEnd w:id="48"/>
    <w:bookmarkStart w:id="49" w:name="二政府命令路徑"/>
    <w:p>
      <w:pPr>
        <w:pStyle w:val="Heading2"/>
        <w:keepNext/>
        <w:widowControl/>
      </w:pPr>
      <w:r>
        <w:rPr>
          <w:rFonts w:ascii="Noto Sans CJK SC" w:hAnsi="Noto Sans CJK SC" w:eastAsia="Noto Sans CJK SC"/>
          <w:color w:val="000000"/>
        </w:rPr>
        <w:t xml:space="preserve">二、政府命令路徑</w:t>
      </w:r>
    </w:p>
    <w:p>
      <w:pPr>
        <w:pStyle w:val="FirstParagraph"/>
        <w:widowControl/>
      </w:pPr>
      <w:r>
        <w:rPr>
          <w:rFonts w:ascii="Noto Sans CJK SC" w:hAnsi="Noto Sans CJK SC" w:eastAsia="Noto Sans CJK SC"/>
          <w:color w:val="000000"/>
        </w:rPr>
        <w:t xml:space="preserve">政府命令可以迅速劃定安全與權利底線。《人工智慧基本法》提供原則、主管機關分工與風險分類依據，歐盟《人工智慧法》則對高風險系統課以更具體義務。然而，有法不等於有執行能力。若主管機關沒有足夠人力、資訊與技術能力，命令可能停留在形式合規，也可能把管制者自己的風險框架當成唯一答案。</w:t>
      </w:r>
    </w:p>
    <w:bookmarkEnd w:id="49"/>
    <w:bookmarkStart w:id="50" w:name="三市場契約路徑"/>
    <w:p>
      <w:pPr>
        <w:pStyle w:val="Heading2"/>
        <w:keepNext/>
        <w:widowControl/>
      </w:pPr>
      <w:r>
        <w:rPr>
          <w:rFonts w:ascii="Noto Sans CJK SC" w:hAnsi="Noto Sans CJK SC" w:eastAsia="Noto Sans CJK SC"/>
          <w:color w:val="000000"/>
        </w:rPr>
        <w:t xml:space="preserve">三、市場契約路徑</w:t>
      </w:r>
    </w:p>
    <w:p>
      <w:pPr>
        <w:pStyle w:val="FirstParagraph"/>
        <w:widowControl/>
      </w:pPr>
      <w:r>
        <w:rPr>
          <w:rFonts w:ascii="Noto Sans CJK SC" w:hAnsi="Noto Sans CJK SC" w:eastAsia="Noto Sans CJK SC"/>
          <w:color w:val="000000"/>
        </w:rPr>
        <w:t xml:space="preserve">市場契約依靠服務條款、保險及事後訴訟配置風險，優點是可以隨產品與使用情境調整。困難在於，獨居長者、身心障礙者或一般家庭很少有能力實質談判條款。當資訊與議價能力高度不對稱時，契約自由未必能處理照護、隱私及跨部門外部性。</w:t>
      </w:r>
    </w:p>
    <w:bookmarkEnd w:id="50"/>
    <w:bookmarkStart w:id="51" w:name="四多方協商路徑"/>
    <w:p>
      <w:pPr>
        <w:pStyle w:val="Heading2"/>
        <w:keepNext/>
        <w:widowControl/>
      </w:pPr>
      <w:r>
        <w:rPr>
          <w:rFonts w:ascii="Noto Sans CJK SC" w:hAnsi="Noto Sans CJK SC" w:eastAsia="Noto Sans CJK SC"/>
          <w:color w:val="000000"/>
        </w:rPr>
        <w:t xml:space="preserve">四、多方協商路徑</w:t>
      </w:r>
    </w:p>
    <w:p>
      <w:pPr>
        <w:pStyle w:val="FirstParagraph"/>
        <w:widowControl/>
      </w:pPr>
      <w:r>
        <w:rPr>
          <w:rFonts w:ascii="Noto Sans CJK SC" w:hAnsi="Noto Sans CJK SC" w:eastAsia="Noto Sans CJK SC"/>
          <w:color w:val="000000"/>
        </w:rPr>
        <w:t xml:space="preserve">多方協商要求製造商、使用者、家屬、照護機構、權益代表與主管機關，在部署前後持續說明自己的框架與責任。它能承接層一共識進入層二後的分裂，卻不是一種自動產生共識的樂觀程序。2002至2005年的跨部會經驗已經說明，工程效能、社會心理嵌入與權威真空可能長期並存。因此，協商必須同時具備議程、期限、法定決定權與僵局回歸點，否則參與本身也可能成為延宕責任的方式。</w:t>
      </w:r>
    </w:p>
    <w:p>
      <w:pPr>
        <w:pStyle w:val="BodyText"/>
        <w:widowControl/>
      </w:pPr>
      <w:r>
        <w:rPr>
          <w:rFonts w:ascii="Noto Sans CJK SC" w:hAnsi="Noto Sans CJK SC" w:eastAsia="Noto Sans CJK SC"/>
          <w:color w:val="000000"/>
        </w:rPr>
        <w:t xml:space="preserve">本文較傾向協商路徑，不是因為命令、契約或內建都應被排除，而是因為這三者需要被放回一個可以追問框定、授權、理由與責任的制度程序。Kaminski與Malgieri（2025）對受影響利害關係人參與的分析同樣提醒，參與是健全課責的必要部分，卻不能單獨取代其他權利與責任機制。</w:t>
      </w:r>
    </w:p>
    <w:p>
      <w:pPr>
        <w:pStyle w:val="BodyText"/>
        <w:widowControl/>
      </w:pPr>
      <w:r>
        <w:rPr>
          <w:rFonts w:ascii="Noto Sans CJK SC" w:hAnsi="Noto Sans CJK SC" w:eastAsia="Noto Sans CJK SC"/>
          <w:color w:val="000000"/>
        </w:rPr>
        <w:t xml:space="preserve">協商本身也受權力結構限制。參與名單可能由政府或廠商選定，弱勢團體未必具有時間、資訊與技術能力，資源較多的行動者也可能把形式參與轉化為政策背書。多數意見更不當然優先於基本權保障。因此，協商的正當性不能只以參與人數衡量，而應檢查受影響者是否取得必要資訊、能否提出異議、其理由是否實際影響方案，以及法定機關是否仍對最終決定負責。</w:t>
      </w:r>
    </w:p>
    <w:bookmarkEnd w:id="51"/>
    <w:bookmarkEnd w:id="52"/>
    <w:bookmarkStart w:id="63" w:name="陸風險地圖與談判腳本之操作化"/>
    <w:p>
      <w:pPr>
        <w:pStyle w:val="Heading1"/>
        <w:keepNext/>
        <w:widowControl/>
      </w:pPr>
      <w:r>
        <w:rPr>
          <w:rFonts w:ascii="Noto Sans CJK SC" w:hAnsi="Noto Sans CJK SC" w:eastAsia="Noto Sans CJK SC"/>
          <w:color w:val="000000"/>
        </w:rPr>
        <w:t xml:space="preserve">陸、風險地圖與談判腳本之操作化</w:t>
      </w:r>
    </w:p>
    <w:p>
      <w:pPr>
        <w:pStyle w:val="FirstParagraph"/>
        <w:widowControl/>
      </w:pPr>
      <w:r>
        <w:rPr>
          <w:rFonts w:ascii="Noto Sans CJK SC" w:hAnsi="Noto Sans CJK SC" w:eastAsia="Noto Sans CJK SC"/>
          <w:color w:val="000000"/>
        </w:rPr>
        <w:t xml:space="preserve">風險地圖與談判腳本的目的，是把四條治理鏈轉化為會議前可以準備、會議中可以比較、會議後可以追蹤的行政工作。它們不能替代政治判斷，卻可以防止價值選擇躲在技術預設或機關分工背後。以下以家用照護機器人跨部會協調為情境，先說明四項準備工作，再處理協商失敗時如何收斂。</w:t>
      </w:r>
    </w:p>
    <w:bookmarkStart w:id="53" w:name="一情境建構鏈之會前攤牌"/>
    <w:p>
      <w:pPr>
        <w:pStyle w:val="Heading2"/>
        <w:keepNext/>
        <w:widowControl/>
      </w:pPr>
      <w:r>
        <w:rPr>
          <w:rFonts w:ascii="Noto Sans CJK SC" w:hAnsi="Noto Sans CJK SC" w:eastAsia="Noto Sans CJK SC"/>
          <w:color w:val="000000"/>
        </w:rPr>
        <w:t xml:space="preserve">一、情境建構鏈之會前攤牌</w:t>
      </w:r>
    </w:p>
    <w:p>
      <w:pPr>
        <w:pStyle w:val="FirstParagraph"/>
        <w:widowControl/>
      </w:pPr>
      <w:r>
        <w:rPr>
          <w:rFonts w:ascii="Noto Sans CJK SC" w:hAnsi="Noto Sans CJK SC" w:eastAsia="Noto Sans CJK SC"/>
          <w:color w:val="000000"/>
        </w:rPr>
        <w:t>各方在會議前以書面或簡報明確陳述自身框架：產業競爭力？勞動力短缺？長者尊嚴與自主？產品安全？資料保護？避免在會中才首次揭露核心預設。這項工作對應資料代表性審計與裁量邊界審計。</w:t>
      </w:r>
    </w:p>
    <w:bookmarkEnd w:id="53"/>
    <w:bookmarkStart w:id="54" w:name="二權威鏈之管轄盤點"/>
    <w:p>
      <w:pPr>
        <w:pStyle w:val="Heading2"/>
        <w:keepNext/>
        <w:widowControl/>
      </w:pPr>
      <w:r>
        <w:rPr>
          <w:rFonts w:ascii="Noto Sans CJK SC" w:hAnsi="Noto Sans CJK SC" w:eastAsia="Noto Sans CJK SC"/>
          <w:color w:val="000000"/>
        </w:rPr>
        <w:t xml:space="preserve">二、權威鏈之管轄盤點</w:t>
      </w:r>
    </w:p>
    <w:p>
      <w:pPr>
        <w:pStyle w:val="FirstParagraph"/>
        <w:widowControl/>
      </w:pPr>
      <w:r>
        <w:rPr>
          <w:rFonts w:ascii="Noto Sans CJK SC" w:hAnsi="Noto Sans CJK SC" w:eastAsia="Noto Sans CJK SC"/>
          <w:color w:val="000000"/>
        </w:rPr>
        <w:t>列出涉及之法律依據與主管機關（國科會、數位部、衛福部、經濟部、內政部等），並標註《人工智慧基本法》所要求之風險分類與高風險標示義務由誰執行。這項工作對應裁量邊界審計與民主課責審計。</w:t>
      </w:r>
    </w:p>
    <w:bookmarkEnd w:id="54"/>
    <w:bookmarkStart w:id="55" w:name="三理由鏈之多方案備擬"/>
    <w:p>
      <w:pPr>
        <w:pStyle w:val="Heading2"/>
        <w:keepNext/>
        <w:widowControl/>
      </w:pPr>
      <w:r>
        <w:rPr>
          <w:rFonts w:ascii="Noto Sans CJK SC" w:hAnsi="Noto Sans CJK SC" w:eastAsia="Noto Sans CJK SC"/>
          <w:color w:val="000000"/>
        </w:rPr>
        <w:t xml:space="preserve">三、理由鏈之多方案備擬</w:t>
      </w:r>
    </w:p>
    <w:p>
      <w:pPr>
        <w:pStyle w:val="FirstParagraph"/>
        <w:widowControl/>
      </w:pPr>
      <w:r>
        <w:rPr>
          <w:rFonts w:ascii="Noto Sans CJK SC" w:hAnsi="Noto Sans CJK SC" w:eastAsia="Noto Sans CJK SC"/>
          <w:color w:val="000000"/>
        </w:rPr>
        <w:t>至少準備三套可相互比較的方案（例如：強制人機協同、強制保險＋定期安檢、分級許可），每案附可理解之理由與影響評估。這項工作對應理由說明審計。</w:t>
      </w:r>
    </w:p>
    <w:bookmarkEnd w:id="55"/>
    <w:bookmarkStart w:id="56" w:name="四責任鏈之預先自我承擔"/>
    <w:p>
      <w:pPr>
        <w:pStyle w:val="Heading2"/>
        <w:keepNext/>
        <w:widowControl/>
      </w:pPr>
      <w:r>
        <w:rPr>
          <w:rFonts w:ascii="Noto Sans CJK SC" w:hAnsi="Noto Sans CJK SC" w:eastAsia="Noto Sans CJK SC"/>
          <w:color w:val="000000"/>
        </w:rPr>
        <w:t xml:space="preserve">四、責任鏈之預先自我承擔</w:t>
      </w:r>
    </w:p>
    <w:p>
      <w:pPr>
        <w:pStyle w:val="FirstParagraph"/>
        <w:widowControl/>
      </w:pPr>
      <w:r>
        <w:rPr>
          <w:rFonts w:ascii="Noto Sans CJK SC" w:hAnsi="Noto Sans CJK SC" w:eastAsia="Noto Sans CJK SC"/>
          <w:color w:val="000000"/>
        </w:rPr>
        <w:t>各方事先表明若採某方案，自己願意承擔何種責任（設計、部署、覆核、救濟、停機），並設計具名責任與救濟流程。這項工作對應責任歸屬審計與組織能力審計。</w:t>
      </w:r>
    </w:p>
    <w:p>
      <w:pPr>
        <w:pStyle w:val="BodyText"/>
        <w:widowControl/>
      </w:pPr>
      <w:r>
        <w:rPr>
          <w:rFonts w:ascii="Noto Sans CJK SC" w:hAnsi="Noto Sans CJK SC" w:eastAsia="Noto Sans CJK SC"/>
          <w:color w:val="000000"/>
        </w:rPr>
        <w:t xml:space="preserve">這套工具的界線必須說清楚：它提供協商收斂的程序與結構，不提供替代政治判斷的公式。最終方案仍涉及價值選擇，但至少可以成為一項可追蹤、可檢驗，也能在新證據出現後修正的選擇。</w:t>
      </w:r>
    </w:p>
    <w:p>
      <w:pPr>
        <w:pStyle w:val="BodyText"/>
        <w:widowControl/>
      </w:pPr>
      <w:r>
        <w:rPr>
          <w:rFonts w:ascii="Noto Sans CJK SC" w:hAnsi="Noto Sans CJK SC" w:eastAsia="Noto Sans CJK SC"/>
          <w:color w:val="000000"/>
        </w:rPr>
        <w:t xml:space="preserve">五、協商僵局之分級收斂與預設回歸</w:t>
      </w:r>
    </w:p>
    <w:p>
      <w:pPr>
        <w:pStyle w:val="BodyText"/>
        <w:widowControl/>
      </w:pPr>
      <w:r>
        <w:rPr>
          <w:rFonts w:ascii="Noto Sans CJK SC" w:hAnsi="Noto Sans CJK SC" w:eastAsia="Noto Sans CJK SC"/>
          <w:color w:val="000000"/>
        </w:rPr>
        <w:t xml:space="preserve">沒有僵局處理規則的協商，容易把延宕包裝成參與。因此，協商開始時就應約定期限、最低決策資訊、必要參與者及僵局認定方式。期限應隨風險程度與決定的可逆性調整；九十日可以作為特定試辦案的檢視點，卻不宜成為所有案件一體適用的答案。</w:t>
      </w:r>
    </w:p>
    <w:p>
      <w:pPr>
        <w:pStyle w:val="BodyText"/>
        <w:widowControl/>
      </w:pPr>
      <w:r>
        <w:rPr>
          <w:rFonts w:ascii="Noto Sans CJK SC" w:hAnsi="Noto Sans CJK SC" w:eastAsia="Noto Sans CJK SC"/>
          <w:color w:val="000000"/>
        </w:rPr>
        <w:t xml:space="preserve">**僵局觸發。**期限屆滿仍無法形成可執行方案、關鍵行動者拒絕提供必要資料或承擔其可控制的責任，或所有備選方案均無法符合最低安全與基本權保障時，即進入僵局程序。單純存在反對意見不等於僵局；反對理由應被記錄並納入後續決定。</w:t>
      </w:r>
    </w:p>
    <w:p>
      <w:pPr>
        <w:pStyle w:val="BodyText"/>
        <w:widowControl/>
      </w:pPr>
      <w:r>
        <w:rPr>
          <w:rFonts w:ascii="Noto Sans CJK SC" w:hAnsi="Noto Sans CJK SC" w:eastAsia="Noto Sans CJK SC"/>
          <w:color w:val="000000"/>
        </w:rPr>
        <w:t xml:space="preserve">**高風險回歸。**涉及人身安全、不可逆傷害、持續監控或弱勢者基本權的系統，僵局期間原則上暫緩部署、限制高風險功能，或回歸較嚴格的命令式最低標準。此處的回歸是暫時風險控制，不代表政府命令路徑自動成為永久最終方案。</w:t>
      </w:r>
    </w:p>
    <w:p>
      <w:pPr>
        <w:pStyle w:val="BodyText"/>
        <w:widowControl/>
      </w:pPr>
      <w:r>
        <w:rPr>
          <w:rFonts w:ascii="Noto Sans CJK SC" w:hAnsi="Noto Sans CJK SC" w:eastAsia="Noto Sans CJK SC"/>
          <w:color w:val="000000"/>
        </w:rPr>
        <w:t xml:space="preserve">**中低風險暫行處置。**若風險可逆且可由人工覆核控制，主管機關得採縮小場域、限制使用人數、保留人工介入及加密監測的期間限定試辦，同時設定重新審議日期。若試辦資料顯示風險超過原先容許範圍，仍應轉入高風險回歸。</w:t>
      </w:r>
    </w:p>
    <w:p>
      <w:pPr>
        <w:pStyle w:val="BodyText"/>
        <w:widowControl/>
      </w:pPr>
      <w:r>
        <w:rPr>
          <w:rFonts w:ascii="Noto Sans CJK SC" w:hAnsi="Noto Sans CJK SC" w:eastAsia="Noto Sans CJK SC"/>
          <w:color w:val="000000"/>
        </w:rPr>
        <w:t xml:space="preserve">**權威與理由。**僵局後的暫行決定必須由具有法定職權的主管機關作成，協商會議本身不得取代法定權威。決定書應公開主要理由、未採方案、少數意見、責任人與檢討期限，使收斂不致退化為行政首長或技術供應商的單方裁量。</w:t>
      </w:r>
    </w:p>
    <w:p>
      <w:pPr>
        <w:pStyle w:val="BodyText"/>
        <w:widowControl/>
      </w:pPr>
      <w:r>
        <w:rPr>
          <w:rFonts w:ascii="Noto Sans CJK SC" w:hAnsi="Noto Sans CJK SC" w:eastAsia="Noto Sans CJK SC"/>
          <w:color w:val="000000"/>
        </w:rPr>
        <w:t xml:space="preserve">**重新啟動。**提出新證據、完成設計修正、補足組織能力或形成新的責任承擔方案後，利害關係人得申請重新進入協商。重新上線仍須由主管機關確認觸發問題已被處理，並保留再次停機或回歸的條件。</w:t>
      </w:r>
    </w:p>
    <w:p>
      <w:pPr>
        <w:pStyle w:val="BodyText"/>
        <w:widowControl/>
      </w:pPr>
      <w:r>
        <w:rPr>
          <w:rFonts w:ascii="Noto Sans CJK SC" w:hAnsi="Noto Sans CJK SC" w:eastAsia="Noto Sans CJK SC"/>
          <w:color w:val="000000"/>
        </w:rPr>
        <w:t xml:space="preserve">上述設計使預設回歸點同時處理兩類失敗：一是系統運作未達安全或權利保障要求，二是人類行動者無法在期限內形成可歸責的制度安排。協商因而不是無限期等待共識，而是在明確權威、風險門檻與暫行措施下持續修正。</w:t>
      </w:r>
    </w:p>
    <w:bookmarkEnd w:id="56"/>
    <w:bookmarkStart w:id="60" w:name="六政府研究單位之實務轉譯六步驟治理工作流程"/>
    <w:p>
      <w:pPr>
        <w:pStyle w:val="Heading2"/>
        <w:keepNext/>
        <w:widowControl/>
      </w:pPr>
      <w:r>
        <w:rPr>
          <w:rFonts w:ascii="Noto Sans CJK SC" w:hAnsi="Noto Sans CJK SC" w:eastAsia="Noto Sans CJK SC"/>
          <w:color w:val="000000"/>
        </w:rPr>
        <w:t xml:space="preserve">六、政府研究單位之實務轉譯：六步驟治理工作流程</w:t>
      </w:r>
    </w:p>
    <w:p>
      <w:pPr>
        <w:pStyle w:val="FirstParagraph"/>
        <w:widowControl/>
      </w:pPr>
      <w:r>
        <w:rPr>
          <w:rFonts w:ascii="Noto Sans CJK SC" w:hAnsi="Noto Sans CJK SC" w:eastAsia="Noto Sans CJK SC"/>
          <w:color w:val="000000"/>
        </w:rPr>
        <w:t xml:space="preserve">如果風險地圖與談判腳本不能進入政府日常工作，它們仍只是一組好看的概念。政府研究人員的角色不是替政治首長或利害關係人預先決定價值排序，而是把問題框定、權威來源、選擇理由、責任歸屬與退場條件整理成可供決定的證據。國科會、數位發展部及各目的事業主管機關的研究人員，可依圖6.1的六個步驟形成一條可審議、可追蹤的政策證據鏈。</w:t>
      </w:r>
    </w:p>
    <w:p>
      <w:pPr>
        <w:pStyle w:val="BodyText"/>
        <w:widowControl/>
      </w:pPr>
      <w:r>
        <w:rPr>
          <w:rFonts w:ascii="Noto Sans CJK SC" w:hAnsi="Noto Sans CJK SC" w:eastAsia="Noto Sans CJK SC"/>
          <w:color w:val="000000"/>
        </w:rPr>
        <w:drawing>
          <wp:inline>
            <wp:extent cx="5334000" cy="2933700"/>
            <wp:effectExtent b="0" l="0" r="0" t="0"/>
            <wp:docPr descr="政府研究單位將協商式治理轉譯為行政產出的六步驟流程圖。" title="" id="58" name="Picture"/>
            <a:graphic>
              <a:graphicData uri="http://schemas.openxmlformats.org/drawingml/2006/picture">
                <pic:pic>
                  <pic:nvPicPr>
                    <pic:cNvPr descr="work/extracted/article_media/media/image2.png" id="59" name="Picture"/>
                    <pic:cNvPicPr>
                      <a:picLocks noChangeArrowheads="1" noChangeAspect="1"/>
                    </pic:cNvPicPr>
                  </pic:nvPicPr>
                  <pic:blipFill>
                    <a:blip r:embed="rId57"/>
                    <a:stretch>
                      <a:fillRect/>
                    </a:stretch>
                  </pic:blipFill>
                  <pic:spPr bwMode="auto">
                    <a:xfrm>
                      <a:off x="0" y="0"/>
                      <a:ext cx="5334000" cy="2933700"/>
                    </a:xfrm>
                    <a:prstGeom prst="rect">
                      <a:avLst/>
                    </a:prstGeom>
                    <a:noFill/>
                    <a:ln w="9525">
                      <a:noFill/>
                      <a:headEnd/>
                      <a:tailEnd/>
                    </a:ln>
                  </pic:spPr>
                </pic:pic>
              </a:graphicData>
            </a:graphic>
          </wp:inline>
        </w:drawing>
      </w:r>
    </w:p>
    <w:p>
      <w:pPr>
        <w:pStyle w:val="BodyText"/>
        <w:keepNext/>
        <w:widowControl/>
        <w:jc w:val="center"/>
      </w:pPr>
      <w:r>
        <w:rPr>
          <w:bCs/>
          <w:rFonts w:ascii="Noto Sans CJK SC" w:hAnsi="Noto Sans CJK SC" w:eastAsia="Noto Sans CJK SC"/>
          <w:b/>
          <w:color w:val="000000"/>
        </w:rPr>
        <w:t xml:space="preserve">圖6.1　政府研究單位實務轉譯的六步驟治理工作流程</w:t>
      </w:r>
    </w:p>
    <w:p>
      <w:pPr>
        <w:pStyle w:val="BodyText"/>
        <w:widowControl/>
      </w:pPr>
      <w:r>
        <w:rPr>
          <w:rFonts w:ascii="Noto Sans CJK SC" w:hAnsi="Noto Sans CJK SC" w:eastAsia="Noto Sans CJK SC"/>
          <w:color w:val="000000"/>
        </w:rPr>
        <w:t xml:space="preserve">資料來源：本文自行繪製。</w:t>
      </w:r>
    </w:p>
    <w:p>
      <w:pPr>
        <w:pStyle w:val="BodyText"/>
        <w:keepNext/>
        <w:widowControl/>
        <w:jc w:val="center"/>
      </w:pPr>
      <w:r>
        <w:rPr>
          <w:rFonts w:ascii="Noto Sans CJK SC" w:hAnsi="Noto Sans CJK SC" w:eastAsia="Noto Sans CJK SC"/>
          <w:color w:val="000000"/>
        </w:rPr>
        <w:t xml:space="preserve">圖6.1將本文方法轉化為政府研究單位可反覆使用的工作流程：先界定情境、製作風險地圖，再用四條治理鏈檢查缺口；其後比較四種路徑及混合配置，設定失敗時的預設回歸點，最後形成決策文件包。六個步驟雖有順序，卻不是一次完成的直線程序。新證據、事故或利害關係人異議，都可能迫使研究人員回到前一步，重新界定原先被忽略的問題。</w:t>
      </w:r>
    </w:p>
    <w:p>
      <w:pPr>
        <w:pStyle w:val="BodyText"/>
        <w:widowControl/>
      </w:pPr>
      <w:r>
        <w:rPr>
          <w:rFonts w:ascii="Noto Sans CJK SC" w:hAnsi="Noto Sans CJK SC" w:eastAsia="Noto Sans CJK SC"/>
          <w:color w:val="000000"/>
        </w:rPr>
        <w:t xml:space="preserve">**第一步，界定治理情境。**具體說明機器人運作場域、功能、自主程度、受影響群體及錯誤後果。政策文件不宜僅籠統寫成「導入AI機器人」，而應區分系統係提供提醒、持續監測、決策建議，或已能代替人員作成具有實質影響的判斷。此步驟對應情境建構鏈，目的在避免由產品功能或供應商敘事先行壟斷問題定義。</w:t>
      </w:r>
    </w:p>
    <w:p>
      <w:pPr>
        <w:pStyle w:val="BodyText"/>
        <w:widowControl/>
      </w:pPr>
      <w:r>
        <w:rPr>
          <w:rFonts w:ascii="Noto Sans CJK SC" w:hAnsi="Noto Sans CJK SC" w:eastAsia="Noto Sans CJK SC"/>
          <w:color w:val="000000"/>
        </w:rPr>
        <w:t xml:space="preserve">**第二步，製作一頁式風險地圖。**就每項風險列明受影響者、衝突價值、風險來源、最有控制能力之行動者、可供查明原因之證據，以及事故後之通知與救濟方式。風險地圖應成為跨部會會議的會前共同文件，而非留待事故後才由各機關分別解釋。</w:t>
      </w:r>
    </w:p>
    <w:p>
      <w:pPr>
        <w:pStyle w:val="BodyText"/>
        <w:widowControl/>
      </w:pPr>
      <w:r>
        <w:rPr>
          <w:rFonts w:ascii="Noto Sans CJK SC" w:hAnsi="Noto Sans CJK SC" w:eastAsia="Noto Sans CJK SC"/>
          <w:color w:val="000000"/>
        </w:rPr>
        <w:t>**第三步，以四條治理鏈進行制度檢查。**分別追問：誰界定政策問題及排除了哪些替代方案；何者具有法定權限、技術建議權與最終決定權；是否提出至少三個可比較且可理解說明的方案；若發生錯誤，由誰調查、停機、通知、修正與負擔救濟。任何一條治理鏈中斷，均應在決策文件中標示為待補正事項。</w:t>
      </w:r>
    </w:p>
    <w:p>
      <w:pPr>
        <w:pStyle w:val="BodyText"/>
        <w:widowControl/>
      </w:pPr>
      <w:r>
        <w:rPr>
          <w:rFonts w:ascii="Noto Sans CJK SC" w:hAnsi="Noto Sans CJK SC" w:eastAsia="Noto Sans CJK SC"/>
          <w:color w:val="000000"/>
        </w:rPr>
        <w:t xml:space="preserve">**第四步，比較四種治理路徑及其混合方式。**研究人員不應預設多方協商必然取代命令、契約或廠商內建，而應比較各路徑在特定情境下的效能、正當性、執行能力與責任風險。實際制度多為混合配置，例如由政府訂定最低安全界線、廠商負責技術實現、契約配置保險與維修義務，再以多方協商決定高爭議價值的排序方式。</w:t>
      </w:r>
    </w:p>
    <w:p>
      <w:pPr>
        <w:pStyle w:val="BodyText"/>
        <w:widowControl/>
      </w:pPr>
      <w:r>
        <w:rPr>
          <w:rFonts w:ascii="Noto Sans CJK SC" w:hAnsi="Noto Sans CJK SC" w:eastAsia="Noto Sans CJK SC"/>
          <w:color w:val="000000"/>
        </w:rPr>
        <w:t xml:space="preserve">**第五步，設定預設回歸點。**試辦計畫除進場條件外，亦須預先規定觸發暫停的事件、回歸後採用的人工或低自主模式、具有啟動權限之人員、使用者通知方式、證據保存期限，以及修改後重新上線的審查程序。預設回歸點因此不是抽象的「保留人工控制」，而是可執行、可驗證的制度性退場機制。</w:t>
      </w:r>
    </w:p>
    <w:p>
      <w:pPr>
        <w:pStyle w:val="BodyText"/>
        <w:widowControl/>
      </w:pPr>
      <w:r>
        <w:rPr>
          <w:rFonts w:ascii="Noto Sans CJK SC" w:hAnsi="Noto Sans CJK SC" w:eastAsia="Noto Sans CJK SC"/>
          <w:color w:val="000000"/>
        </w:rPr>
        <w:t xml:space="preserve">**第六步，形成決策文件包。**最低內容包括一頁式治理風險地圖、跨機關權責矩陣、可比較的政策方案、具名責任與期限、試辦及退場條款，以及能向公眾說明的決策理由摘要。完成這一步，研究報告才不只是描述風險，而能轉化為會議議程、採購規格、補助條件或試辦契約。</w:t>
      </w:r>
    </w:p>
    <w:bookmarkEnd w:id="60"/>
    <w:bookmarkStart w:id="61" w:name="七不同政府研究單位之任務分工與政策產出"/>
    <w:p>
      <w:pPr>
        <w:pStyle w:val="Heading2"/>
        <w:keepNext/>
        <w:widowControl/>
      </w:pPr>
      <w:r>
        <w:rPr>
          <w:rFonts w:ascii="Noto Sans CJK SC" w:hAnsi="Noto Sans CJK SC" w:eastAsia="Noto Sans CJK SC"/>
          <w:color w:val="000000"/>
        </w:rPr>
        <w:t xml:space="preserve">七、不同政府研究單位之任務分工與政策產出</w:t>
      </w:r>
    </w:p>
    <w:p>
      <w:pPr>
        <w:pStyle w:val="FirstParagraph"/>
        <w:widowControl/>
      </w:pPr>
      <w:r>
        <w:rPr>
          <w:rFonts w:ascii="Noto Sans CJK SC" w:hAnsi="Noto Sans CJK SC" w:eastAsia="Noto Sans CJK SC"/>
          <w:color w:val="000000"/>
        </w:rPr>
        <w:t xml:space="preserve">在此工作流程下，不同機關並非重複執行相同審查，而是依其法定職掌補足不同治理鏈。其可直接產出的政策工具如下表所示。</w:t>
      </w:r>
    </w:p>
    <w:p>
      <w:pPr>
        <w:pStyle w:val="BodyText"/>
        <w:keepNext/>
        <w:widowControl/>
        <w:jc w:val="center"/>
      </w:pPr>
      <w:r>
        <w:rPr>
          <w:rFonts w:ascii="Noto Sans CJK SC" w:hAnsi="Noto Sans CJK SC" w:eastAsia="Noto Sans CJK SC"/>
          <w:color w:val="000000"/>
        </w:rPr>
        <w:t xml:space="preserve">表6.1　不同政府研究單位之治理任務與政策產出</w:t>
      </w:r>
    </w:p>
    <w:tbl>
      <w:tblPr>
        <w:tblStyle w:val="Table"/>
        <w:tblW w:type="auto" w:w="0"/>
        <w:jc w:val="center"/>
        <w:tblLayout w:type="autofit"/>
        <w:tblLook w:firstRow="1" w:lastRow="0" w:firstColumn="0" w:lastColumn="0" w:noHBand="0" w:noVBand="0" w:val="0020"/>
        <w:tblBorders>
          <w:top w:val="single" w:sz="4" w:color="A6A6A6"/>
          <w:left w:val="single" w:sz="4" w:color="A6A6A6"/>
          <w:bottom w:val="single" w:sz="4" w:color="A6A6A6"/>
          <w:right w:val="single" w:sz="4" w:color="A6A6A6"/>
          <w:insideH w:val="single" w:sz="4" w:color="A6A6A6"/>
          <w:insideV w:val="single" w:sz="4" w:color="A6A6A6"/>
        </w:tblBorders>
      </w:tblPr>
      <w:tblGrid>
        <w:gridCol w:w="2640"/>
        <w:gridCol w:w="2640"/>
        <w:gridCol w:w="2640"/>
      </w:tblGrid>
      <w:tr>
        <w:trPr>
          <w:tblHeader w:val="true"/>
        </w:trPr>
        <w:tc>
          <w:tcPr>
            <w:vAlign w:val="center"/>
            <w:shd w:fill="D9E2F3"/>
          </w:tcPr>
          <w:p>
            <w:pPr>
              <w:pStyle w:val="Compact"/>
              <w:spacing w:after="40" w:line="240" w:lineRule="auto"/>
              <w:jc w:val="left"/>
            </w:pPr>
            <w:r>
              <w:rPr>
                <w:bCs/>
                <w:rFonts w:ascii="Noto Sans CJK SC" w:hAnsi="Noto Sans CJK SC" w:eastAsia="Noto Sans CJK SC"/>
                <w:b/>
                <w:color w:val="000000"/>
                <w:sz w:val="18"/>
              </w:rPr>
              <w:t xml:space="preserve">政府研究單位</w:t>
            </w:r>
          </w:p>
        </w:tc>
        <w:tc>
          <w:tcPr>
            <w:vAlign w:val="center"/>
            <w:shd w:fill="D9E2F3"/>
          </w:tcPr>
          <w:p>
            <w:pPr>
              <w:pStyle w:val="Compact"/>
              <w:spacing w:after="40" w:line="240" w:lineRule="auto"/>
              <w:jc w:val="left"/>
            </w:pPr>
            <w:r>
              <w:rPr>
                <w:bCs/>
                <w:rFonts w:ascii="Noto Sans CJK SC" w:hAnsi="Noto Sans CJK SC" w:eastAsia="Noto Sans CJK SC"/>
                <w:b/>
                <w:color w:val="000000"/>
                <w:sz w:val="18"/>
              </w:rPr>
              <w:t xml:space="preserve">主要治理任務</w:t>
            </w:r>
          </w:p>
        </w:tc>
        <w:tc>
          <w:tcPr>
            <w:vAlign w:val="center"/>
            <w:shd w:fill="D9E2F3"/>
          </w:tcPr>
          <w:p>
            <w:pPr>
              <w:pStyle w:val="Compact"/>
              <w:spacing w:after="40" w:line="240" w:lineRule="auto"/>
              <w:jc w:val="left"/>
            </w:pPr>
            <w:r>
              <w:rPr>
                <w:bCs/>
                <w:rFonts w:ascii="Noto Sans CJK SC" w:hAnsi="Noto Sans CJK SC" w:eastAsia="Noto Sans CJK SC"/>
                <w:b/>
                <w:color w:val="000000"/>
                <w:sz w:val="18"/>
              </w:rPr>
              <w:t xml:space="preserve">可直接形成的政策產出</w:t>
            </w:r>
          </w:p>
        </w:tc>
      </w:tr>
      <w:tr>
        <w:trPr/>
        <w:tc>
          <w:tcPr>
            <w:vAlign w:val="center"/>
          </w:tcPr>
          <w:p>
            <w:pPr>
              <w:pStyle w:val="Compact"/>
              <w:spacing w:after="40" w:line="240" w:lineRule="auto"/>
              <w:jc w:val="left"/>
            </w:pPr>
            <w:r>
              <w:rPr>
                <w:rFonts w:ascii="Noto Sans CJK SC" w:hAnsi="Noto Sans CJK SC" w:eastAsia="Noto Sans CJK SC"/>
                <w:color w:val="000000"/>
                <w:sz w:val="18"/>
              </w:rPr>
              <w:t xml:space="preserve">國家科學及技術委員會</w:t>
            </w:r>
          </w:p>
        </w:tc>
        <w:tc>
          <w:tcPr>
            <w:vAlign w:val="center"/>
          </w:tcPr>
          <w:p>
            <w:pPr>
              <w:pStyle w:val="Compact"/>
              <w:spacing w:after="40" w:line="240" w:lineRule="auto"/>
              <w:jc w:val="left"/>
            </w:pPr>
            <w:r>
              <w:rPr>
                <w:rFonts w:ascii="Noto Sans CJK SC" w:hAnsi="Noto Sans CJK SC" w:eastAsia="Noto Sans CJK SC"/>
                <w:color w:val="000000"/>
                <w:sz w:val="18"/>
              </w:rPr>
              <w:t xml:space="preserve">前瞻情境、研究補助、技術計畫與跨部會協調；要求研發團隊說明受影響者、價值衝突、人工介入點及責任安排。</w:t>
            </w:r>
          </w:p>
        </w:tc>
        <w:tc>
          <w:tcPr>
            <w:vAlign w:val="center"/>
          </w:tcPr>
          <w:p>
            <w:pPr>
              <w:pStyle w:val="Compact"/>
              <w:spacing w:after="40" w:line="240" w:lineRule="auto"/>
              <w:jc w:val="left"/>
            </w:pPr>
            <w:r>
              <w:rPr>
                <w:rFonts w:ascii="Noto Sans CJK SC" w:hAnsi="Noto Sans CJK SC" w:eastAsia="Noto Sans CJK SC"/>
                <w:color w:val="000000"/>
                <w:sz w:val="18"/>
              </w:rPr>
              <w:t xml:space="preserve">計畫審查條件、風險分級、倫理與社會影響要求、試驗治理及退場方案。</w:t>
            </w:r>
          </w:p>
        </w:tc>
      </w:tr>
      <w:tr>
        <w:trPr/>
        <w:tc>
          <w:tcPr>
            <w:vAlign w:val="center"/>
          </w:tcPr>
          <w:p>
            <w:pPr>
              <w:pStyle w:val="Compact"/>
              <w:spacing w:after="40" w:line="240" w:lineRule="auto"/>
              <w:jc w:val="left"/>
            </w:pPr>
            <w:r>
              <w:rPr>
                <w:rFonts w:ascii="Noto Sans CJK SC" w:hAnsi="Noto Sans CJK SC" w:eastAsia="Noto Sans CJK SC"/>
                <w:color w:val="000000"/>
                <w:sz w:val="18"/>
              </w:rPr>
              <w:t xml:space="preserve">數位發展部</w:t>
            </w:r>
          </w:p>
        </w:tc>
        <w:tc>
          <w:tcPr>
            <w:vAlign w:val="center"/>
          </w:tcPr>
          <w:p>
            <w:pPr>
              <w:pStyle w:val="Compact"/>
              <w:spacing w:after="40" w:line="240" w:lineRule="auto"/>
              <w:jc w:val="left"/>
            </w:pPr>
            <w:r>
              <w:rPr>
                <w:rFonts w:ascii="Noto Sans CJK SC" w:hAnsi="Noto Sans CJK SC" w:eastAsia="Noto Sans CJK SC"/>
                <w:color w:val="000000"/>
                <w:sz w:val="18"/>
              </w:rPr>
              <w:t xml:space="preserve">資料治理、資通安全、演算法透明、系統紀錄、互通性，以及政府AI採購與部署規範。</w:t>
            </w:r>
          </w:p>
        </w:tc>
        <w:tc>
          <w:tcPr>
            <w:vAlign w:val="center"/>
          </w:tcPr>
          <w:p>
            <w:pPr>
              <w:pStyle w:val="Compact"/>
              <w:spacing w:after="40" w:line="240" w:lineRule="auto"/>
              <w:jc w:val="left"/>
            </w:pPr>
            <w:r>
              <w:rPr>
                <w:rFonts w:ascii="Noto Sans CJK SC" w:hAnsi="Noto Sans CJK SC" w:eastAsia="Noto Sans CJK SC"/>
                <w:color w:val="000000"/>
                <w:sz w:val="18"/>
              </w:rPr>
              <w:t>採購條款、審計紀錄格式、事故通報程序、版本更新與停用責任、對外透明摘要。</w:t>
            </w:r>
          </w:p>
        </w:tc>
      </w:tr>
      <w:tr>
        <w:trPr/>
        <w:tc>
          <w:tcPr>
            <w:vAlign w:val="center"/>
          </w:tcPr>
          <w:p>
            <w:pPr>
              <w:pStyle w:val="Compact"/>
              <w:spacing w:after="40" w:line="240" w:lineRule="auto"/>
              <w:jc w:val="left"/>
            </w:pPr>
            <w:r>
              <w:rPr>
                <w:rFonts w:ascii="Noto Sans CJK SC" w:hAnsi="Noto Sans CJK SC" w:eastAsia="Noto Sans CJK SC"/>
                <w:color w:val="000000"/>
                <w:sz w:val="18"/>
              </w:rPr>
              <w:t xml:space="preserve">衛生福利部及其他目的事業主管機關</w:t>
            </w:r>
          </w:p>
        </w:tc>
        <w:tc>
          <w:tcPr>
            <w:vAlign w:val="center"/>
          </w:tcPr>
          <w:p>
            <w:pPr>
              <w:pStyle w:val="Compact"/>
              <w:spacing w:after="40" w:line="240" w:lineRule="auto"/>
              <w:jc w:val="left"/>
            </w:pPr>
            <w:r>
              <w:rPr>
                <w:rFonts w:ascii="Noto Sans CJK SC" w:hAnsi="Noto Sans CJK SC" w:eastAsia="Noto Sans CJK SC"/>
                <w:color w:val="000000"/>
                <w:sz w:val="18"/>
              </w:rPr>
              <w:t xml:space="preserve">依應用場域處理同意與拒絕、人工覆核、服務品質、弱勢保障及救濟；將抽象AI原則轉為部門規則。</w:t>
            </w:r>
          </w:p>
        </w:tc>
        <w:tc>
          <w:tcPr>
            <w:vAlign w:val="center"/>
          </w:tcPr>
          <w:p>
            <w:pPr>
              <w:pStyle w:val="Compact"/>
              <w:spacing w:after="40" w:line="240" w:lineRule="auto"/>
              <w:jc w:val="left"/>
            </w:pPr>
            <w:r>
              <w:rPr>
                <w:rFonts w:ascii="Noto Sans CJK SC" w:hAnsi="Noto Sans CJK SC" w:eastAsia="Noto Sans CJK SC"/>
                <w:color w:val="000000"/>
                <w:sz w:val="18"/>
              </w:rPr>
              <w:t xml:space="preserve">場域許可條件、使用者同意程序、人機分工門檻、安全監測、申訴與補償流程。</w:t>
            </w:r>
          </w:p>
        </w:tc>
      </w:tr>
    </w:tbl>
    <w:p>
      <w:pPr>
        <w:pStyle w:val="BodyText"/>
        <w:widowControl/>
      </w:pPr>
      <w:r>
        <w:rPr>
          <w:rFonts w:ascii="Noto Sans CJK SC" w:hAnsi="Noto Sans CJK SC" w:eastAsia="Noto Sans CJK SC"/>
          <w:color w:val="000000"/>
        </w:rPr>
        <w:t xml:space="preserve">資料來源：本文自行整理。</w:t>
      </w:r>
    </w:p>
    <w:bookmarkEnd w:id="61"/>
    <w:bookmarkStart w:id="62" w:name="八操作示例家用照護機器人試辦"/>
    <w:p>
      <w:pPr>
        <w:pStyle w:val="Heading2"/>
        <w:keepNext/>
        <w:widowControl/>
      </w:pPr>
      <w:r>
        <w:rPr>
          <w:rFonts w:ascii="Noto Sans CJK SC" w:hAnsi="Noto Sans CJK SC" w:eastAsia="Noto Sans CJK SC"/>
          <w:color w:val="000000"/>
        </w:rPr>
        <w:t xml:space="preserve">八、操作示例：家用照護機器人試辦</w:t>
      </w:r>
    </w:p>
    <w:p>
      <w:pPr>
        <w:pStyle w:val="FirstParagraph"/>
        <w:widowControl/>
      </w:pPr>
      <w:r>
        <w:rPr>
          <w:rFonts w:ascii="Noto Sans CJK SC" w:hAnsi="Noto Sans CJK SC" w:eastAsia="Noto Sans CJK SC"/>
          <w:color w:val="000000"/>
        </w:rPr>
        <w:t xml:space="preserve">例如，政府擬試辦具有攝影及跌倒偵測功能的家用照護機器人，研究人員即不應只呈報辨識準確率，而須同時釐清使用者能否關閉攝影、誤報與漏報由誰處理、事故紀錄如何保存及調閱、家屬與照護機構的人工覆核義務、軟體更新後是否重新驗證，以及連續發生重大漏報時是否自動回歸人工巡視或低自主模式。完成上述程序後，政策決策者所面對的便不再只是「是否採購」的二元選擇，而是一組具有權責、證據、救濟與退場條件的可比較治理方案。</w:t>
      </w:r>
    </w:p>
    <w:p>
      <w:pPr>
        <w:pStyle w:val="BodyText"/>
        <w:widowControl/>
      </w:pPr>
      <w:r>
        <w:rPr>
          <w:rFonts w:ascii="Noto Sans CJK SC" w:hAnsi="Noto Sans CJK SC" w:eastAsia="Noto Sans CJK SC"/>
          <w:color w:val="000000"/>
        </w:rPr>
        <w:t xml:space="preserve">本文並不主張所有政策都應無限延長討論。協商式路徑的實務目的，是防止價值選擇被隱藏在技術預設、採購契約或機關分工之中。政府研究人員可利用六步驟流程把四條治理鏈轉化為具體行政產出；這也是本文相較於一般倫理原則清單更希望留下的實務貢獻。</w:t>
      </w:r>
    </w:p>
    <w:bookmarkEnd w:id="62"/>
    <w:bookmarkEnd w:id="63"/>
    <w:bookmarkStart w:id="65" w:name="柒結論協商式治理的理論界線與政策意涵"/>
    <w:p>
      <w:pPr>
        <w:pStyle w:val="Heading1"/>
        <w:keepNext/>
        <w:widowControl/>
      </w:pPr>
      <w:r>
        <w:rPr>
          <w:rFonts w:ascii="Noto Sans CJK SC" w:hAnsi="Noto Sans CJK SC" w:eastAsia="Noto Sans CJK SC"/>
          <w:color w:val="000000"/>
        </w:rPr>
        <w:t xml:space="preserve">柒、結論：協商式治理的理論界線與政策意涵</w:t>
      </w:r>
    </w:p>
    <w:p>
      <w:pPr>
        <w:pStyle w:val="FirstParagraph"/>
        <w:widowControl/>
      </w:pPr>
      <w:r>
        <w:rPr>
          <w:rFonts w:ascii="Noto Sans CJK SC" w:hAnsi="Noto Sans CJK SC" w:eastAsia="Noto Sans CJK SC"/>
          <w:color w:val="000000"/>
        </w:rPr>
        <w:t xml:space="preserve">讀者或許會問：這是否把AI機器人想像成《駭客任務》中的自主角色？本文的回答很直接：協商對象始終是人類利害關係人，而不是AI系統。機器倫理與價值敏感設計已長期處理技術中的道德判斷與價值設計（Friedman</w:t>
      </w:r>
      <w:r>
        <w:rPr>
          <w:rFonts w:ascii="Noto Sans CJK SC" w:hAnsi="Noto Sans CJK SC" w:eastAsia="Noto Sans CJK SC"/>
          <w:color w:val="000000"/>
        </w:rPr>
        <w:t xml:space="preserve"> </w:t>
      </w:r>
      <w:r>
        <w:rPr>
          <w:rFonts w:ascii="Noto Sans CJK SC" w:hAnsi="Noto Sans CJK SC" w:eastAsia="Noto Sans CJK SC"/>
          <w:color w:val="000000"/>
        </w:rPr>
        <w:t xml:space="preserve">&amp; Hendry, 2019; Wallach &amp; Allen,</w:t>
      </w:r>
      <w:r>
        <w:rPr>
          <w:rFonts w:ascii="Noto Sans CJK SC" w:hAnsi="Noto Sans CJK SC" w:eastAsia="Noto Sans CJK SC"/>
          <w:color w:val="000000"/>
        </w:rPr>
        <w:t xml:space="preserve"> </w:t>
      </w:r>
      <w:r>
        <w:rPr>
          <w:rFonts w:ascii="Noto Sans CJK SC" w:hAnsi="Noto Sans CJK SC" w:eastAsia="Noto Sans CJK SC"/>
          <w:color w:val="000000"/>
        </w:rPr>
        <w:t xml:space="preserve">2009）；本文只是把問題轉向公共行政，追問制度如何承接這些衝突。</w:t>
      </w:r>
    </w:p>
    <w:p>
      <w:pPr>
        <w:pStyle w:val="BodyText"/>
        <w:widowControl/>
      </w:pPr>
      <w:r>
        <w:rPr>
          <w:rFonts w:ascii="Noto Sans CJK SC" w:hAnsi="Noto Sans CJK SC" w:eastAsia="Noto Sans CJK SC"/>
          <w:color w:val="000000"/>
        </w:rPr>
        <w:t xml:space="preserve">政策意涵方面，協商式治理路徑可作為《人工智慧基本法》施行後各目的事業主管機關訂定風險管理規範、以及行政院《智慧機器人產業推動方案》與國家智慧機器人研究中心後續治理配套之分析工具。尤其在家用／照護機器人領域，應優先處理：</w:t>
      </w:r>
    </w:p>
    <w:p>
      <w:pPr>
        <w:widowControl/>
        <w:numPr>
          <w:ilvl w:val="0"/>
          <w:numId w:val="1003"/>
        </w:numPr>
      </w:pPr>
      <w:r>
        <w:rPr>
          <w:rFonts w:ascii="Noto Sans CJK SC" w:hAnsi="Noto Sans CJK SC" w:eastAsia="Noto Sans CJK SC"/>
          <w:color w:val="000000"/>
        </w:rPr>
        <w:t xml:space="preserve">高風險應用之標示與人機分工界線（對應基本法原則與風險分類框架）；</w:t>
      </w:r>
    </w:p>
    <w:p>
      <w:pPr>
        <w:widowControl/>
        <w:numPr>
          <w:ilvl w:val="0"/>
          <w:numId w:val="1003"/>
        </w:numPr>
      </w:pPr>
      <w:r>
        <w:rPr>
          <w:rFonts w:ascii="Noto Sans CJK SC" w:hAnsi="Noto Sans CJK SC" w:eastAsia="Noto Sans CJK SC"/>
          <w:color w:val="000000"/>
        </w:rPr>
        <w:t xml:space="preserve">維生輔具性質機器人之特殊保護（法拍、停機、繼承）；</w:t>
      </w:r>
    </w:p>
    <w:p>
      <w:pPr>
        <w:widowControl/>
        <w:numPr>
          <w:ilvl w:val="0"/>
          <w:numId w:val="1003"/>
        </w:numPr>
      </w:pPr>
      <w:r>
        <w:rPr>
          <w:rFonts w:ascii="Noto Sans CJK SC" w:hAnsi="Noto Sans CJK SC" w:eastAsia="Noto Sans CJK SC"/>
          <w:color w:val="000000"/>
        </w:rPr>
        <w:t xml:space="preserve">跨部會情境建構之制度化（避免再次出現「權威真空」）；</w:t>
      </w:r>
    </w:p>
    <w:p>
      <w:pPr>
        <w:widowControl/>
        <w:numPr>
          <w:ilvl w:val="0"/>
          <w:numId w:val="1003"/>
        </w:numPr>
      </w:pPr>
      <w:r>
        <w:rPr>
          <w:rFonts w:ascii="Noto Sans CJK SC" w:hAnsi="Noto Sans CJK SC" w:eastAsia="Noto Sans CJK SC"/>
          <w:color w:val="000000"/>
        </w:rPr>
        <w:t xml:space="preserve">使用者與權益代表之實質參與機制，而非僅形式諮詢。</w:t>
      </w:r>
    </w:p>
    <w:p>
      <w:pPr>
        <w:pStyle w:val="FirstParagraph"/>
        <w:widowControl/>
      </w:pPr>
      <w:r>
        <w:rPr>
          <w:rFonts w:ascii="Noto Sans CJK SC" w:hAnsi="Noto Sans CJK SC" w:eastAsia="Noto Sans CJK SC"/>
          <w:color w:val="000000"/>
        </w:rPr>
        <w:t xml:space="preserve">本文的理論貢獻有三層。第一，它把機器倫理與價值敏感設計主要處理的設計問題，向後延伸至部署、跨機關協調與事故責任，補上設計倫理與公共行政之間的中層制度缺口。第二，它以四條治理鏈說明，AI造成的改變不只是一項新風險，而是問題定義權、法定權威與責任配置可能在未經正式決定前即發生移動。第三，它將協商的失敗納入理論，而不是把參與本身視為正當性；預設回歸點因此同時連接安全、行政能力與民主課責。</w:t>
      </w:r>
    </w:p>
    <w:p>
      <w:pPr>
        <w:pStyle w:val="BodyText"/>
        <w:widowControl/>
      </w:pPr>
      <w:r>
        <w:rPr>
          <w:rFonts w:ascii="Noto Sans CJK SC" w:hAnsi="Noto Sans CJK SC" w:eastAsia="Noto Sans CJK SC"/>
          <w:color w:val="000000"/>
        </w:rPr>
        <w:t xml:space="preserve">公共治理不能讓技術最佳化取代公共價值衡平。AI機器人可以協助生活與照護，但它取得的事實影響力越大，法定權威、可理解理由、具名責任、人為介入與民主課責就越不能退場。協商不是對技術進步的拖延，而是使進步仍能被人類制度說明與承擔。</w:t>
      </w:r>
    </w:p>
    <w:bookmarkStart w:id="64" w:name="研究限制與後續工作"/>
    <w:p>
      <w:pPr>
        <w:pStyle w:val="Heading2"/>
        <w:keepNext/>
        <w:widowControl/>
      </w:pPr>
      <w:r>
        <w:rPr>
          <w:rFonts w:ascii="Noto Sans CJK SC" w:hAnsi="Noto Sans CJK SC" w:eastAsia="Noto Sans CJK SC"/>
          <w:color w:val="000000"/>
        </w:rPr>
        <w:t xml:space="preserve">研究限制與後續工作</w:t>
      </w:r>
    </w:p>
    <w:p>
      <w:pPr>
        <w:pStyle w:val="FirstParagraph"/>
        <w:widowControl/>
      </w:pPr>
      <w:r>
        <w:rPr>
          <w:rFonts w:ascii="Noto Sans CJK SC" w:hAnsi="Noto Sans CJK SC" w:eastAsia="Noto Sans CJK SC"/>
          <w:color w:val="000000"/>
        </w:rPr>
        <w:t xml:space="preserve">本文的限制首先來自材料性質。2002至2005年的跨部會經驗目前以作者回溯性敘事呈現，尚未與其他參與者訪談或完整會議檔案交叉比較；家用照護機器人的四項難題則屬前瞻性思想實驗，不代表法院或主管機關已形成一致見解。其次，治理星雲圖是概念性視覺化，不提供路徑機率或數學測量。六步驟流程已具備可操作結構，但不同機關、風險等級與應用場域仍可能需要調整。後續研究可選取實際跨部會會議、政府採購或照護機器人試辦，檢視四條治理鏈能否完整辨識制度缺口，並比較預設回歸點在高風險與可逆情境中的差異。</w:t>
      </w:r>
    </w:p>
    <w:p>
      <w:pPr>
        <w:pStyle w:val="BodyText"/>
        <w:widowControl/>
      </w:pPr>
      <w:r>
        <w:rPr>
          <w:bCs/>
          <w:rFonts w:ascii="Noto Sans CJK SC" w:hAnsi="Noto Sans CJK SC" w:eastAsia="Noto Sans CJK SC"/>
          <w:b/>
          <w:color w:val="000000"/>
        </w:rPr>
        <w:t xml:space="preserve">附註：三部曲版本沿革</w:t>
      </w:r>
    </w:p>
    <w:p>
      <w:pPr>
        <w:pStyle w:val="BodyText"/>
        <w:widowControl/>
      </w:pPr>
      <w:r>
        <w:t>本文將分析單位下修至個人／組織層次，以AI機器人治理為題，示範協商式路徑之政策操作化，並納入口述歷史材料與《人工智慧基本法》作為制度脈絡。</w:t>
      </w:r>
    </w:p>
    <w:bookmarkEnd w:id="64"/>
    <w:bookmarkEnd w:id="65"/>
    <w:bookmarkStart w:id="81" w:name="參考文獻"/>
    <w:p>
      <w:pPr>
        <w:pStyle w:val="Heading1"/>
        <w:keepNext/>
        <w:widowControl/>
      </w:pPr>
      <w:r>
        <w:rPr>
          <w:rFonts w:ascii="Noto Sans CJK SC" w:hAnsi="Noto Sans CJK SC" w:eastAsia="Noto Sans CJK SC"/>
          <w:color w:val="000000"/>
        </w:rPr>
        <w:t xml:space="preserve">參考文獻</w:t>
      </w:r>
    </w:p>
    <w:bookmarkStart w:id="69" w:name="中文文獻"/>
    <w:p>
      <w:pPr>
        <w:pStyle w:val="Heading2"/>
        <w:keepNext/>
        <w:widowControl/>
      </w:pPr>
      <w:r>
        <w:rPr>
          <w:rFonts w:ascii="Noto Sans CJK SC" w:hAnsi="Noto Sans CJK SC" w:eastAsia="Noto Sans CJK SC"/>
          <w:color w:val="000000"/>
        </w:rPr>
        <w:t xml:space="preserve">中文文獻</w:t>
      </w:r>
    </w:p>
    <w:p>
      <w:pPr>
        <w:pStyle w:val="FirstParagraph"/>
        <w:widowControl/>
        <w:spacing w:line="480" w:lineRule="auto"/>
        <w:ind w:left="720" w:hanging="720"/>
      </w:pPr>
      <w:r>
        <w:rPr>
          <w:rFonts w:ascii="Noto Sans CJK SC" w:hAnsi="Noto Sans CJK SC" w:eastAsia="Noto Sans CJK SC"/>
          <w:color w:val="000000"/>
        </w:rPr>
        <w:t xml:space="preserve">人工智慧基本法（2026）。中華民國115年1月14日總統華總一義字第11500001671號令公布。</w:t>
      </w:r>
      <w:hyperlink r:id="rId66">
        <w:r>
          <w:rPr>
            <w:rStyle w:val="Hyperlink"/>
          </w:rPr>
          <w:t xml:space="preserve">https://law.nstc.gov.tw/LawContent.aspx?id=GL000592</w:t>
        </w:r>
      </w:hyperlink>
    </w:p>
    <w:p>
      <w:pPr>
        <w:pStyle w:val="BodyText"/>
        <w:widowControl/>
        <w:spacing w:line="480" w:lineRule="auto"/>
        <w:ind w:left="720" w:hanging="720"/>
      </w:pPr>
      <w:r>
        <w:rPr>
          <w:rFonts w:ascii="Noto Sans CJK SC" w:hAnsi="Noto Sans CJK SC" w:eastAsia="Noto Sans CJK SC"/>
          <w:color w:val="000000"/>
        </w:rPr>
        <w:t xml:space="preserve">行政院（2025）。行政院卓院長向立法院第11屆第4會期所提口頭施政報告（智慧機器人產業推動方案，2026—2029年）。</w:t>
      </w:r>
      <w:hyperlink r:id="rId67">
        <w:r>
          <w:rPr>
            <w:rStyle w:val="Hyperlink"/>
          </w:rPr>
          <w:t xml:space="preserve">https://www.ey.gov.tw/File/EE89497142D2768B</w:t>
        </w:r>
      </w:hyperlink>
    </w:p>
    <w:p>
      <w:pPr>
        <w:pStyle w:val="BodyText"/>
        <w:widowControl/>
        <w:spacing w:line="480" w:lineRule="auto"/>
        <w:ind w:left="720" w:hanging="720"/>
      </w:pPr>
      <w:r>
        <w:rPr>
          <w:rFonts w:ascii="Noto Sans CJK SC" w:hAnsi="Noto Sans CJK SC" w:eastAsia="Noto Sans CJK SC"/>
          <w:color w:val="000000"/>
        </w:rPr>
        <w:t xml:space="preserve">蔡甫昌、胡嘉輝、王傳翔、莊宇真、傅立成（2021）。照護機器人倫理議題。臺灣醫學，25（4），441–452。</w:t>
      </w:r>
    </w:p>
    <w:p>
      <w:pPr>
        <w:pStyle w:val="BodyText"/>
        <w:widowControl/>
        <w:spacing w:line="480" w:lineRule="auto"/>
        <w:ind w:left="720" w:hanging="720"/>
      </w:pPr>
      <w:r>
        <w:rPr>
          <w:rFonts w:ascii="Noto Sans CJK SC" w:hAnsi="Noto Sans CJK SC" w:eastAsia="Noto Sans CJK SC"/>
          <w:color w:val="000000"/>
        </w:rPr>
        <w:t xml:space="preserve">盧建旭（1996a）。公共行政學的文獻回顧架構。空大行政學報，5，177–210。</w:t>
      </w:r>
    </w:p>
    <w:p>
      <w:pPr>
        <w:pStyle w:val="BodyText"/>
        <w:widowControl/>
        <w:spacing w:line="480" w:lineRule="auto"/>
        <w:ind w:left="720" w:hanging="720"/>
      </w:pPr>
      <w:r>
        <w:rPr>
          <w:rFonts w:ascii="Noto Sans CJK SC" w:hAnsi="Noto Sans CJK SC" w:eastAsia="Noto Sans CJK SC"/>
          <w:color w:val="000000"/>
        </w:rPr>
        <w:t xml:space="preserve">盧建旭（1996b）。資訊社會中公共行政的新議題。政治科學論叢，7，231–256。</w:t>
      </w:r>
    </w:p>
    <w:p>
      <w:pPr>
        <w:pStyle w:val="BodyText"/>
        <w:widowControl/>
        <w:spacing w:line="480" w:lineRule="auto"/>
        <w:ind w:left="720" w:hanging="720"/>
      </w:pPr>
      <w:r>
        <w:t>盧建旭（2026）。重新概念化人工智慧治理：公共行政理論視角下的二十五治理座標、三種行政權力功能性移轉、三項結構效應、四條治理鏈與七項治理審計。個人學術網站研究稿。</w:t>
      </w:r>
    </w:p>
    <w:p>
      <w:pPr>
        <w:pStyle w:val="BodyText"/>
        <w:widowControl/>
        <w:spacing w:line="480" w:lineRule="auto"/>
        <w:ind w:left="720" w:hanging="720"/>
      </w:pPr>
      <w:r>
        <w:rPr>
          <w:rFonts w:ascii="Noto Sans CJK SC" w:hAnsi="Noto Sans CJK SC" w:eastAsia="Noto Sans CJK SC"/>
          <w:color w:val="000000"/>
        </w:rPr>
        <w:t xml:space="preserve">李郁強（2022）。高齡少子化下照顧機器人之法制初探（議題研析R01618）。立法院。</w:t>
      </w:r>
      <w:hyperlink r:id="rId68">
        <w:r>
          <w:rPr>
            <w:rStyle w:val="Hyperlink"/>
          </w:rPr>
          <w:t xml:space="preserve">https://www.ly.gov.tw/Pages/Detail.aspx?nodeid=6590&amp;pid=217407</w:t>
        </w:r>
      </w:hyperlink>
    </w:p>
    <w:bookmarkEnd w:id="69"/>
    <w:bookmarkStart w:id="80" w:name="英文文獻"/>
    <w:p>
      <w:pPr>
        <w:pStyle w:val="Heading2"/>
        <w:keepNext/>
        <w:widowControl/>
      </w:pPr>
      <w:r>
        <w:rPr>
          <w:rFonts w:ascii="Noto Sans CJK SC" w:hAnsi="Noto Sans CJK SC" w:eastAsia="Noto Sans CJK SC"/>
          <w:color w:val="000000"/>
        </w:rPr>
        <w:t xml:space="preserve">英文文獻</w:t>
      </w:r>
    </w:p>
    <w:p>
      <w:pPr>
        <w:pStyle w:val="FirstParagraph"/>
        <w:widowControl/>
        <w:spacing w:line="480" w:lineRule="auto"/>
        <w:ind w:left="720" w:hanging="720"/>
      </w:pPr>
      <w:r>
        <w:rPr>
          <w:rFonts w:ascii="Noto Sans CJK SC" w:hAnsi="Noto Sans CJK SC" w:eastAsia="Noto Sans CJK SC"/>
          <w:color w:val="000000"/>
        </w:rPr>
        <w:t xml:space="preserve">European Parliament &amp; Council of the European Union. (2024).</w:t>
      </w:r>
      <w:r>
        <w:rPr>
          <w:rFonts w:ascii="Noto Sans CJK SC" w:hAnsi="Noto Sans CJK SC" w:eastAsia="Noto Sans CJK SC"/>
          <w:color w:val="000000"/>
        </w:rPr>
        <w:t xml:space="preserve"> </w:t>
      </w:r>
      <w:r>
        <w:rPr>
          <w:iCs/>
          <w:rFonts w:ascii="Noto Sans CJK SC" w:hAnsi="Noto Sans CJK SC" w:eastAsia="Noto Sans CJK SC"/>
          <w:i/>
          <w:color w:val="000000"/>
        </w:rPr>
        <w:t xml:space="preserve">Regulation (EU) 2024/1689 laying down harmonised rules on artificial intelligence (Artificial Intelligence Act).</w:t>
      </w:r>
      <w:r>
        <w:rPr>
          <w:rFonts w:ascii="Noto Sans CJK SC" w:hAnsi="Noto Sans CJK SC" w:eastAsia="Noto Sans CJK SC"/>
          <w:color w:val="000000"/>
        </w:rPr>
        <w:t xml:space="preserve"> </w:t>
      </w:r>
      <w:r>
        <w:rPr>
          <w:iCs/>
          <w:rFonts w:ascii="Noto Sans CJK SC" w:hAnsi="Noto Sans CJK SC" w:eastAsia="Noto Sans CJK SC"/>
          <w:i/>
          <w:color w:val="000000"/>
        </w:rPr>
        <w:t xml:space="preserve">Official Journal of the European Union, L</w:t>
      </w:r>
      <w:r>
        <w:rPr>
          <w:rFonts w:ascii="Noto Sans CJK SC" w:hAnsi="Noto Sans CJK SC" w:eastAsia="Noto Sans CJK SC"/>
          <w:color w:val="000000"/>
        </w:rPr>
        <w:t xml:space="preserve">, 2024/1689.</w:t>
      </w:r>
      <w:r>
        <w:rPr>
          <w:rFonts w:ascii="Noto Sans CJK SC" w:hAnsi="Noto Sans CJK SC" w:eastAsia="Noto Sans CJK SC"/>
          <w:color w:val="000000"/>
        </w:rPr>
        <w:t xml:space="preserve"> </w:t>
      </w:r>
      <w:hyperlink r:id="rId70">
        <w:r>
          <w:rPr>
            <w:rStyle w:val="Hyperlink"/>
          </w:rPr>
          <w:t xml:space="preserve">https://eur-lex.europa.eu/eli/reg/2024/1689/oj</w:t>
        </w:r>
      </w:hyperlink>
    </w:p>
    <w:p>
      <w:pPr>
        <w:pStyle w:val="BodyText"/>
        <w:widowControl/>
        <w:spacing w:line="480" w:lineRule="auto"/>
        <w:ind w:left="720" w:hanging="720"/>
      </w:pPr>
      <w:r>
        <w:rPr>
          <w:rFonts w:ascii="Noto Sans CJK SC" w:hAnsi="Noto Sans CJK SC" w:eastAsia="Noto Sans CJK SC"/>
          <w:color w:val="000000"/>
        </w:rPr>
        <w:t xml:space="preserve">German Ethics Commission on Automated and Connected Driving. (2017).</w:t>
      </w:r>
      <w:r>
        <w:rPr>
          <w:rFonts w:ascii="Noto Sans CJK SC" w:hAnsi="Noto Sans CJK SC" w:eastAsia="Noto Sans CJK SC"/>
          <w:color w:val="000000"/>
        </w:rPr>
        <w:t xml:space="preserve"> </w:t>
      </w:r>
      <w:r>
        <w:rPr>
          <w:iCs/>
          <w:rFonts w:ascii="Noto Sans CJK SC" w:hAnsi="Noto Sans CJK SC" w:eastAsia="Noto Sans CJK SC"/>
          <w:i/>
          <w:color w:val="000000"/>
        </w:rPr>
        <w:t xml:space="preserve">Ethics Commission: Automated and connected driving.</w:t>
      </w:r>
      <w:r>
        <w:rPr>
          <w:rFonts w:ascii="Noto Sans CJK SC" w:hAnsi="Noto Sans CJK SC" w:eastAsia="Noto Sans CJK SC"/>
          <w:color w:val="000000"/>
        </w:rPr>
        <w:t xml:space="preserve"> </w:t>
      </w:r>
      <w:r>
        <w:rPr>
          <w:rFonts w:ascii="Noto Sans CJK SC" w:hAnsi="Noto Sans CJK SC" w:eastAsia="Noto Sans CJK SC"/>
          <w:color w:val="000000"/>
        </w:rPr>
        <w:t xml:space="preserve">Federal Ministry of Transport and Digital Infrastructure.</w:t>
      </w:r>
    </w:p>
    <w:p>
      <w:pPr>
        <w:pStyle w:val="BodyText"/>
        <w:widowControl/>
        <w:spacing w:line="480" w:lineRule="auto"/>
        <w:ind w:left="720" w:hanging="720"/>
      </w:pPr>
      <w:r>
        <w:rPr>
          <w:rFonts w:ascii="Noto Sans CJK SC" w:hAnsi="Noto Sans CJK SC" w:eastAsia="Noto Sans CJK SC"/>
          <w:color w:val="000000"/>
        </w:rPr>
        <w:t xml:space="preserve">Anderson, M., &amp; Anderson, S. L. (Eds.). (2011). Machine ethics.</w:t>
      </w:r>
      <w:r>
        <w:rPr>
          <w:rFonts w:ascii="Noto Sans CJK SC" w:hAnsi="Noto Sans CJK SC" w:eastAsia="Noto Sans CJK SC"/>
          <w:color w:val="000000"/>
        </w:rPr>
        <w:t xml:space="preserve"> </w:t>
      </w:r>
      <w:r>
        <w:rPr>
          <w:rFonts w:ascii="Noto Sans CJK SC" w:hAnsi="Noto Sans CJK SC" w:eastAsia="Noto Sans CJK SC"/>
          <w:color w:val="000000"/>
        </w:rPr>
        <w:t xml:space="preserve">Cambridge University Press.</w:t>
      </w:r>
    </w:p>
    <w:p>
      <w:pPr>
        <w:pStyle w:val="BodyText"/>
        <w:widowControl/>
        <w:spacing w:line="480" w:lineRule="auto"/>
        <w:ind w:left="720" w:hanging="720"/>
      </w:pPr>
      <w:r>
        <w:rPr>
          <w:rFonts w:ascii="Noto Sans CJK SC" w:hAnsi="Noto Sans CJK SC" w:eastAsia="Noto Sans CJK SC"/>
          <w:color w:val="000000"/>
        </w:rPr>
        <w:t xml:space="preserve">Friedman, B., &amp; Hendry, D. G. (2019). Value sensitive design: Shaping</w:t>
      </w:r>
      <w:r>
        <w:rPr>
          <w:rFonts w:ascii="Noto Sans CJK SC" w:hAnsi="Noto Sans CJK SC" w:eastAsia="Noto Sans CJK SC"/>
          <w:color w:val="000000"/>
        </w:rPr>
        <w:t xml:space="preserve"> </w:t>
      </w:r>
      <w:r>
        <w:rPr>
          <w:rFonts w:ascii="Noto Sans CJK SC" w:hAnsi="Noto Sans CJK SC" w:eastAsia="Noto Sans CJK SC"/>
          <w:color w:val="000000"/>
        </w:rPr>
        <w:t xml:space="preserve">technology with moral imagination. MIT Press.</w:t>
      </w:r>
    </w:p>
    <w:p>
      <w:pPr>
        <w:pStyle w:val="BodyText"/>
        <w:widowControl/>
        <w:spacing w:line="480" w:lineRule="auto"/>
        <w:ind w:left="720" w:hanging="720"/>
      </w:pPr>
      <w:r>
        <w:rPr>
          <w:rFonts w:ascii="Noto Sans CJK SC" w:hAnsi="Noto Sans CJK SC" w:eastAsia="Noto Sans CJK SC"/>
          <w:color w:val="000000"/>
        </w:rPr>
        <w:t xml:space="preserve">Friedman, B., Kahn, P. H., Jr., &amp; Borning, A. (2006). Value sensitive</w:t>
      </w:r>
      <w:r>
        <w:rPr>
          <w:rFonts w:ascii="Noto Sans CJK SC" w:hAnsi="Noto Sans CJK SC" w:eastAsia="Noto Sans CJK SC"/>
          <w:color w:val="000000"/>
        </w:rPr>
        <w:t xml:space="preserve"> </w:t>
      </w:r>
      <w:r>
        <w:rPr>
          <w:rFonts w:ascii="Noto Sans CJK SC" w:hAnsi="Noto Sans CJK SC" w:eastAsia="Noto Sans CJK SC"/>
          <w:color w:val="000000"/>
        </w:rPr>
        <w:t xml:space="preserve">design and information systems. In P. Zhang &amp; D. Galletta (Eds.),</w:t>
      </w:r>
      <w:r>
        <w:rPr>
          <w:rFonts w:ascii="Noto Sans CJK SC" w:hAnsi="Noto Sans CJK SC" w:eastAsia="Noto Sans CJK SC"/>
          <w:color w:val="000000"/>
        </w:rPr>
        <w:t xml:space="preserve"> </w:t>
      </w:r>
      <w:r>
        <w:rPr>
          <w:rFonts w:ascii="Noto Sans CJK SC" w:hAnsi="Noto Sans CJK SC" w:eastAsia="Noto Sans CJK SC"/>
          <w:color w:val="000000"/>
        </w:rPr>
        <w:t xml:space="preserve">Human-computer interaction and management information systems:</w:t>
      </w:r>
      <w:r>
        <w:rPr>
          <w:rFonts w:ascii="Noto Sans CJK SC" w:hAnsi="Noto Sans CJK SC" w:eastAsia="Noto Sans CJK SC"/>
          <w:color w:val="000000"/>
        </w:rPr>
        <w:t xml:space="preserve"> </w:t>
      </w:r>
      <w:r>
        <w:rPr>
          <w:rFonts w:ascii="Noto Sans CJK SC" w:hAnsi="Noto Sans CJK SC" w:eastAsia="Noto Sans CJK SC"/>
          <w:color w:val="000000"/>
        </w:rPr>
        <w:t xml:space="preserve">Foundations (pp. 348–372). M.E. Sharpe.</w:t>
      </w:r>
    </w:p>
    <w:p>
      <w:pPr>
        <w:pStyle w:val="BodyText"/>
        <w:widowControl/>
        <w:spacing w:line="480" w:lineRule="auto"/>
        <w:ind w:left="720" w:hanging="720"/>
      </w:pPr>
      <w:r>
        <w:rPr>
          <w:rFonts w:ascii="Noto Sans CJK SC" w:hAnsi="Noto Sans CJK SC" w:eastAsia="Noto Sans CJK SC"/>
          <w:color w:val="000000"/>
        </w:rPr>
        <w:t xml:space="preserve">Himmelreich, J. (2018). Never mind the trolley: The ethics of autonomous</w:t>
      </w:r>
      <w:r>
        <w:rPr>
          <w:rFonts w:ascii="Noto Sans CJK SC" w:hAnsi="Noto Sans CJK SC" w:eastAsia="Noto Sans CJK SC"/>
          <w:color w:val="000000"/>
        </w:rPr>
        <w:t xml:space="preserve"> </w:t>
      </w:r>
      <w:r>
        <w:rPr>
          <w:rFonts w:ascii="Noto Sans CJK SC" w:hAnsi="Noto Sans CJK SC" w:eastAsia="Noto Sans CJK SC"/>
          <w:color w:val="000000"/>
        </w:rPr>
        <w:t xml:space="preserve">vehicles in mundane situations. Ethical Theory and Moral Practice,</w:t>
      </w:r>
      <w:r>
        <w:rPr>
          <w:rFonts w:ascii="Noto Sans CJK SC" w:hAnsi="Noto Sans CJK SC" w:eastAsia="Noto Sans CJK SC"/>
          <w:color w:val="000000"/>
        </w:rPr>
        <w:t xml:space="preserve"> </w:t>
      </w:r>
      <w:r>
        <w:rPr>
          <w:rFonts w:ascii="Noto Sans CJK SC" w:hAnsi="Noto Sans CJK SC" w:eastAsia="Noto Sans CJK SC"/>
          <w:color w:val="000000"/>
        </w:rPr>
        <w:t xml:space="preserve">21(3), 669–684.</w:t>
      </w:r>
      <w:r>
        <w:rPr>
          <w:rFonts w:ascii="Noto Sans CJK SC" w:hAnsi="Noto Sans CJK SC" w:eastAsia="Noto Sans CJK SC"/>
          <w:color w:val="000000"/>
        </w:rPr>
        <w:t xml:space="preserve"> </w:t>
      </w:r>
      <w:hyperlink r:id="rId71">
        <w:r>
          <w:rPr>
            <w:rStyle w:val="Hyperlink"/>
          </w:rPr>
          <w:t xml:space="preserve">https://doi.org/10.1007/s10677-018-9896-4</w:t>
        </w:r>
      </w:hyperlink>
    </w:p>
    <w:p>
      <w:pPr>
        <w:pStyle w:val="BodyText"/>
        <w:widowControl/>
        <w:spacing w:line="480" w:lineRule="auto"/>
        <w:ind w:left="720" w:hanging="720"/>
      </w:pPr>
      <w:r>
        <w:rPr>
          <w:rFonts w:ascii="Noto Sans CJK SC" w:hAnsi="Noto Sans CJK SC" w:eastAsia="Noto Sans CJK SC"/>
          <w:color w:val="000000"/>
        </w:rPr>
        <w:t xml:space="preserve">Kaminski, M. E., &amp; Malgieri, G. (2025). Impacted stakeholder</w:t>
      </w:r>
      <w:r>
        <w:rPr>
          <w:rFonts w:ascii="Noto Sans CJK SC" w:hAnsi="Noto Sans CJK SC" w:eastAsia="Noto Sans CJK SC"/>
          <w:color w:val="000000"/>
        </w:rPr>
        <w:t xml:space="preserve"> </w:t>
      </w:r>
      <w:r>
        <w:rPr>
          <w:rFonts w:ascii="Noto Sans CJK SC" w:hAnsi="Noto Sans CJK SC" w:eastAsia="Noto Sans CJK SC"/>
          <w:color w:val="000000"/>
        </w:rPr>
        <w:t xml:space="preserve">participation in AI and data governance. Yale Journal of Law &amp;</w:t>
      </w:r>
      <w:r>
        <w:rPr>
          <w:rFonts w:ascii="Noto Sans CJK SC" w:hAnsi="Noto Sans CJK SC" w:eastAsia="Noto Sans CJK SC"/>
          <w:color w:val="000000"/>
        </w:rPr>
        <w:t xml:space="preserve"> </w:t>
      </w:r>
      <w:r>
        <w:rPr>
          <w:rFonts w:ascii="Noto Sans CJK SC" w:hAnsi="Noto Sans CJK SC" w:eastAsia="Noto Sans CJK SC"/>
          <w:color w:val="000000"/>
        </w:rPr>
        <w:t xml:space="preserve">Technology, 27(1), 247–326.</w:t>
      </w:r>
      <w:r>
        <w:rPr>
          <w:rFonts w:ascii="Noto Sans CJK SC" w:hAnsi="Noto Sans CJK SC" w:eastAsia="Noto Sans CJK SC"/>
          <w:color w:val="000000"/>
        </w:rPr>
        <w:t xml:space="preserve"> </w:t>
      </w:r>
      <w:hyperlink r:id="rId72">
        <w:r>
          <w:rPr>
            <w:rStyle w:val="Hyperlink"/>
          </w:rPr>
          <w:t xml:space="preserve">https://yjolt.org/sites/default/files/kaminski_malgieri_27yalejltech247.pdf</w:t>
        </w:r>
      </w:hyperlink>
    </w:p>
    <w:p>
      <w:pPr>
        <w:pStyle w:val="BodyText"/>
        <w:widowControl/>
        <w:spacing w:line="480" w:lineRule="auto"/>
        <w:ind w:left="720" w:hanging="720"/>
      </w:pPr>
      <w:r>
        <w:rPr>
          <w:rFonts w:ascii="Noto Sans CJK SC" w:hAnsi="Noto Sans CJK SC" w:eastAsia="Noto Sans CJK SC"/>
          <w:color w:val="000000"/>
        </w:rPr>
        <w:t xml:space="preserve">Moor, J. H. (2006). The nature, importance, and difficulty of machine</w:t>
      </w:r>
      <w:r>
        <w:rPr>
          <w:rFonts w:ascii="Noto Sans CJK SC" w:hAnsi="Noto Sans CJK SC" w:eastAsia="Noto Sans CJK SC"/>
          <w:color w:val="000000"/>
        </w:rPr>
        <w:t xml:space="preserve"> </w:t>
      </w:r>
      <w:r>
        <w:rPr>
          <w:rFonts w:ascii="Noto Sans CJK SC" w:hAnsi="Noto Sans CJK SC" w:eastAsia="Noto Sans CJK SC"/>
          <w:color w:val="000000"/>
        </w:rPr>
        <w:t xml:space="preserve">ethics. IEEE Intelligent Systems, 21(4), 18–21.</w:t>
      </w:r>
      <w:r>
        <w:rPr>
          <w:rFonts w:ascii="Noto Sans CJK SC" w:hAnsi="Noto Sans CJK SC" w:eastAsia="Noto Sans CJK SC"/>
          <w:color w:val="000000"/>
        </w:rPr>
        <w:t xml:space="preserve"> </w:t>
      </w:r>
      <w:hyperlink r:id="rId73">
        <w:r>
          <w:rPr>
            <w:rStyle w:val="Hyperlink"/>
          </w:rPr>
          <w:t xml:space="preserve">https://doi.org/10.1109/MIS.2006.80</w:t>
        </w:r>
      </w:hyperlink>
    </w:p>
    <w:p>
      <w:pPr>
        <w:pStyle w:val="BodyText"/>
        <w:widowControl/>
        <w:spacing w:line="480" w:lineRule="auto"/>
        <w:ind w:left="720" w:hanging="720"/>
      </w:pPr>
      <w:r>
        <w:rPr>
          <w:rFonts w:ascii="Noto Sans CJK SC" w:hAnsi="Noto Sans CJK SC" w:eastAsia="Noto Sans CJK SC"/>
          <w:color w:val="000000"/>
        </w:rPr>
        <w:t xml:space="preserve">Nyholm, S. R., &amp; Smids, J. (2016). The ethics of accident-algorithms for</w:t>
      </w:r>
      <w:r>
        <w:rPr>
          <w:rFonts w:ascii="Noto Sans CJK SC" w:hAnsi="Noto Sans CJK SC" w:eastAsia="Noto Sans CJK SC"/>
          <w:color w:val="000000"/>
        </w:rPr>
        <w:t xml:space="preserve"> </w:t>
      </w:r>
      <w:r>
        <w:rPr>
          <w:rFonts w:ascii="Noto Sans CJK SC" w:hAnsi="Noto Sans CJK SC" w:eastAsia="Noto Sans CJK SC"/>
          <w:color w:val="000000"/>
        </w:rPr>
        <w:t xml:space="preserve">self-driving cars: An applied trolley problem? Ethical Theory and Moral</w:t>
      </w:r>
      <w:r>
        <w:rPr>
          <w:rFonts w:ascii="Noto Sans CJK SC" w:hAnsi="Noto Sans CJK SC" w:eastAsia="Noto Sans CJK SC"/>
          <w:color w:val="000000"/>
        </w:rPr>
        <w:t xml:space="preserve"> </w:t>
      </w:r>
      <w:r>
        <w:rPr>
          <w:rFonts w:ascii="Noto Sans CJK SC" w:hAnsi="Noto Sans CJK SC" w:eastAsia="Noto Sans CJK SC"/>
          <w:color w:val="000000"/>
        </w:rPr>
        <w:t xml:space="preserve">Practice, 19(5), 1275–1289.</w:t>
      </w:r>
      <w:r>
        <w:rPr>
          <w:rFonts w:ascii="Noto Sans CJK SC" w:hAnsi="Noto Sans CJK SC" w:eastAsia="Noto Sans CJK SC"/>
          <w:color w:val="000000"/>
        </w:rPr>
        <w:t xml:space="preserve"> </w:t>
      </w:r>
      <w:hyperlink r:id="rId74">
        <w:r>
          <w:rPr>
            <w:rStyle w:val="Hyperlink"/>
          </w:rPr>
          <w:t xml:space="preserve">https://doi.org/10.1007/s10677-016-9745-2</w:t>
        </w:r>
      </w:hyperlink>
    </w:p>
    <w:p>
      <w:pPr>
        <w:pStyle w:val="BodyText"/>
        <w:widowControl/>
        <w:spacing w:line="480" w:lineRule="auto"/>
        <w:ind w:left="720" w:hanging="720"/>
      </w:pPr>
      <w:r>
        <w:rPr>
          <w:rFonts w:ascii="Noto Sans CJK SC" w:hAnsi="Noto Sans CJK SC" w:eastAsia="Noto Sans CJK SC"/>
          <w:color w:val="000000"/>
        </w:rPr>
        <w:t xml:space="preserve">Rachum-Twaig, O. (2020). Whose robot is it anyway? Liability for</w:t>
      </w:r>
      <w:r>
        <w:rPr>
          <w:rFonts w:ascii="Noto Sans CJK SC" w:hAnsi="Noto Sans CJK SC" w:eastAsia="Noto Sans CJK SC"/>
          <w:color w:val="000000"/>
        </w:rPr>
        <w:t xml:space="preserve"> </w:t>
      </w:r>
      <w:r>
        <w:rPr>
          <w:rFonts w:ascii="Noto Sans CJK SC" w:hAnsi="Noto Sans CJK SC" w:eastAsia="Noto Sans CJK SC"/>
          <w:color w:val="000000"/>
        </w:rPr>
        <w:t xml:space="preserve">artificial-intelligence-based robots. University of Illinois Law Review,</w:t>
      </w:r>
      <w:r>
        <w:rPr>
          <w:rFonts w:ascii="Noto Sans CJK SC" w:hAnsi="Noto Sans CJK SC" w:eastAsia="Noto Sans CJK SC"/>
          <w:color w:val="000000"/>
        </w:rPr>
        <w:t xml:space="preserve"> </w:t>
      </w:r>
      <w:r>
        <w:rPr>
          <w:rFonts w:ascii="Noto Sans CJK SC" w:hAnsi="Noto Sans CJK SC" w:eastAsia="Noto Sans CJK SC"/>
          <w:color w:val="000000"/>
        </w:rPr>
        <w:t xml:space="preserve">2020(4), 1141–1176.</w:t>
      </w:r>
      <w:r>
        <w:rPr>
          <w:rFonts w:ascii="Noto Sans CJK SC" w:hAnsi="Noto Sans CJK SC" w:eastAsia="Noto Sans CJK SC"/>
          <w:color w:val="000000"/>
        </w:rPr>
        <w:t xml:space="preserve"> </w:t>
      </w:r>
      <w:hyperlink r:id="rId75">
        <w:r>
          <w:rPr>
            <w:rStyle w:val="Hyperlink"/>
          </w:rPr>
          <w:t xml:space="preserve">https://www.illinoislawreview.org/wp-content/uploads/2020/08/Rachum-Twaig.pdf</w:t>
        </w:r>
      </w:hyperlink>
    </w:p>
    <w:p>
      <w:pPr>
        <w:pStyle w:val="BodyText"/>
        <w:widowControl/>
        <w:spacing w:line="480" w:lineRule="auto"/>
        <w:ind w:left="720" w:hanging="720"/>
      </w:pPr>
      <w:r>
        <w:rPr>
          <w:rFonts w:ascii="Noto Sans CJK SC" w:hAnsi="Noto Sans CJK SC" w:eastAsia="Noto Sans CJK SC"/>
          <w:color w:val="000000"/>
        </w:rPr>
        <w:t xml:space="preserve">Sharkey, A., &amp; Sharkey, N. (2012). Granny and the robots: Ethical issues</w:t>
      </w:r>
      <w:r>
        <w:rPr>
          <w:rFonts w:ascii="Noto Sans CJK SC" w:hAnsi="Noto Sans CJK SC" w:eastAsia="Noto Sans CJK SC"/>
          <w:color w:val="000000"/>
        </w:rPr>
        <w:t xml:space="preserve"> </w:t>
      </w:r>
      <w:r>
        <w:rPr>
          <w:rFonts w:ascii="Noto Sans CJK SC" w:hAnsi="Noto Sans CJK SC" w:eastAsia="Noto Sans CJK SC"/>
          <w:color w:val="000000"/>
        </w:rPr>
        <w:t xml:space="preserve">in robot care for the elderly. Ethics and Information Technology, 14(1),</w:t>
      </w:r>
      <w:r>
        <w:rPr>
          <w:rFonts w:ascii="Noto Sans CJK SC" w:hAnsi="Noto Sans CJK SC" w:eastAsia="Noto Sans CJK SC"/>
          <w:color w:val="000000"/>
        </w:rPr>
        <w:t xml:space="preserve"> </w:t>
      </w:r>
      <w:r>
        <w:rPr>
          <w:rFonts w:ascii="Noto Sans CJK SC" w:hAnsi="Noto Sans CJK SC" w:eastAsia="Noto Sans CJK SC"/>
          <w:color w:val="000000"/>
        </w:rPr>
        <w:t xml:space="preserve">27–40.</w:t>
      </w:r>
      <w:r>
        <w:rPr>
          <w:rFonts w:ascii="Noto Sans CJK SC" w:hAnsi="Noto Sans CJK SC" w:eastAsia="Noto Sans CJK SC"/>
          <w:color w:val="000000"/>
        </w:rPr>
        <w:t xml:space="preserve"> </w:t>
      </w:r>
      <w:hyperlink r:id="rId76">
        <w:r>
          <w:rPr>
            <w:rStyle w:val="Hyperlink"/>
          </w:rPr>
          <w:t xml:space="preserve">https://doi.org/10.1007/s10676-010-9234-6</w:t>
        </w:r>
      </w:hyperlink>
    </w:p>
    <w:p>
      <w:pPr>
        <w:pStyle w:val="BodyText"/>
        <w:widowControl/>
        <w:spacing w:line="480" w:lineRule="auto"/>
        <w:ind w:left="720" w:hanging="720"/>
      </w:pPr>
      <w:r>
        <w:rPr>
          <w:rFonts w:ascii="Noto Sans CJK SC" w:hAnsi="Noto Sans CJK SC" w:eastAsia="Noto Sans CJK SC"/>
          <w:color w:val="000000"/>
        </w:rPr>
        <w:t xml:space="preserve">Resseguier, A., Brey, P., Dainow, B., &amp; Drozdzewska, A. (2021).</w:t>
      </w:r>
      <w:r>
        <w:rPr>
          <w:rFonts w:ascii="Noto Sans CJK SC" w:hAnsi="Noto Sans CJK SC" w:eastAsia="Noto Sans CJK SC"/>
          <w:color w:val="000000"/>
        </w:rPr>
        <w:t xml:space="preserve"> </w:t>
      </w:r>
      <w:r>
        <w:rPr>
          <w:iCs/>
          <w:rFonts w:ascii="Noto Sans CJK SC" w:hAnsi="Noto Sans CJK SC" w:eastAsia="Noto Sans CJK SC"/>
          <w:i/>
          <w:color w:val="000000"/>
        </w:rPr>
        <w:t xml:space="preserve">SIENNA D5.4: Multi-stakeholder strategy and practical tools for ethical AI and robotics</w:t>
      </w:r>
      <w:r>
        <w:rPr>
          <w:rFonts w:ascii="Noto Sans CJK SC" w:hAnsi="Noto Sans CJK SC" w:eastAsia="Noto Sans CJK SC"/>
          <w:color w:val="000000"/>
        </w:rPr>
        <w:t xml:space="preserve"> </w:t>
      </w:r>
      <w:r>
        <w:rPr>
          <w:rFonts w:ascii="Noto Sans CJK SC" w:hAnsi="Noto Sans CJK SC" w:eastAsia="Noto Sans CJK SC"/>
          <w:color w:val="000000"/>
        </w:rPr>
        <w:t xml:space="preserve">(Version 4.0). Zenodo.</w:t>
      </w:r>
      <w:r>
        <w:rPr>
          <w:rFonts w:ascii="Noto Sans CJK SC" w:hAnsi="Noto Sans CJK SC" w:eastAsia="Noto Sans CJK SC"/>
          <w:color w:val="000000"/>
        </w:rPr>
        <w:t xml:space="preserve"> </w:t>
      </w:r>
      <w:hyperlink r:id="rId77">
        <w:r>
          <w:rPr>
            <w:rStyle w:val="Hyperlink"/>
          </w:rPr>
          <w:t xml:space="preserve">https://doi.org/10.5281/zenodo.5536176</w:t>
        </w:r>
      </w:hyperlink>
    </w:p>
    <w:p>
      <w:pPr>
        <w:pStyle w:val="BodyText"/>
        <w:widowControl/>
        <w:spacing w:line="480" w:lineRule="auto"/>
        <w:ind w:left="720" w:hanging="720"/>
      </w:pPr>
      <w:r>
        <w:rPr>
          <w:rFonts w:ascii="Noto Sans CJK SC" w:hAnsi="Noto Sans CJK SC" w:eastAsia="Noto Sans CJK SC"/>
          <w:color w:val="000000"/>
        </w:rPr>
        <w:t xml:space="preserve">United Nations. (2006). Convention on the Rights of Persons with</w:t>
      </w:r>
      <w:r>
        <w:rPr>
          <w:rFonts w:ascii="Noto Sans CJK SC" w:hAnsi="Noto Sans CJK SC" w:eastAsia="Noto Sans CJK SC"/>
          <w:color w:val="000000"/>
        </w:rPr>
        <w:t xml:space="preserve"> </w:t>
      </w:r>
      <w:r>
        <w:rPr>
          <w:rFonts w:ascii="Noto Sans CJK SC" w:hAnsi="Noto Sans CJK SC" w:eastAsia="Noto Sans CJK SC"/>
          <w:color w:val="000000"/>
        </w:rPr>
        <w:t xml:space="preserve">Disabilities.</w:t>
      </w:r>
      <w:r>
        <w:rPr>
          <w:rFonts w:ascii="Noto Sans CJK SC" w:hAnsi="Noto Sans CJK SC" w:eastAsia="Noto Sans CJK SC"/>
          <w:color w:val="000000"/>
        </w:rPr>
        <w:t xml:space="preserve"> </w:t>
      </w:r>
      <w:hyperlink r:id="rId78">
        <w:r>
          <w:rPr>
            <w:rStyle w:val="Hyperlink"/>
          </w:rPr>
          <w:t xml:space="preserve">https://www.un.org/development/desa/disabilities/convention-on-the-rights-of-persons-with-disabilities.html</w:t>
        </w:r>
      </w:hyperlink>
    </w:p>
    <w:p>
      <w:pPr>
        <w:pStyle w:val="BodyText"/>
        <w:widowControl/>
        <w:spacing w:line="480" w:lineRule="auto"/>
        <w:ind w:left="720" w:hanging="720"/>
      </w:pPr>
      <w:r>
        <w:rPr>
          <w:rFonts w:ascii="Noto Sans CJK SC" w:hAnsi="Noto Sans CJK SC" w:eastAsia="Noto Sans CJK SC"/>
          <w:color w:val="000000"/>
        </w:rPr>
        <w:t xml:space="preserve">van Wynsberghe, A. (2013). Designing robots for care: Care centered</w:t>
      </w:r>
      <w:r>
        <w:rPr>
          <w:rFonts w:ascii="Noto Sans CJK SC" w:hAnsi="Noto Sans CJK SC" w:eastAsia="Noto Sans CJK SC"/>
          <w:color w:val="000000"/>
        </w:rPr>
        <w:t xml:space="preserve"> </w:t>
      </w:r>
      <w:r>
        <w:rPr>
          <w:rFonts w:ascii="Noto Sans CJK SC" w:hAnsi="Noto Sans CJK SC" w:eastAsia="Noto Sans CJK SC"/>
          <w:color w:val="000000"/>
        </w:rPr>
        <w:t xml:space="preserve">value-sensitive design. Science and Engineering Ethics, 19(2), 407–433.</w:t>
      </w:r>
      <w:r>
        <w:rPr>
          <w:rFonts w:ascii="Noto Sans CJK SC" w:hAnsi="Noto Sans CJK SC" w:eastAsia="Noto Sans CJK SC"/>
          <w:color w:val="000000"/>
        </w:rPr>
        <w:t xml:space="preserve"> </w:t>
      </w:r>
      <w:hyperlink r:id="rId79">
        <w:r>
          <w:rPr>
            <w:rStyle w:val="Hyperlink"/>
          </w:rPr>
          <w:t xml:space="preserve">https://doi.org/10.1007/s11948-011-9343-6</w:t>
        </w:r>
      </w:hyperlink>
    </w:p>
    <w:p>
      <w:pPr>
        <w:pStyle w:val="BodyText"/>
        <w:widowControl/>
        <w:spacing w:line="480" w:lineRule="auto"/>
        <w:ind w:left="720" w:hanging="720"/>
      </w:pPr>
      <w:r>
        <w:rPr>
          <w:rFonts w:ascii="Noto Sans CJK SC" w:hAnsi="Noto Sans CJK SC" w:eastAsia="Noto Sans CJK SC"/>
          <w:color w:val="000000"/>
        </w:rPr>
        <w:t xml:space="preserve">Wallach, W., &amp; Allen, C. (2009). Moral machines: Teaching robots right</w:t>
      </w:r>
      <w:r>
        <w:rPr>
          <w:rFonts w:ascii="Noto Sans CJK SC" w:hAnsi="Noto Sans CJK SC" w:eastAsia="Noto Sans CJK SC"/>
          <w:color w:val="000000"/>
        </w:rPr>
        <w:t xml:space="preserve"> </w:t>
      </w:r>
      <w:r>
        <w:rPr>
          <w:rFonts w:ascii="Noto Sans CJK SC" w:hAnsi="Noto Sans CJK SC" w:eastAsia="Noto Sans CJK SC"/>
          <w:color w:val="000000"/>
        </w:rPr>
        <w:t xml:space="preserve">from wrong. Oxford University Press.</w:t>
      </w:r>
    </w:p>
    <w:bookmarkEnd w:id="80"/>
    <w:bookmarkEnd w:id="81"/>
    <w:sectPr>
      <w:footerReference w:type="default" r:id="rId9"/>
      <w:headerReference w:type="default" r:id="rId10"/>
      <w:pgSz w:w="11906" w:h="16838"/>
      <w:pgMar w:top="1247" w:bottom="1247" w:left="1417" w:right="1417" w:header="720" w:footer="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Noto Sans CJK SC" w:hAnsi="Noto Sans CJK SC" w:eastAsia="Noto Sans CJK SC"/>
        <w:sz w:val="18"/>
      </w:rPr>
      <w:t>盧建旭｜2026年8月</w:t>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Noto Sans CJK SC" w:hAnsi="Noto Sans CJK SC" w:eastAsia="Noto Sans CJK SC"/>
        <w:sz w:val="18"/>
      </w:rPr>
      <w:t>AI機器人治理的協商模式｜從價值內建到多方共構</w:t>
    </w:r>
  </w:p>
</w:hdr>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line="324" w:lineRule="auto" w:after="0"/>
      <w:jc w:val="both"/>
    </w:pPr>
    <w:rPr>
      <w:rFonts w:ascii="Noto Sans CJK SC" w:hAnsi="Noto Sans CJK SC" w:eastAsia="Noto Sans CJK SC"/>
      <w:sz w:val="22"/>
    </w:rPr>
  </w:style>
  <w:style w:styleId="BodyText" w:type="paragraph">
    <w:name w:val="Body Text"/>
    <w:basedOn w:val="Normal"/>
    <w:link w:val="BodyTextChar"/>
    <w:pPr>
      <w:spacing w:after="100" w:before="180" w:line="324" w:lineRule="auto"/>
    </w:pPr>
    <w:qFormat/>
    <w:rPr>
      <w:rFonts w:ascii="Noto Sans CJK SC" w:hAnsi="Noto Sans CJK SC" w:eastAsia="Noto Sans CJK SC"/>
      <w:sz w:val="22"/>
    </w:rPr>
  </w:style>
  <w:style w:customStyle="1" w:styleId="FirstParagraph" w:type="paragraph">
    <w:name w:val="First Paragraph"/>
    <w:basedOn w:val="BodyText"/>
    <w:next w:val="BodyText"/>
    <w:qFormat/>
    <w:pPr>
      <w:spacing w:line="324" w:lineRule="auto" w:after="100"/>
    </w:pPr>
    <w:rPr>
      <w:rFonts w:ascii="Noto Sans CJK SC" w:hAnsi="Noto Sans CJK SC" w:eastAsia="Noto Sans CJK SC"/>
      <w:sz w:val="22"/>
    </w:rPr>
  </w:style>
  <w:style w:customStyle="1" w:styleId="Compact" w:type="paragraph">
    <w:name w:val="Compact"/>
    <w:basedOn w:val="BodyText"/>
    <w:qFormat/>
    <w:pPr>
      <w:spacing w:after="100" w:before="36" w:line="324" w:lineRule="auto"/>
    </w:pPr>
    <w:rPr>
      <w:rFonts w:ascii="Noto Sans CJK SC" w:hAnsi="Noto Sans CJK SC" w:eastAsia="Noto Sans CJK SC"/>
      <w:sz w:val="22"/>
    </w:rPr>
  </w:style>
  <w:style w:styleId="Title" w:type="paragraph">
    <w:name w:val="Title"/>
    <w:basedOn w:val="Normal"/>
    <w:next w:val="BodyText"/>
    <w:qFormat/>
    <w:pPr>
      <w:keepNext/>
      <w:keepLines/>
      <w:spacing w:after="120" w:before="480" w:line="240" w:lineRule="auto"/>
      <w:jc w:val="center"/>
    </w:pPr>
    <w:rPr>
      <w:rFonts w:asciiTheme="majorHAnsi" w:cstheme="majorBidi" w:eastAsiaTheme="majorEastAsia" w:hAnsiTheme="majorHAnsi" w:ascii="Noto Sans CJK SC" w:hAnsi="Noto Sans CJK SC" w:eastAsia="Noto Sans CJK SC"/>
      <w:b/>
      <w:bCs/>
      <w:color w:themeColor="accent1" w:themeShade="B5" w:val="345A8A"/>
      <w:sz w:val="40"/>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pageBreakBefore w:val="0"/>
      <w:spacing w:after="120" w:before="240"/>
      <w:outlineLvl w:val="0"/>
    </w:pPr>
    <w:rPr>
      <w:rFonts w:asciiTheme="majorHAnsi" w:cstheme="majorBidi" w:eastAsiaTheme="majorEastAsia" w:hAnsiTheme="majorHAnsi" w:ascii="Noto Sans CJK SC" w:hAnsi="Noto Sans CJK SC" w:eastAsia="Noto Sans CJK SC"/>
      <w:b/>
      <w:bCs/>
      <w:color w:themeColor="accent1" w:val="4F81BD"/>
      <w:sz w:val="32"/>
      <w:szCs w:val="32"/>
    </w:rPr>
  </w:style>
  <w:style w:styleId="Heading2" w:type="paragraph">
    <w:name w:val="Heading 2"/>
    <w:basedOn w:val="Normal"/>
    <w:next w:val="BodyText"/>
    <w:uiPriority w:val="9"/>
    <w:unhideWhenUsed/>
    <w:qFormat/>
    <w:pPr>
      <w:keepNext/>
      <w:keepLines/>
      <w:pageBreakBefore w:val="0"/>
      <w:spacing w:after="120" w:before="240"/>
      <w:outlineLvl w:val="1"/>
    </w:pPr>
    <w:rPr>
      <w:rFonts w:asciiTheme="majorHAnsi" w:cstheme="majorBidi" w:eastAsiaTheme="majorEastAsia" w:hAnsiTheme="majorHAnsi" w:ascii="Noto Sans CJK SC" w:hAnsi="Noto Sans CJK SC" w:eastAsia="Noto Sans CJK SC"/>
      <w:b/>
      <w:bCs/>
      <w:color w:themeColor="accent1" w:val="4F81BD"/>
      <w:sz w:val="27"/>
      <w:szCs w:val="28"/>
    </w:rPr>
  </w:style>
  <w:style w:styleId="Heading3" w:type="paragraph">
    <w:name w:val="Heading 3"/>
    <w:basedOn w:val="Normal"/>
    <w:next w:val="BodyText"/>
    <w:uiPriority w:val="9"/>
    <w:unhideWhenUsed/>
    <w:qFormat/>
    <w:pPr>
      <w:keepNext/>
      <w:keepLines/>
      <w:pageBreakBefore w:val="0"/>
      <w:spacing w:after="120" w:before="240"/>
      <w:outlineLvl w:val="2"/>
    </w:pPr>
    <w:rPr>
      <w:rFonts w:asciiTheme="majorHAnsi" w:cstheme="majorBidi" w:eastAsiaTheme="majorEastAsia" w:hAnsiTheme="majorHAnsi" w:ascii="Noto Sans CJK SC" w:hAnsi="Noto Sans CJK SC" w:eastAsia="Noto Sans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45" Type="http://schemas.openxmlformats.org/officeDocument/2006/relationships/image" Target="media/rId45.png"/><Relationship Id="rId57" Type="http://schemas.openxmlformats.org/officeDocument/2006/relationships/image" Target="media/rId57.png"/><Relationship Id="rId34" Type="http://schemas.openxmlformats.org/officeDocument/2006/relationships/image" Target="media/rId34.png"/><Relationship Id="rId76" Type="http://schemas.openxmlformats.org/officeDocument/2006/relationships/hyperlink" Target="https://doi.org/10.1007/s10676-010-9234-6" TargetMode="External"/><Relationship Id="rId74" Type="http://schemas.openxmlformats.org/officeDocument/2006/relationships/hyperlink" Target="https://doi.org/10.1007/s10677-016-9745-2" TargetMode="External"/><Relationship Id="rId71" Type="http://schemas.openxmlformats.org/officeDocument/2006/relationships/hyperlink" Target="https://doi.org/10.1007/s10677-018-9896-4" TargetMode="External"/><Relationship Id="rId79" Type="http://schemas.openxmlformats.org/officeDocument/2006/relationships/hyperlink" Target="https://doi.org/10.1007/s11948-011-9343-6" TargetMode="External"/><Relationship Id="rId73" Type="http://schemas.openxmlformats.org/officeDocument/2006/relationships/hyperlink" Target="https://doi.org/10.1109/MIS.2006.80" TargetMode="External"/><Relationship Id="rId77" Type="http://schemas.openxmlformats.org/officeDocument/2006/relationships/hyperlink" Target="https://doi.org/10.5281/zenodo.5536176" TargetMode="External"/><Relationship Id="rId70" Type="http://schemas.openxmlformats.org/officeDocument/2006/relationships/hyperlink" Target="https://eur-lex.europa.eu/eli/reg/2024/1689/oj" TargetMode="External"/><Relationship Id="rId66" Type="http://schemas.openxmlformats.org/officeDocument/2006/relationships/hyperlink" Target="https://law.nstc.gov.tw/LawContent.aspx?id=GL000592" TargetMode="External"/><Relationship Id="rId67" Type="http://schemas.openxmlformats.org/officeDocument/2006/relationships/hyperlink" Target="https://www.ey.gov.tw/File/EE89497142D2768B" TargetMode="External"/><Relationship Id="rId75" Type="http://schemas.openxmlformats.org/officeDocument/2006/relationships/hyperlink" Target="https://www.illinoislawreview.org/wp-content/uploads/2020/08/Rachum-Twaig.pdf" TargetMode="External"/><Relationship Id="rId68" Type="http://schemas.openxmlformats.org/officeDocument/2006/relationships/hyperlink" Target="https://www.ly.gov.tw/Pages/Detail.aspx?nodeid=6590&amp;pid=217407" TargetMode="External"/><Relationship Id="rId78" Type="http://schemas.openxmlformats.org/officeDocument/2006/relationships/hyperlink" Target="https://www.un.org/development/desa/disabilities/convention-on-the-rights-of-persons-with-disabilities.html" TargetMode="External"/><Relationship Id="rId72" Type="http://schemas.openxmlformats.org/officeDocument/2006/relationships/hyperlink" Target="https://yjolt.org/sites/default/files/kaminski_malgieri_27yalejltech247.pdf" TargetMode="External"/><Relationship Id="rId9" Type="http://schemas.openxmlformats.org/officeDocument/2006/relationships/footer" Target="footer1.xml"/><Relationship Id="rId10" Type="http://schemas.openxmlformats.org/officeDocument/2006/relationships/header" Target="header1.xml"/></Relationships>
</file>

<file path=word/_rels/footnotes.xml.rels><?xml version='1.0' encoding='UTF-8' standalone='yes'?>
<Relationships xmlns="http://schemas.openxmlformats.org/package/2006/relationships"><Relationship Id="rId76" Type="http://schemas.openxmlformats.org/officeDocument/2006/relationships/hyperlink" Target="https://doi.org/10.1007/s10676-010-9234-6" TargetMode="External"/><Relationship Id="rId74" Type="http://schemas.openxmlformats.org/officeDocument/2006/relationships/hyperlink" Target="https://doi.org/10.1007/s10677-016-9745-2" TargetMode="External"/><Relationship Id="rId71" Type="http://schemas.openxmlformats.org/officeDocument/2006/relationships/hyperlink" Target="https://doi.org/10.1007/s10677-018-9896-4" TargetMode="External"/><Relationship Id="rId79" Type="http://schemas.openxmlformats.org/officeDocument/2006/relationships/hyperlink" Target="https://doi.org/10.1007/s11948-011-9343-6" TargetMode="External"/><Relationship Id="rId73" Type="http://schemas.openxmlformats.org/officeDocument/2006/relationships/hyperlink" Target="https://doi.org/10.1109/MIS.2006.80" TargetMode="External"/><Relationship Id="rId77" Type="http://schemas.openxmlformats.org/officeDocument/2006/relationships/hyperlink" Target="https://doi.org/10.5281/zenodo.5536176" TargetMode="External"/><Relationship Id="rId70" Type="http://schemas.openxmlformats.org/officeDocument/2006/relationships/hyperlink" Target="https://eur-lex.europa.eu/eli/reg/2024/1689/oj" TargetMode="External"/><Relationship Id="rId66" Type="http://schemas.openxmlformats.org/officeDocument/2006/relationships/hyperlink" Target="https://law.nstc.gov.tw/LawContent.aspx?id=GL000592" TargetMode="External"/><Relationship Id="rId67" Type="http://schemas.openxmlformats.org/officeDocument/2006/relationships/hyperlink" Target="https://www.ey.gov.tw/File/EE89497142D2768B" TargetMode="External"/><Relationship Id="rId75" Type="http://schemas.openxmlformats.org/officeDocument/2006/relationships/hyperlink" Target="https://www.illinoislawreview.org/wp-content/uploads/2020/08/Rachum-Twaig.pdf" TargetMode="External"/><Relationship Id="rId68" Type="http://schemas.openxmlformats.org/officeDocument/2006/relationships/hyperlink" Target="https://www.ly.gov.tw/Pages/Detail.aspx?nodeid=6590&amp;pid=217407" TargetMode="External"/><Relationship Id="rId78" Type="http://schemas.openxmlformats.org/officeDocument/2006/relationships/hyperlink" Target="https://www.un.org/development/desa/disabilities/convention-on-the-rights-of-persons-with-disabilities.html" TargetMode="External"/><Relationship Id="rId72" Type="http://schemas.openxmlformats.org/officeDocument/2006/relationships/hyperlink" Target="https://yjolt.org/sites/default/files/kaminski_malgieri_27yalejltech24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AI robot governance, negotiated governance, APA, SSCI</cp:keywords>
  <dcterms:created xsi:type="dcterms:W3CDTF">2026-08-05T03:29:44Z</dcterms:created>
  <dcterms:modified xsi:type="dcterms:W3CDTF">2026-08-05T03:29:44Z</dcterms:modified>
  <dc:subject>Academic website article; SSCI submission-preparation manuscript</dc:subject>
</cp:coreProperties>
</file>

<file path=docProps/custom.xml><?xml version="1.0" encoding="utf-8"?>
<Properties xmlns="http://schemas.openxmlformats.org/officeDocument/2006/custom-properties" xmlns:vt="http://schemas.openxmlformats.org/officeDocument/2006/docPropsVTypes"/>
</file>