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120" w:line="324" w:lineRule="auto"/>
        <w:jc w:val="center"/>
      </w:pPr>
      <w:r>
        <w:rPr>
          <w:rFonts w:ascii="Noto Sans CJK SC" w:hAnsi="Noto Sans CJK SC" w:eastAsia="Noto Sans CJK SC"/>
        </w:rPr>
        <w:t>深偽何時成為國家治理事件？</w:t>
      </w:r>
    </w:p>
    <w:p>
      <w:pPr>
        <w:spacing w:before="0" w:after="120" w:line="324" w:lineRule="auto"/>
        <w:jc w:val="center"/>
      </w:pPr>
      <w:r>
        <w:rPr>
          <w:rFonts w:ascii="Noto Sans CJK SC" w:hAnsi="Noto Sans CJK SC" w:eastAsia="Noto Sans CJK SC"/>
        </w:rPr>
        <w:t>危害分級、暫時主責與治理審計——一項公共行政事件壓力測試</w:t>
      </w:r>
    </w:p>
    <w:p>
      <w:pPr>
        <w:spacing w:before="0" w:after="120" w:line="324" w:lineRule="auto"/>
        <w:jc w:val="center"/>
      </w:pPr>
      <w:r>
        <w:rPr>
          <w:rFonts w:ascii="Noto Sans CJK SC" w:hAnsi="Noto Sans CJK SC" w:eastAsia="Noto Sans CJK SC"/>
        </w:rPr>
        <w:t>When Does a Deepfake Become a State Governance Incident? Harm Classification, Temporary Lead Responsibility, and Governance Audits as a Public Administration Stress Test</w:t>
      </w:r>
    </w:p>
    <w:p>
      <w:pPr>
        <w:spacing w:before="0" w:after="40"/>
        <w:jc w:val="center"/>
      </w:pPr>
      <w:r>
        <w:rPr>
          <w:rFonts w:ascii="Noto Sans CJK SC" w:hAnsi="Noto Sans CJK SC" w:eastAsia="Noto Sans CJK SC"/>
        </w:rPr>
        <w:t>盧建旭（Lancelot Lu）</w:t>
      </w:r>
    </w:p>
    <w:p>
      <w:pPr>
        <w:spacing w:before="0" w:after="100" w:line="324" w:lineRule="auto"/>
        <w:jc w:val="center"/>
      </w:pPr>
      <w:r>
        <w:rPr>
          <w:rFonts w:ascii="Noto Sans CJK SC" w:hAnsi="Noto Sans CJK SC" w:eastAsia="Noto Sans CJK SC"/>
        </w:rPr>
        <w:t>個人學術網站研究論文稿｜2026年8月公共深偽應變版</w:t>
      </w:r>
    </w:p>
    <w:p>
      <w:pPr>
        <w:pStyle w:val="Heading1"/>
        <w:spacing w:before="0" w:after="120"/>
      </w:pPr>
      <w:r>
        <w:rPr>
          <w:rFonts w:ascii="Noto Sans CJK SC" w:hAnsi="Noto Sans CJK SC" w:eastAsia="Noto Sans CJK SC"/>
        </w:rPr>
        <w:t>中文摘要</w:t>
      </w:r>
    </w:p>
    <w:p>
      <w:pPr>
        <w:spacing w:before="0" w:after="100" w:line="324" w:lineRule="auto"/>
        <w:ind w:firstLine="420"/>
        <w:jc w:val="both"/>
      </w:pPr>
      <w:r>
        <w:rPr>
          <w:rFonts w:ascii="Noto Sans CJK SC" w:hAnsi="Noto Sans CJK SC" w:eastAsia="Noto Sans CJK SC"/>
        </w:rPr>
        <w:t>公共深偽最難處理的時刻，不在真相已經查明之後，而在真偽尚未確定、危害卻可能先一步擴大之時。國家元首、政府機關或高階官員遭AI冒用，起初可能只是諷刺、冒名或詐欺；然而，一旦訊息引起公共恐慌、干擾制度運作，或帶有境外操弄與國家安全風險，原有的單一機關分工便未必足以接住事件。本文不依深偽技術本身指定主管機關，而依危害類型、證據可信度、制度穿透程度與預期後果分級。本文預設政府機關依其職掌，已有通報規範、應變計畫、作業手冊或內部指引；問題在於，這些制度能否在事件尚未定性時彼此銜接。為此，本文以公共深偽事件壓力測試AI治理下的共同母架構（盧建旭，2026）：二十五治理座標顯示事件如何跨座標移動；四條治理鏈追問情境由誰界定、誰有權決定、介入理由是否充分，以及錯誤或延誤由誰承擔；七項治理審計則保留事後可以查核的紀錄。全球文獻定位顯示，國際倫理與平台規範多集中於1×5至3×5，技術偵測及事件指引集中於5×3；較少被直接處理的是2×3，也就是政府組織之間的暫時主責、跨機關協調與升級條件。本文主要提供國安、調查、資安、國防及行政院體系中，負責情勢研判、政策分析與跨機關協調的研究員和中階行政官員使用。相同的壓力測試問題，日後亦可依不同法制與專業程序，調整後應用於國防、救災及緊急救護等高風險行政場域。</w:t>
      </w:r>
    </w:p>
    <w:p>
      <w:pPr>
        <w:spacing w:before="0" w:after="100" w:line="324" w:lineRule="auto"/>
        <w:jc w:val="both"/>
      </w:pPr>
      <w:r>
        <w:rPr>
          <w:rFonts w:ascii="Noto Sans CJK SC" w:hAnsi="Noto Sans CJK SC" w:eastAsia="Noto Sans CJK SC"/>
        </w:rPr>
        <w:t>關鍵詞：公共深偽、AI冒名、危害分級、跨機關應變、二十五治理座標、治理鏈</w:t>
      </w:r>
    </w:p>
    <w:p>
      <w:pPr>
        <w:pStyle w:val="Heading1"/>
        <w:spacing w:before="0" w:after="120"/>
      </w:pPr>
      <w:r>
        <w:rPr>
          <w:rFonts w:ascii="Noto Sans CJK SC" w:hAnsi="Noto Sans CJK SC" w:eastAsia="Noto Sans CJK SC"/>
        </w:rPr>
        <w:t>Abstract</w:t>
      </w:r>
    </w:p>
    <w:p>
      <w:pPr>
        <w:spacing w:before="0" w:after="100" w:line="324" w:lineRule="auto"/>
        <w:ind w:firstLine="420"/>
        <w:jc w:val="both"/>
      </w:pPr>
      <w:r>
        <w:rPr>
          <w:rFonts w:ascii="Noto Sans CJK SC" w:hAnsi="Noto Sans CJK SC" w:eastAsia="Noto Sans CJK SC"/>
        </w:rPr>
        <w:t>The hardest moment in a public deepfake incident often arises before authenticity and legal classification have been established, while potential harm may still escalate rapidly. An AI-enabled impersonation of a head of state, public agency, or senior official may remain satire, identity abuse, or fraud, but it may also trigger public panic, institutional disruption, foreign information operations, or national-security consequences. This article therefore classifies incidents by harm type, evidentiary confidence, institutional penetration, and expected consequence. This article presumes that government agencies maintain domain-specific notification rules, contingency plans, manuals, or internal guidance in accordance with their statutory responsibilities. The article does not seek to replace those operational systems. Instead, it uses a public deepfake incident to stress-test the parent framework of AI-embedded public administration theory. The 25 governance coordinates locate movement across levels and units; four governance chains trace context construction, authority, reasoning, and responsibility; seven governance audits preserve an ex post record. A global literature map reveals a gap between international norms and platform regulation, concentrated around 1×5 to 3×5, and operational detection or incident guidance, concentrated around 5×3. The underdeveloped position is 2×3: temporary lead responsibility, interagency coordination, and escalation criteria among government organizations. The primary users are analysts and mid-level officials responsible for situation assessment, policy analysis, and interagency coordination in Taiwan’s national-security, investigation, cybersecurity, defense, and Executive Yuan systems. Subject to domain-specific law and professional validation, the same stress-test logic may later be adapted to defense, disaster response, and emergency medical services.</w:t>
      </w:r>
    </w:p>
    <w:p>
      <w:pPr>
        <w:spacing w:before="0" w:after="100" w:line="324" w:lineRule="auto"/>
        <w:jc w:val="both"/>
      </w:pPr>
      <w:r>
        <w:rPr>
          <w:rFonts w:ascii="Noto Sans CJK SC" w:hAnsi="Noto Sans CJK SC" w:eastAsia="Noto Sans CJK SC"/>
        </w:rPr>
        <w:t>Keywords: public deepfakes, AI-enabled impersonation, risk classification, interagency response, governance coordinates, governance chains</w:t>
      </w:r>
    </w:p>
    <w:p>
      <w:pPr>
        <w:pStyle w:val="Heading1"/>
      </w:pPr>
      <w:r>
        <w:rPr>
          <w:rFonts w:ascii="Noto Sans CJK SC" w:hAnsi="Noto Sans CJK SC" w:eastAsia="Noto Sans CJK SC"/>
        </w:rPr>
        <w:t>先回答So what：誰在真偽未明時把事件接住？</w:t>
      </w:r>
    </w:p>
    <w:p>
      <w:pPr>
        <w:spacing w:line="324" w:lineRule="auto" w:after="100"/>
      </w:pPr>
      <w:r>
        <w:rPr>
          <w:rFonts w:ascii="Noto Sans CJK SC" w:hAnsi="Noto Sans CJK SC" w:eastAsia="Noto Sans CJK SC"/>
        </w:rPr>
        <w:t>本文寫給誰？不是最後下達軍令或作成司法裁判的人，而是坐在會議桌前，必須在資訊不完整時寫出第一份情勢研判與處置建議的人。他們可能是國安局、調查局、資安署、國家資通安全研究院、國防部或行政院相關單位的研究員與中階行政官員。他們沒有最後決定權，卻必須先把一段突然出現的影音，翻譯成政府可以辨識、分工與處理的事件。</w:t>
      </w:r>
    </w:p>
    <w:p>
      <w:pPr>
        <w:pStyle w:val="Heading2"/>
      </w:pPr>
      <w:r>
        <w:rPr>
          <w:rFonts w:ascii="Noto Sans CJK SC" w:hAnsi="Noto Sans CJK SC" w:eastAsia="Noto Sans CJK SC"/>
        </w:rPr>
        <w:t>第一時間：先控制危害，再展開制度分析</w:t>
      </w:r>
    </w:p>
    <w:p>
      <w:pPr>
        <w:spacing w:line="324" w:lineRule="auto" w:after="100"/>
      </w:pPr>
      <w:r>
        <w:rPr>
          <w:rFonts w:ascii="Noto Sans CJK SC" w:hAnsi="Noto Sans CJK SC" w:eastAsia="Noto Sans CJK SC"/>
        </w:rPr>
        <w:t>疑似深偽正在散布時，第一線人員不可能等到全部理論分析完成才行動。較穩健的順序是先保存原始影音、網址、帳號、時間與傳播紀錄，再由被冒用機關或人物確認是否為正式訊息，並儘快發布權威性澄清及公開查核狀態。在法律授權或平台服務規範容許的範圍內，可以採取暫時標示、降低放大或其他可回復措施，同時指定暫時主責窗口。若後續出現詐欺、恐嚇、政府系統入侵、協同帳號、境外指揮或軍事通信異常，事件再分別轉入檢警調、資安、國安或國防程序。第一時間要控制的是不可逆後果，不是尚未判斷便永久刪除內容或處罰行為人。</w:t>
      </w:r>
    </w:p>
    <w:tbl>
      <w:tblPr>
        <w:tblStyle w:val="TableGrid"/>
        <w:tblW w:type="auto" w:w="0"/>
        <w:tblLayout w:type="fixed"/>
        <w:tblLook w:firstColumn="1" w:firstRow="1" w:lastColumn="0" w:lastRow="0" w:noHBand="0" w:noVBand="1" w:val="04A0"/>
      </w:tblPr>
      <w:tblGrid>
        <w:gridCol w:w="2268"/>
        <w:gridCol w:w="2268"/>
        <w:gridCol w:w="2268"/>
        <w:gridCol w:w="2268"/>
      </w:tblGrid>
      <w:tr>
        <w:trPr>
          <w:tblHeader/>
        </w:trPr>
        <w:tc>
          <w:tcPr>
            <w:tcW w:type="dxa" w:w="2088"/>
            <w:vAlign w:val="center"/>
            <w:tcMar>
              <w:top w:w="80" w:type="dxa"/>
              <w:start w:w="90" w:type="dxa"/>
              <w:bottom w:w="80" w:type="dxa"/>
              <w:end w:w="90" w:type="dxa"/>
            </w:tcMar>
            <w:shd w:fill="D7E8F5"/>
          </w:tcPr>
          <w:p>
            <w:pPr>
              <w:spacing w:before="0" w:after="0" w:line="252" w:lineRule="auto"/>
              <w:jc w:val="left"/>
            </w:pPr>
            <w:r>
              <w:rPr>
                <w:rFonts w:ascii="Noto Sans CJK SC" w:hAnsi="Noto Sans CJK SC" w:eastAsia="Noto Sans CJK SC"/>
                <w:b/>
                <w:color w:val="173A63"/>
                <w:sz w:val="17"/>
              </w:rPr>
              <w:t>適用身分</w:t>
            </w:r>
          </w:p>
        </w:tc>
        <w:tc>
          <w:tcPr>
            <w:tcW w:type="dxa" w:w="2592"/>
            <w:vAlign w:val="center"/>
            <w:tcMar>
              <w:top w:w="80" w:type="dxa"/>
              <w:start w:w="90" w:type="dxa"/>
              <w:bottom w:w="80" w:type="dxa"/>
              <w:end w:w="90" w:type="dxa"/>
            </w:tcMar>
            <w:shd w:fill="D7E8F5"/>
          </w:tcPr>
          <w:p>
            <w:pPr>
              <w:spacing w:before="0" w:after="0" w:line="252" w:lineRule="auto"/>
              <w:jc w:val="left"/>
            </w:pPr>
            <w:r>
              <w:rPr>
                <w:rFonts w:ascii="Noto Sans CJK SC" w:hAnsi="Noto Sans CJK SC" w:eastAsia="Noto Sans CJK SC"/>
                <w:b/>
                <w:color w:val="173A63"/>
                <w:sz w:val="17"/>
              </w:rPr>
              <w:t>典型職責</w:t>
            </w:r>
          </w:p>
        </w:tc>
        <w:tc>
          <w:tcPr>
            <w:tcW w:type="dxa" w:w="2088"/>
            <w:vAlign w:val="center"/>
            <w:tcMar>
              <w:top w:w="80" w:type="dxa"/>
              <w:start w:w="90" w:type="dxa"/>
              <w:bottom w:w="80" w:type="dxa"/>
              <w:end w:w="90" w:type="dxa"/>
            </w:tcMar>
            <w:shd w:fill="D7E8F5"/>
          </w:tcPr>
          <w:p>
            <w:pPr>
              <w:spacing w:before="0" w:after="0" w:line="252" w:lineRule="auto"/>
              <w:jc w:val="left"/>
            </w:pPr>
            <w:r>
              <w:rPr>
                <w:rFonts w:ascii="Noto Sans CJK SC" w:hAnsi="Noto Sans CJK SC" w:eastAsia="Noto Sans CJK SC"/>
                <w:b/>
                <w:color w:val="173A63"/>
                <w:sz w:val="17"/>
              </w:rPr>
              <w:t>建議閱讀程度</w:t>
            </w:r>
          </w:p>
        </w:tc>
        <w:tc>
          <w:tcPr>
            <w:tcW w:type="dxa" w:w="2448"/>
            <w:vAlign w:val="center"/>
            <w:tcMar>
              <w:top w:w="80" w:type="dxa"/>
              <w:start w:w="90" w:type="dxa"/>
              <w:bottom w:w="80" w:type="dxa"/>
              <w:end w:w="90" w:type="dxa"/>
            </w:tcMar>
            <w:shd w:fill="D7E8F5"/>
          </w:tcPr>
          <w:p>
            <w:pPr>
              <w:spacing w:before="0" w:after="0" w:line="252" w:lineRule="auto"/>
              <w:jc w:val="left"/>
            </w:pPr>
            <w:r>
              <w:rPr>
                <w:rFonts w:ascii="Noto Sans CJK SC" w:hAnsi="Noto Sans CJK SC" w:eastAsia="Noto Sans CJK SC"/>
                <w:b/>
                <w:color w:val="173A63"/>
                <w:sz w:val="17"/>
              </w:rPr>
              <w:t>可直接取得的用途</w:t>
            </w:r>
          </w:p>
        </w:tc>
      </w:tr>
      <w:tr>
        <w:tc>
          <w:tcPr>
            <w:tcW w:type="dxa" w:w="2088"/>
            <w:vAlign w:val="center"/>
            <w:tcMar>
              <w:top w:w="80" w:type="dxa"/>
              <w:start w:w="90" w:type="dxa"/>
              <w:bottom w:w="80" w:type="dxa"/>
              <w:end w:w="90" w:type="dxa"/>
            </w:tcMar>
          </w:tcPr>
          <w:p>
            <w:pPr>
              <w:spacing w:before="0" w:after="0" w:line="252" w:lineRule="auto"/>
              <w:jc w:val="left"/>
            </w:pPr>
            <w:r>
              <w:rPr>
                <w:rFonts w:ascii="Noto Sans CJK SC" w:hAnsi="Noto Sans CJK SC" w:eastAsia="Noto Sans CJK SC"/>
                <w:sz w:val="16"/>
              </w:rPr>
              <w:t>國安局、調查局研究員與分析人員</w:t>
            </w:r>
          </w:p>
        </w:tc>
        <w:tc>
          <w:tcPr>
            <w:tcW w:type="dxa" w:w="2592"/>
            <w:vAlign w:val="center"/>
            <w:tcMar>
              <w:top w:w="80" w:type="dxa"/>
              <w:start w:w="90" w:type="dxa"/>
              <w:bottom w:w="80" w:type="dxa"/>
              <w:end w:w="90" w:type="dxa"/>
            </w:tcMar>
          </w:tcPr>
          <w:p>
            <w:pPr>
              <w:spacing w:before="0" w:after="0" w:line="252" w:lineRule="auto"/>
              <w:jc w:val="left"/>
            </w:pPr>
            <w:r>
              <w:rPr>
                <w:rFonts w:ascii="Noto Sans CJK SC" w:hAnsi="Noto Sans CJK SC" w:eastAsia="Noto Sans CJK SC"/>
                <w:sz w:val="16"/>
              </w:rPr>
              <w:t>境外來源、協同操弄、犯罪與國安關聯研判</w:t>
            </w:r>
          </w:p>
        </w:tc>
        <w:tc>
          <w:tcPr>
            <w:tcW w:type="dxa" w:w="2088"/>
            <w:vAlign w:val="center"/>
            <w:tcMar>
              <w:top w:w="80" w:type="dxa"/>
              <w:start w:w="90" w:type="dxa"/>
              <w:bottom w:w="80" w:type="dxa"/>
              <w:end w:w="90" w:type="dxa"/>
            </w:tcMar>
          </w:tcPr>
          <w:p>
            <w:pPr>
              <w:spacing w:before="0" w:after="0" w:line="252" w:lineRule="auto"/>
              <w:jc w:val="left"/>
            </w:pPr>
            <w:r>
              <w:rPr>
                <w:rFonts w:ascii="Noto Sans CJK SC" w:hAnsi="Noto Sans CJK SC" w:eastAsia="Noto Sans CJK SC"/>
                <w:sz w:val="16"/>
              </w:rPr>
              <w:t>情境章、四條治理鏈、案例與結論</w:t>
            </w:r>
          </w:p>
        </w:tc>
        <w:tc>
          <w:tcPr>
            <w:tcW w:type="dxa" w:w="2448"/>
            <w:vAlign w:val="center"/>
            <w:tcMar>
              <w:top w:w="80" w:type="dxa"/>
              <w:start w:w="90" w:type="dxa"/>
              <w:bottom w:w="80" w:type="dxa"/>
              <w:end w:w="90" w:type="dxa"/>
            </w:tcMar>
          </w:tcPr>
          <w:p>
            <w:pPr>
              <w:spacing w:before="0" w:after="0" w:line="252" w:lineRule="auto"/>
              <w:jc w:val="left"/>
            </w:pPr>
            <w:r>
              <w:rPr>
                <w:rFonts w:ascii="Noto Sans CJK SC" w:hAnsi="Noto Sans CJK SC" w:eastAsia="Noto Sans CJK SC"/>
                <w:sz w:val="16"/>
              </w:rPr>
              <w:t>事件分類、證據缺口及國安升級建議</w:t>
            </w:r>
          </w:p>
        </w:tc>
      </w:tr>
      <w:tr>
        <w:tc>
          <w:tcPr>
            <w:tcW w:type="dxa" w:w="2088"/>
            <w:vAlign w:val="center"/>
            <w:tcMar>
              <w:top w:w="80" w:type="dxa"/>
              <w:start w:w="90" w:type="dxa"/>
              <w:bottom w:w="80" w:type="dxa"/>
              <w:end w:w="90" w:type="dxa"/>
            </w:tcMar>
            <w:shd w:fill="F4F7FA"/>
          </w:tcPr>
          <w:p>
            <w:pPr>
              <w:spacing w:before="0" w:after="0" w:line="252" w:lineRule="auto"/>
              <w:jc w:val="left"/>
            </w:pPr>
            <w:r>
              <w:rPr>
                <w:rFonts w:ascii="Noto Sans CJK SC" w:hAnsi="Noto Sans CJK SC" w:eastAsia="Noto Sans CJK SC"/>
                <w:sz w:val="16"/>
              </w:rPr>
              <w:t>資安署、資安院技術與政策人員</w:t>
            </w:r>
          </w:p>
        </w:tc>
        <w:tc>
          <w:tcPr>
            <w:tcW w:type="dxa" w:w="2592"/>
            <w:vAlign w:val="center"/>
            <w:tcMar>
              <w:top w:w="80" w:type="dxa"/>
              <w:start w:w="90" w:type="dxa"/>
              <w:bottom w:w="80" w:type="dxa"/>
              <w:end w:w="90" w:type="dxa"/>
            </w:tcMar>
            <w:shd w:fill="F4F7FA"/>
          </w:tcPr>
          <w:p>
            <w:pPr>
              <w:spacing w:before="0" w:after="0" w:line="252" w:lineRule="auto"/>
              <w:jc w:val="left"/>
            </w:pPr>
            <w:r>
              <w:rPr>
                <w:rFonts w:ascii="Noto Sans CJK SC" w:hAnsi="Noto Sans CJK SC" w:eastAsia="Noto Sans CJK SC"/>
                <w:sz w:val="16"/>
              </w:rPr>
              <w:t>政府系統通報、鑑識支援、內容溯源與資安協調</w:t>
            </w:r>
          </w:p>
        </w:tc>
        <w:tc>
          <w:tcPr>
            <w:tcW w:type="dxa" w:w="2088"/>
            <w:vAlign w:val="center"/>
            <w:tcMar>
              <w:top w:w="80" w:type="dxa"/>
              <w:start w:w="90" w:type="dxa"/>
              <w:bottom w:w="80" w:type="dxa"/>
              <w:end w:w="90" w:type="dxa"/>
            </w:tcMar>
            <w:shd w:fill="F4F7FA"/>
          </w:tcPr>
          <w:p>
            <w:pPr>
              <w:spacing w:before="0" w:after="0" w:line="252" w:lineRule="auto"/>
              <w:jc w:val="left"/>
            </w:pPr>
            <w:r>
              <w:rPr>
                <w:rFonts w:ascii="Noto Sans CJK SC" w:hAnsi="Noto Sans CJK SC" w:eastAsia="Noto Sans CJK SC"/>
                <w:sz w:val="16"/>
              </w:rPr>
              <w:t>圖2、方法章及分級應變章</w:t>
            </w:r>
          </w:p>
        </w:tc>
        <w:tc>
          <w:tcPr>
            <w:tcW w:type="dxa" w:w="2448"/>
            <w:vAlign w:val="center"/>
            <w:tcMar>
              <w:top w:w="80" w:type="dxa"/>
              <w:start w:w="90" w:type="dxa"/>
              <w:bottom w:w="80" w:type="dxa"/>
              <w:end w:w="90" w:type="dxa"/>
            </w:tcMar>
            <w:shd w:fill="F4F7FA"/>
          </w:tcPr>
          <w:p>
            <w:pPr>
              <w:spacing w:before="0" w:after="0" w:line="252" w:lineRule="auto"/>
              <w:jc w:val="left"/>
            </w:pPr>
            <w:r>
              <w:rPr>
                <w:rFonts w:ascii="Noto Sans CJK SC" w:hAnsi="Noto Sans CJK SC" w:eastAsia="Noto Sans CJK SC"/>
                <w:sz w:val="16"/>
              </w:rPr>
              <w:t>技術可信度、資安穿透與應變界面</w:t>
            </w:r>
          </w:p>
        </w:tc>
      </w:tr>
      <w:tr>
        <w:tc>
          <w:tcPr>
            <w:tcW w:type="dxa" w:w="2088"/>
            <w:vAlign w:val="center"/>
            <w:tcMar>
              <w:top w:w="80" w:type="dxa"/>
              <w:start w:w="90" w:type="dxa"/>
              <w:bottom w:w="80" w:type="dxa"/>
              <w:end w:w="90" w:type="dxa"/>
            </w:tcMar>
          </w:tcPr>
          <w:p>
            <w:pPr>
              <w:spacing w:before="0" w:after="0" w:line="252" w:lineRule="auto"/>
              <w:jc w:val="left"/>
            </w:pPr>
            <w:r>
              <w:rPr>
                <w:rFonts w:ascii="Noto Sans CJK SC" w:hAnsi="Noto Sans CJK SC" w:eastAsia="Noto Sans CJK SC"/>
                <w:sz w:val="16"/>
              </w:rPr>
              <w:t>國防部情報、通信與政策幕僚</w:t>
            </w:r>
          </w:p>
        </w:tc>
        <w:tc>
          <w:tcPr>
            <w:tcW w:type="dxa" w:w="2592"/>
            <w:vAlign w:val="center"/>
            <w:tcMar>
              <w:top w:w="80" w:type="dxa"/>
              <w:start w:w="90" w:type="dxa"/>
              <w:bottom w:w="80" w:type="dxa"/>
              <w:end w:w="90" w:type="dxa"/>
            </w:tcMar>
          </w:tcPr>
          <w:p>
            <w:pPr>
              <w:spacing w:before="0" w:after="0" w:line="252" w:lineRule="auto"/>
              <w:jc w:val="left"/>
            </w:pPr>
            <w:r>
              <w:rPr>
                <w:rFonts w:ascii="Noto Sans CJK SC" w:hAnsi="Noto Sans CJK SC" w:eastAsia="Noto Sans CJK SC"/>
                <w:sz w:val="16"/>
              </w:rPr>
              <w:t>判斷是否影響戰備、軍事通信或正式指揮認證</w:t>
            </w:r>
          </w:p>
        </w:tc>
        <w:tc>
          <w:tcPr>
            <w:tcW w:type="dxa" w:w="2088"/>
            <w:vAlign w:val="center"/>
            <w:tcMar>
              <w:top w:w="80" w:type="dxa"/>
              <w:start w:w="90" w:type="dxa"/>
              <w:bottom w:w="80" w:type="dxa"/>
              <w:end w:w="90" w:type="dxa"/>
            </w:tcMar>
          </w:tcPr>
          <w:p>
            <w:pPr>
              <w:spacing w:before="0" w:after="0" w:line="252" w:lineRule="auto"/>
              <w:jc w:val="left"/>
            </w:pPr>
            <w:r>
              <w:rPr>
                <w:rFonts w:ascii="Noto Sans CJK SC" w:hAnsi="Noto Sans CJK SC" w:eastAsia="Noto Sans CJK SC"/>
                <w:sz w:val="16"/>
              </w:rPr>
              <w:t>思想實驗、權威鏈與升級門檻</w:t>
            </w:r>
          </w:p>
        </w:tc>
        <w:tc>
          <w:tcPr>
            <w:tcW w:type="dxa" w:w="2448"/>
            <w:vAlign w:val="center"/>
            <w:tcMar>
              <w:top w:w="80" w:type="dxa"/>
              <w:start w:w="90" w:type="dxa"/>
              <w:bottom w:w="80" w:type="dxa"/>
              <w:end w:w="90" w:type="dxa"/>
            </w:tcMar>
          </w:tcPr>
          <w:p>
            <w:pPr>
              <w:spacing w:before="0" w:after="0" w:line="252" w:lineRule="auto"/>
              <w:jc w:val="left"/>
            </w:pPr>
            <w:r>
              <w:rPr>
                <w:rFonts w:ascii="Noto Sans CJK SC" w:hAnsi="Noto Sans CJK SC" w:eastAsia="Noto Sans CJK SC"/>
                <w:sz w:val="16"/>
              </w:rPr>
              <w:t>區分公開冒名與軍事指揮事件</w:t>
            </w:r>
          </w:p>
        </w:tc>
      </w:tr>
      <w:tr>
        <w:tc>
          <w:tcPr>
            <w:tcW w:type="dxa" w:w="2088"/>
            <w:vAlign w:val="center"/>
            <w:tcMar>
              <w:top w:w="80" w:type="dxa"/>
              <w:start w:w="90" w:type="dxa"/>
              <w:bottom w:w="80" w:type="dxa"/>
              <w:end w:w="90" w:type="dxa"/>
            </w:tcMar>
            <w:shd w:fill="F4F7FA"/>
          </w:tcPr>
          <w:p>
            <w:pPr>
              <w:spacing w:before="0" w:after="0" w:line="252" w:lineRule="auto"/>
              <w:jc w:val="left"/>
            </w:pPr>
            <w:r>
              <w:rPr>
                <w:rFonts w:ascii="Noto Sans CJK SC" w:hAnsi="Noto Sans CJK SC" w:eastAsia="Noto Sans CJK SC"/>
                <w:sz w:val="16"/>
              </w:rPr>
              <w:t>行政院跨部會協調與中階主管</w:t>
            </w:r>
          </w:p>
        </w:tc>
        <w:tc>
          <w:tcPr>
            <w:tcW w:type="dxa" w:w="2592"/>
            <w:vAlign w:val="center"/>
            <w:tcMar>
              <w:top w:w="80" w:type="dxa"/>
              <w:start w:w="90" w:type="dxa"/>
              <w:bottom w:w="80" w:type="dxa"/>
              <w:end w:w="90" w:type="dxa"/>
            </w:tcMar>
            <w:shd w:fill="F4F7FA"/>
          </w:tcPr>
          <w:p>
            <w:pPr>
              <w:spacing w:before="0" w:after="0" w:line="252" w:lineRule="auto"/>
              <w:jc w:val="left"/>
            </w:pPr>
            <w:r>
              <w:rPr>
                <w:rFonts w:ascii="Noto Sans CJK SC" w:hAnsi="Noto Sans CJK SC" w:eastAsia="Noto Sans CJK SC"/>
                <w:sz w:val="16"/>
              </w:rPr>
              <w:t>指定暫時主責、整合部會、設定期限與升降級條件</w:t>
            </w:r>
          </w:p>
        </w:tc>
        <w:tc>
          <w:tcPr>
            <w:tcW w:type="dxa" w:w="2088"/>
            <w:vAlign w:val="center"/>
            <w:tcMar>
              <w:top w:w="80" w:type="dxa"/>
              <w:start w:w="90" w:type="dxa"/>
              <w:bottom w:w="80" w:type="dxa"/>
              <w:end w:w="90" w:type="dxa"/>
            </w:tcMar>
            <w:shd w:fill="F4F7FA"/>
          </w:tcPr>
          <w:p>
            <w:pPr>
              <w:spacing w:before="0" w:after="0" w:line="252" w:lineRule="auto"/>
              <w:jc w:val="left"/>
            </w:pPr>
            <w:r>
              <w:rPr>
                <w:rFonts w:ascii="Noto Sans CJK SC" w:hAnsi="Noto Sans CJK SC" w:eastAsia="Noto Sans CJK SC"/>
                <w:sz w:val="16"/>
              </w:rPr>
              <w:t>先讀摘要、圖2、表1與結論</w:t>
            </w:r>
          </w:p>
        </w:tc>
        <w:tc>
          <w:tcPr>
            <w:tcW w:type="dxa" w:w="2448"/>
            <w:vAlign w:val="center"/>
            <w:tcMar>
              <w:top w:w="80" w:type="dxa"/>
              <w:start w:w="90" w:type="dxa"/>
              <w:bottom w:w="80" w:type="dxa"/>
              <w:end w:w="90" w:type="dxa"/>
            </w:tcMar>
            <w:shd w:fill="F4F7FA"/>
          </w:tcPr>
          <w:p>
            <w:pPr>
              <w:spacing w:before="0" w:after="0" w:line="252" w:lineRule="auto"/>
              <w:jc w:val="left"/>
            </w:pPr>
            <w:r>
              <w:rPr>
                <w:rFonts w:ascii="Noto Sans CJK SC" w:hAnsi="Noto Sans CJK SC" w:eastAsia="Noto Sans CJK SC"/>
                <w:sz w:val="16"/>
              </w:rPr>
              <w:t>一頁式決策摘要與跨機關權責矩陣</w:t>
            </w:r>
          </w:p>
        </w:tc>
      </w:tr>
      <w:tr>
        <w:tc>
          <w:tcPr>
            <w:tcW w:type="dxa" w:w="2088"/>
            <w:vAlign w:val="center"/>
            <w:tcMar>
              <w:top w:w="80" w:type="dxa"/>
              <w:start w:w="90" w:type="dxa"/>
              <w:bottom w:w="80" w:type="dxa"/>
              <w:end w:w="90" w:type="dxa"/>
            </w:tcMar>
          </w:tcPr>
          <w:p>
            <w:pPr>
              <w:spacing w:before="0" w:after="0" w:line="252" w:lineRule="auto"/>
              <w:jc w:val="left"/>
            </w:pPr>
            <w:r>
              <w:rPr>
                <w:rFonts w:ascii="Noto Sans CJK SC" w:hAnsi="Noto Sans CJK SC" w:eastAsia="Noto Sans CJK SC"/>
                <w:sz w:val="16"/>
              </w:rPr>
              <w:t>目的事業主管機關及執法人員</w:t>
            </w:r>
          </w:p>
        </w:tc>
        <w:tc>
          <w:tcPr>
            <w:tcW w:type="dxa" w:w="2592"/>
            <w:vAlign w:val="center"/>
            <w:tcMar>
              <w:top w:w="80" w:type="dxa"/>
              <w:start w:w="90" w:type="dxa"/>
              <w:bottom w:w="80" w:type="dxa"/>
              <w:end w:w="90" w:type="dxa"/>
            </w:tcMar>
          </w:tcPr>
          <w:p>
            <w:pPr>
              <w:spacing w:before="0" w:after="0" w:line="252" w:lineRule="auto"/>
              <w:jc w:val="left"/>
            </w:pPr>
            <w:r>
              <w:rPr>
                <w:rFonts w:ascii="Noto Sans CJK SC" w:hAnsi="Noto Sans CJK SC" w:eastAsia="Noto Sans CJK SC"/>
                <w:sz w:val="16"/>
              </w:rPr>
              <w:t>依具體危害處理選舉、廣電、詐欺、性影像或公共秩序</w:t>
            </w:r>
          </w:p>
        </w:tc>
        <w:tc>
          <w:tcPr>
            <w:tcW w:type="dxa" w:w="2088"/>
            <w:vAlign w:val="center"/>
            <w:tcMar>
              <w:top w:w="80" w:type="dxa"/>
              <w:start w:w="90" w:type="dxa"/>
              <w:bottom w:w="80" w:type="dxa"/>
              <w:end w:w="90" w:type="dxa"/>
            </w:tcMar>
          </w:tcPr>
          <w:p>
            <w:pPr>
              <w:spacing w:before="0" w:after="0" w:line="252" w:lineRule="auto"/>
              <w:jc w:val="left"/>
            </w:pPr>
            <w:r>
              <w:rPr>
                <w:rFonts w:ascii="Noto Sans CJK SC" w:hAnsi="Noto Sans CJK SC" w:eastAsia="Noto Sans CJK SC"/>
                <w:sz w:val="16"/>
              </w:rPr>
              <w:t>依案件選讀相關案例及法制段落</w:t>
            </w:r>
          </w:p>
        </w:tc>
        <w:tc>
          <w:tcPr>
            <w:tcW w:type="dxa" w:w="2448"/>
            <w:vAlign w:val="center"/>
            <w:tcMar>
              <w:top w:w="80" w:type="dxa"/>
              <w:start w:w="90" w:type="dxa"/>
              <w:bottom w:w="80" w:type="dxa"/>
              <w:end w:w="90" w:type="dxa"/>
            </w:tcMar>
          </w:tcPr>
          <w:p>
            <w:pPr>
              <w:spacing w:before="0" w:after="0" w:line="252" w:lineRule="auto"/>
              <w:jc w:val="left"/>
            </w:pPr>
            <w:r>
              <w:rPr>
                <w:rFonts w:ascii="Noto Sans CJK SC" w:hAnsi="Noto Sans CJK SC" w:eastAsia="Noto Sans CJK SC"/>
                <w:sz w:val="16"/>
              </w:rPr>
              <w:t>通報、保存證據、轉介及依法處置</w:t>
            </w:r>
          </w:p>
        </w:tc>
      </w:tr>
    </w:tbl>
    <w:p>
      <w:pPr>
        <w:pStyle w:val="Heading2"/>
      </w:pPr>
      <w:r>
        <w:rPr>
          <w:rFonts w:ascii="Noto Sans CJK SC" w:hAnsi="Noto Sans CJK SC" w:eastAsia="Noto Sans CJK SC"/>
        </w:rPr>
        <w:t>適用範圍與使用邊界</w:t>
      </w:r>
    </w:p>
    <w:p>
      <w:pPr>
        <w:spacing w:line="324" w:lineRule="auto" w:after="100"/>
      </w:pPr>
      <w:r>
        <w:rPr>
          <w:rFonts w:ascii="Noto Sans CJK SC" w:hAnsi="Noto Sans CJK SC" w:eastAsia="Noto Sans CJK SC"/>
        </w:rPr>
        <w:t>本架構適用於AI生成或操弄內容冒用國家元首、政府機關、高階官員、候選人或其他具有公共影響力者，並可能涉及平台傳播、行政應變、犯罪偵查、政府資安、境外操弄或國家安全的事件。它不能取代影音鑑識、刑事證據判斷、法院裁判、軍事命令認證或法定下架程序。深偽也不因內容提到戰爭、選舉或國家安全，就自動成為最高層級事件；必須檢查可信度、傳播規模、行為誘發、制度穿透及不可逆後果。</w:t>
      </w:r>
    </w:p>
    <w:tbl>
      <w:tblPr>
        <w:tblW w:type="auto" w:w="0"/>
        <w:tblLook w:firstColumn="1" w:firstRow="1" w:lastColumn="0" w:lastRow="0" w:noHBand="0" w:noVBand="1" w:val="04A0"/>
      </w:tblPr>
      <w:tblGrid>
        <w:gridCol w:w="9072"/>
      </w:tblGrid>
      <w:tr>
        <w:trPr>
          <w:tblHeader w:val="true"/>
        </w:trPr>
        <w:tc>
          <w:tcPr>
            <w:tcW w:type="dxa" w:w="9072"/>
            <w:shd w:fill="EEF4FA"/>
            <w:tcMar>
              <w:top w:w="120" w:type="dxa"/>
              <w:start w:w="150" w:type="dxa"/>
              <w:bottom w:w="120" w:type="dxa"/>
              <w:end w:w="150" w:type="dxa"/>
            </w:tcMar>
          </w:tcPr>
          <w:p>
            <w:pPr>
              <w:spacing w:after="0"/>
            </w:pPr>
            <w:r>
              <w:rPr>
                <w:rFonts w:ascii="Noto Sans CJK SC" w:hAnsi="Noto Sans CJK SC" w:eastAsia="Noto Sans CJK SC"/>
                <w:b/>
                <w:color w:val="173A63"/>
              </w:rPr>
              <w:t>術語界定｜</w:t>
            </w:r>
            <w:r>
              <w:rPr>
                <w:rFonts w:ascii="Noto Sans CJK SC" w:hAnsi="Noto Sans CJK SC" w:eastAsia="Noto Sans CJK SC"/>
              </w:rPr>
              <w:t>本文所稱「公共深偽」，係指以AI生成或操弄聲音、影像或影音內容，冒用國家元首、政府機關、高階官員、候選人或其他具有公共影響力者，並可能進入公共傳播或政府應變程序。「AI冒名訊息」是較廣的事件描述；選舉法所稱「深度偽造」則仍以各該法定定義與構成要件為準。本文的分析用語不取代法律定義。</w:t>
            </w:r>
          </w:p>
        </w:tc>
      </w:tr>
    </w:tbl>
    <w:p>
      <w:pPr>
        <w:pStyle w:val="Heading2"/>
      </w:pPr>
      <w:r>
        <w:rPr>
          <w:rFonts w:ascii="Noto Sans CJK SC" w:hAnsi="Noto Sans CJK SC" w:eastAsia="Noto Sans CJK SC"/>
        </w:rPr>
        <w:t>本文可以轉化的四項行政產出</w:t>
      </w:r>
    </w:p>
    <w:p>
      <w:pPr>
        <w:spacing w:line="324" w:lineRule="auto" w:after="100"/>
      </w:pPr>
      <w:r>
        <w:rPr>
          <w:rFonts w:ascii="Noto Sans CJK SC" w:hAnsi="Noto Sans CJK SC" w:eastAsia="Noto Sans CJK SC"/>
        </w:rPr>
        <w:t>本文可轉化為四項工作文件：一頁式事件座標卡、可信度×後果分級表、跨機關權責與升級矩陣，以及事件後治理審計報告。研究員與分析人員負責把原始事件整理為可供決策的共同情勢圖；主管依此指定主責及協力機關；第一線人員仍依各自法定程序與SOP行動。</w:t>
      </w:r>
    </w:p>
    <w:p>
      <w:r>
        <w:rPr>
          <w:rFonts w:ascii="Noto Sans CJK SC" w:hAnsi="Noto Sans CJK SC" w:eastAsia="Noto Sans CJK SC"/>
        </w:rPr>
      </w:r>
    </w:p>
    <w:p>
      <w:pPr>
        <w:pStyle w:val="Heading1"/>
      </w:pPr>
      <w:r>
        <w:rPr>
          <w:rFonts w:ascii="Noto Sans CJK SC" w:hAnsi="Noto Sans CJK SC" w:eastAsia="Noto Sans CJK SC"/>
        </w:rPr>
        <w:t>閱讀指南：先記住這一句話</w:t>
      </w:r>
    </w:p>
    <w:p>
      <w:pPr>
        <w:spacing w:line="324" w:lineRule="auto" w:after="100"/>
        <w:ind w:firstLine="420"/>
      </w:pPr>
      <w:r>
        <w:rPr>
          <w:rFonts w:ascii="Noto Sans CJK SC" w:hAnsi="Noto Sans CJK SC" w:eastAsia="Noto Sans CJK SC"/>
        </w:rPr>
        <w:t>先問事件可能造成什麼後果，再問目前證據有多可信。二十五座標負責定位；四條治理鏈追蹤誰接手；七項治理審計則在事後檢查制度留下了什麼。</w:t>
      </w:r>
    </w:p>
    <w:p>
      <w:pPr>
        <w:spacing w:line="324" w:lineRule="auto" w:after="100"/>
        <w:ind w:firstLine="420"/>
      </w:pPr>
      <w:r>
        <w:rPr>
          <w:rFonts w:ascii="Noto Sans CJK SC" w:hAnsi="Noto Sans CJK SC" w:eastAsia="Noto Sans CJK SC"/>
        </w:rPr>
        <w:t>如果只想掌握實務用途，可先讀「先回答So what」、壹、陸與柒章；負責情勢研判與跨機關協調者再讀圖2、表1及肆章案例；研究者則可進一步閱讀貳、參章與附錄。</w:t>
      </w:r>
    </w:p>
    <w:p>
      <w:pPr>
        <w:spacing w:line="324" w:lineRule="auto" w:after="100"/>
        <w:ind w:firstLine="420"/>
      </w:pPr>
      <w:r>
        <w:rPr>
          <w:rFonts w:ascii="Noto Sans CJK SC" w:hAnsi="Noto Sans CJK SC" w:eastAsia="Noto Sans CJK SC"/>
        </w:rPr>
        <w:t>最直觀的入口不是先問深偽歸數發部、法務部、NCC或國科會，而是先問它造成了什麼危害。看平台與政府資安，進入數位與資安體系；看犯罪與追責，進入檢警調；看廣電傳播，涉及NCC；看選舉，涉及中選會；看境外及國安，由國安體系統合；看軍事指揮，才進入國防體系。多項危害同時發生時，行政院必須協調暫時主責與升級條件。</w:t>
      </w:r>
    </w:p>
    <w:p>
      <w:pPr>
        <w:pStyle w:val="Heading1"/>
        <w:spacing w:before="0" w:after="120"/>
      </w:pPr>
      <w:r>
        <w:rPr>
          <w:rFonts w:ascii="Noto Sans CJK SC" w:hAnsi="Noto Sans CJK SC" w:eastAsia="Noto Sans CJK SC"/>
        </w:rPr>
        <w:t>壹、緒論</w:t>
      </w:r>
    </w:p>
    <w:p>
      <w:pPr>
        <w:pStyle w:val="Heading2"/>
        <w:spacing w:before="0" w:after="120"/>
      </w:pPr>
      <w:r>
        <w:rPr>
          <w:rFonts w:ascii="Noto Sans CJK SC" w:hAnsi="Noto Sans CJK SC" w:eastAsia="Noto Sans CJK SC"/>
        </w:rPr>
        <w:t>一、問題意識：真偽未明時，誰先把事件接住？</w:t>
      </w:r>
    </w:p>
    <w:p>
      <w:pPr>
        <w:spacing w:line="324" w:lineRule="auto" w:after="100"/>
      </w:pPr>
      <w:r>
        <w:rPr>
          <w:rFonts w:ascii="Noto Sans CJK SC" w:hAnsi="Noto Sans CJK SC" w:eastAsia="Noto Sans CJK SC"/>
        </w:rPr>
        <w:t>假設臺海情勢緊張期間，網路突然出現一段冒用總統聲音與影像的影片，宣稱政府即將緊急動員、部分地區應撤離，金融市場次日暫停交易。總統府尚未完成確認，媒體已開始轉載，平台也不知道是否應限制傳播。此刻先遇到困難的，通常不是總統或參謀總長，而是必須立即提出情勢研判的研究員、資安人員、調查官與行政幕僚。他們必須回答：這只是諷刺、冒名或詐欺，還是境外操弄、政府資安事件或重大國安危機？在答案尚未形成以前，誰先澄清、誰保存證據、誰聯繫平台，又由誰決定升級？</w:t>
      </w:r>
    </w:p>
    <w:p>
      <w:pPr>
        <w:spacing w:before="0" w:after="100" w:line="324" w:lineRule="auto"/>
        <w:ind w:firstLine="420"/>
        <w:jc w:val="both"/>
      </w:pPr>
      <w:r>
        <w:rPr>
          <w:rFonts w:ascii="Noto Sans CJK SC" w:hAnsi="Noto Sans CJK SC" w:eastAsia="Noto Sans CJK SC"/>
        </w:rPr>
        <w:t>人權、透明、民主誠信與人類監督等國際原則仍然重要，但在本文中，它們不是遙遠的開場白，而是限制緊急處置的界線。政府不能因危害尚未完全證實便袖手旁觀，也不能因想像最壞情境便全面封鎖資訊。措施必須能夠隨新證據升級或解除，並且說明其必要性、比例與法律依據。所謂制度轉譯，首先就是把原則轉成真偽未明時仍可執行、也可被追問的行政判斷。（UNESCO, 2021）</w:t>
      </w:r>
    </w:p>
    <w:p>
      <w:pPr>
        <w:spacing w:before="0" w:after="100" w:line="324" w:lineRule="auto"/>
        <w:ind w:firstLine="420"/>
        <w:jc w:val="both"/>
      </w:pPr>
      <w:r>
        <w:rPr>
          <w:rFonts w:ascii="Noto Sans CJK SC" w:hAnsi="Noto Sans CJK SC" w:eastAsia="Noto Sans CJK SC"/>
        </w:rPr>
        <w:t>原稿以選舉資訊環境統攝四個案例，容易使研究問題被選舉法制綁住。本文現在將四案降為制度比較材料：羅馬尼亞顯示平台操弄如何升高為憲政與國安問題；明尼蘇達州檢驗深偽禁制與政治言論的邊界；歐盟呈現平台系統性風險的制度化；臺灣則顯示鑑識與侵害排除如何由當事人啟動。四案不是同一種深偽事件，而是用來觀察資訊危害如何跨格、由誰接手，以及治理鏈在哪裡斷裂。</w:t>
      </w:r>
    </w:p>
    <w:p>
      <w:pPr>
        <w:pStyle w:val="Heading2"/>
      </w:pPr>
      <w:r>
        <w:rPr>
          <w:rFonts w:ascii="Noto Sans CJK SC" w:hAnsi="Noto Sans CJK SC" w:eastAsia="Noto Sans CJK SC"/>
        </w:rPr>
        <w:t>二、問題不是深偽多可怕，而是政府何時升級</w:t>
      </w:r>
    </w:p>
    <w:p>
      <w:pPr>
        <w:spacing w:line="324" w:lineRule="auto" w:after="100"/>
      </w:pPr>
      <w:r>
        <w:rPr>
          <w:rFonts w:ascii="Noto Sans CJK SC" w:hAnsi="Noto Sans CJK SC" w:eastAsia="Noto Sans CJK SC"/>
        </w:rPr>
        <w:t>可以借用一個日常比喻。主廚在上菜前發現湯裡有一隻蟑螂，只把蟑螂撈走，可能忽略污染；整鍋倒掉或許最安全，卻未必來得及重煮；若向整個廚房噴灑殺蟲劑，反而連其他食物也一起污染。此時合理的處理不是假裝沒有看見，也不是立即摧毀一切，而是先停止上菜、保存現場、確認污染範圍，再決定丟棄、重做或恢復供應。公共深偽也是如此。先控制不可逆後果，再依持續查核決定解除、移轉或升級。</w:t>
      </w:r>
    </w:p>
    <w:p>
      <w:pPr>
        <w:spacing w:line="324" w:lineRule="auto" w:after="100"/>
      </w:pPr>
      <w:r>
        <w:rPr>
          <w:rFonts w:ascii="Noto Sans CJK SC" w:hAnsi="Noto Sans CJK SC" w:eastAsia="Noto Sans CJK SC"/>
        </w:rPr>
        <w:t>深偽有多危險，不能只看內容有多驚悚。冒用總統宣布戰爭的公開影片，可能引發恐慌、市場波動與外交誤判，卻不等於它已穿透經過認證的軍事指揮系統。真正會改變治理判斷的，是有多少人可能相信、訊息是否誘發不可逆行動、是否進入具有法律或作戰效果的制度通道，以及政府能否及時提供可信的正式訊息。技術上做得到，不等於已經控制選舉、政府或全球資訊網路。 美國情報與執法機關對2024年選舉的公開評估及制裁資料，也把生成或操弄媒體放在境外影響行動的脈絡中，而非單憑內容形式判定危害（Office of the Director of National Intelligence, 2024；U.S. Department of the Treasury, 2024）。</w:t>
      </w:r>
    </w:p>
    <w:p>
      <w:pPr>
        <w:spacing w:line="324" w:lineRule="auto" w:after="100"/>
      </w:pPr>
      <w:r>
        <w:rPr>
          <w:rFonts w:ascii="Noto Sans CJK SC" w:hAnsi="Noto Sans CJK SC" w:eastAsia="Noto Sans CJK SC"/>
        </w:rPr>
        <w:t>臺灣並非沒有可以接續的研究，也已有具體事件提醒我們問題正在靠近。2023年總統選舉期間曾出現AI變造候選人發言的影片；2026年又有疑似合成總統聲音的內容引起刑事責任與查證爭議（台灣事實查核中心，2023；中央通訊社，2026）。在學術研究方面，余和謙（2019）把深偽帶入科技法律與治理議程；蔡碧玉（2024）整理不實性影像、深偽詐欺與選舉深偽的刑事規制，使檢警調可以依受侵害法益與犯罪構成要件判斷；林彥廷（2025）則指出現行選罷法在適用期間、誤信判準、請求程序及平台救濟方面仍有修正空間。Daolio（2025）的研究顯示，臺灣未因AI假訊息另建一套例外安全體制，而是把它吸收到既有的驗證、留存、平台聯繫、法律監管與行政協調程序中。這些研究回答了深偽如何規範。本文再往前追問一步：事件尚未確定適用哪一種規範以前，政府如何先把它接住？</w:t>
      </w:r>
    </w:p>
    <w:p>
      <w:pPr>
        <w:pStyle w:val="Heading2"/>
      </w:pPr>
      <w:r>
        <w:rPr>
          <w:rFonts w:ascii="Noto Sans CJK SC" w:hAnsi="Noto Sans CJK SC" w:eastAsia="Noto Sans CJK SC"/>
        </w:rPr>
        <w:t>三、研究定位：不取代應變手冊，而是壓力測試治理架構</w:t>
      </w:r>
    </w:p>
    <w:p>
      <w:pPr>
        <w:spacing w:line="324" w:lineRule="auto" w:after="100"/>
      </w:pPr>
      <w:r>
        <w:rPr>
          <w:rFonts w:ascii="Noto Sans CJK SC" w:hAnsi="Noto Sans CJK SC" w:eastAsia="Noto Sans CJK SC"/>
        </w:rPr>
        <w:t>本文先承認一項制度事實：國安、國防、資安、警政、救災與緊急救護等政府體系，依其法定職掌與專業需要，必然已有不同程度的應變計畫、通報程序、作業手冊、演練制度，甚至不公開的內部指引。本文不主張這些制度不存在，也不從公開資料重建敏感的實際指揮程序。真正要檢驗的是，AI介入之後，原有手冊所預設的事件分類、身分認證、機關邊界與權威來源是否仍然成立。</w:t>
      </w:r>
    </w:p>
    <w:p>
      <w:pPr>
        <w:spacing w:line="324" w:lineRule="auto" w:after="100"/>
      </w:pPr>
      <w:r>
        <w:rPr>
          <w:rFonts w:ascii="Noto Sans CJK SC" w:hAnsi="Noto Sans CJK SC" w:eastAsia="Noto Sans CJK SC"/>
        </w:rPr>
        <w:t>因此，公共深偽只是壓力測試案例。二十五治理座標用來觀察事件是否跨越原有層次與單位；四條治理鏈檢查不同手冊或機關之間，情境、權威、理由與責任能否銜接；七項治理審計則在事件後檢查資料、裁量、能力、權利保障與民主課責。相同架構可以轉用於國防資訊事件、災害期間的偽造撤離命令，以及緊急救護中的冒名通報或錯誤醫療指示，但每次移植都必須重新對照該領域的法律授權、專業標準與既有SOP，不能直接複製本文情境。</w:t>
      </w:r>
    </w:p>
    <w:p>
      <w:pPr>
        <w:pStyle w:val="Heading2"/>
        <w:spacing w:before="0" w:after="120"/>
      </w:pPr>
      <w:r>
        <w:rPr>
          <w:rFonts w:ascii="Noto Sans CJK SC" w:hAnsi="Noto Sans CJK SC" w:eastAsia="Noto Sans CJK SC"/>
        </w:rPr>
        <w:t>四、研究問題與分析範圍</w:t>
      </w:r>
    </w:p>
    <w:p>
      <w:pPr>
        <w:spacing w:before="0" w:after="100" w:line="324" w:lineRule="auto"/>
        <w:ind w:firstLine="420"/>
        <w:jc w:val="both"/>
      </w:pPr>
      <w:r>
        <w:rPr>
          <w:rFonts w:ascii="Noto Sans CJK SC" w:hAnsi="Noto Sans CJK SC" w:eastAsia="Noto Sans CJK SC"/>
        </w:rPr>
        <w:t>本文集中處理三個問題。第一，公共深偽事件在真偽與法律性質尚未確定時，應依哪些條件從一般冒名或錯假訊息升級為犯罪、資安、境外操弄或國安事件？第二，全球規範、法制與技術文獻分別落在二十五治理座標的何處，彼此之間缺少哪一段行政接手？第三，臺灣負責情勢研判與跨機關協調的研究員和中階行政官員，如何運用四條治理鏈指定暫時主責、設定協力關係及升降級條件？</w:t>
      </w:r>
    </w:p>
    <w:p>
      <w:pPr>
        <w:spacing w:before="0" w:after="100" w:line="324" w:lineRule="auto"/>
        <w:ind w:firstLine="420"/>
        <w:jc w:val="both"/>
      </w:pPr>
      <w:r>
        <w:rPr>
          <w:rFonts w:ascii="Noto Sans CJK SC" w:hAnsi="Noto Sans CJK SC" w:eastAsia="Noto Sans CJK SC"/>
        </w:rPr>
        <w:t>本文不主張一段深偽必然造成國安危機，也不以思想實驗證明實際因果。國際文件、臺灣文獻與四個制度案例用來建立可查核的比較基礎；元首遭冒用的情境則只是一項壓力測試，用來觀察制度在高不確定、高後果條件下是否仍能維持授權、理由、比例與責任。</w:t>
      </w:r>
    </w:p>
    <w:p>
      <w:pPr>
        <w:pStyle w:val="Heading2"/>
        <w:spacing w:before="0" w:after="120"/>
      </w:pPr>
      <w:r>
        <w:rPr>
          <w:rFonts w:ascii="Noto Sans CJK SC" w:hAnsi="Noto Sans CJK SC" w:eastAsia="Noto Sans CJK SC"/>
        </w:rPr>
        <w:t>五、理論命題與貢獻</w:t>
      </w:r>
    </w:p>
    <w:p>
      <w:pPr>
        <w:spacing w:before="0" w:after="100" w:line="324" w:lineRule="auto"/>
        <w:ind w:firstLine="420"/>
        <w:jc w:val="both"/>
      </w:pPr>
      <w:r>
        <w:rPr>
          <w:rFonts w:ascii="Noto Sans CJK SC" w:hAnsi="Noto Sans CJK SC" w:eastAsia="Noto Sans CJK SC"/>
        </w:rPr>
        <w:t>本文不主張成立一個包辦所有深偽的超級機關。深偽只是技術手段，真正決定主管機關的是它造成的危害。然而，這種分工隱含一項容易被忽略的假定：事件在進入各機關以前，已經有人完成定性。實務上往往不是如此。制度可以分工，但定性完成以前仍須有人暫時接手；措施可以迅速，但要能回復並保存證據；事件可以升級，但升級理由與責任不能消失。否則，每個機關即使都完成自己的一小段工作，整體仍可能失靈。</w:t>
      </w:r>
    </w:p>
    <w:p>
      <w:pPr>
        <w:spacing w:before="0" w:after="100" w:line="324" w:lineRule="auto"/>
        <w:ind w:firstLine="420"/>
        <w:jc w:val="both"/>
      </w:pPr>
      <w:r>
        <w:rPr>
          <w:rFonts w:ascii="Noto Sans CJK SC" w:hAnsi="Noto Sans CJK SC" w:eastAsia="Noto Sans CJK SC"/>
        </w:rPr>
        <w:t>本文的理論增量，就在這段尚未定性的空白。既有文獻已提供價值原則、法律構成要件、平台義務與鑑識方法；二十五座標與四條治理鏈則用來檢查，這些知識如何在事件發生後的前幾個小時，轉成暫時主責、協力分工與升級判斷。</w:t>
      </w:r>
    </w:p>
    <w:p>
      <w:pPr>
        <w:pStyle w:val="Heading1"/>
        <w:spacing w:before="0" w:after="120"/>
      </w:pPr>
      <w:r>
        <w:rPr>
          <w:rFonts w:ascii="Noto Sans CJK SC" w:hAnsi="Noto Sans CJK SC" w:eastAsia="Noto Sans CJK SC"/>
        </w:rPr>
        <w:t>貳、分析工具：先定位，再追蹤</w:t>
      </w:r>
    </w:p>
    <w:p>
      <w:pPr>
        <w:pStyle w:val="Heading2"/>
        <w:spacing w:before="0" w:after="120"/>
      </w:pPr>
      <w:r>
        <w:rPr>
          <w:rFonts w:ascii="Noto Sans CJK SC" w:hAnsi="Noto Sans CJK SC" w:eastAsia="Noto Sans CJK SC"/>
        </w:rPr>
        <w:t>一、二十五座標只負責定位</w:t>
      </w:r>
    </w:p>
    <w:p>
      <w:pPr>
        <w:spacing w:before="0" w:after="120"/>
        <w:ind w:firstLine="420"/>
        <w:jc w:val="both"/>
      </w:pPr>
      <w:r>
        <w:rPr>
          <w:rFonts w:ascii="Noto Sans CJK SC" w:hAnsi="Noto Sans CJK SC" w:eastAsia="Noto Sans CJK SC"/>
        </w:rPr>
        <w:t>二十五治理座標在本文只承擔定位功能，並不要求研究者為了證明模型完整而填滿二十五格。讀者真正需要知道的是：問題從哪裡發生，往哪裡移動，最後由誰接手。縱軸分為價值、制度、政策、組織與管理運作五個層次；橫軸分為個人、團體、組織、社會與國際五個分析單位。若座標不能讓責任與權威的移動被看見，它就只是一張分類表。</w:t>
      </w:r>
    </w:p>
    <w:p>
      <w:pPr>
        <w:jc w:val="center"/>
      </w:pPr>
      <w:r>
        <w:rPr>
          <w:rFonts w:ascii="Noto Sans CJK SC" w:hAnsi="Noto Sans CJK SC" w:eastAsia="Noto Sans CJK SC"/>
        </w:rPr>
      </w:r>
    </w:p>
    <w:p>
      <w:pPr>
        <w:keepNext/>
        <w:pageBreakBefore w:val="0"/>
        <w:spacing w:before="0" w:after="0"/>
        <w:jc w:val="center"/>
      </w:pPr>
      <w:r>
        <w:rPr>
          <w:rFonts w:ascii="Noto Sans CJK SC" w:hAnsi="Noto Sans CJK SC" w:eastAsia="Noto Sans CJK SC"/>
        </w:rPr>
        <w:drawing>
          <wp:inline xmlns:a="http://schemas.openxmlformats.org/drawingml/2006/main" xmlns:pic="http://schemas.openxmlformats.org/drawingml/2006/picture">
            <wp:extent cx="5623560" cy="4559643"/>
            <wp:docPr id="1" name="Picture 1" descr="AI治理下的5×5公共行政分析圖：縱軸為五個分析層次，橫軸為五個分析單位，共二十五個治理座標。"/>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623560" cy="4559643"/>
                    </a:xfrm>
                    <a:prstGeom prst="rect"/>
                  </pic:spPr>
                </pic:pic>
              </a:graphicData>
            </a:graphic>
          </wp:inline>
        </w:drawing>
      </w:r>
    </w:p>
    <w:p>
      <w:pPr>
        <w:keepNext/>
        <w:spacing w:before="0" w:after="40"/>
        <w:jc w:val="center"/>
      </w:pPr>
      <w:r>
        <w:rPr>
          <w:rFonts w:ascii="Noto Sans CJK SC" w:hAnsi="Noto Sans CJK SC" w:eastAsia="Noto Sans CJK SC"/>
        </w:rPr>
        <w:t>圖1　AI治理下的5×5公共行政分析座標</w:t>
      </w:r>
    </w:p>
    <w:p>
      <w:pPr>
        <w:spacing w:before="0" w:after="100" w:line="324" w:lineRule="auto"/>
        <w:jc w:val="center"/>
      </w:pPr>
      <w:r>
        <w:t>說明：本圖縱軸為五個分析層次，橫軸為五個分析單位，共形成二十五個治理座標。資料來源：盧建旭（1996a），並由作者依AI治理情境延伸繪製。</w:t>
      </w:r>
    </w:p>
    <w:p>
      <w:pPr>
        <w:spacing w:before="0" w:after="100" w:line="324" w:lineRule="auto"/>
        <w:ind w:firstLine="420"/>
        <w:jc w:val="both"/>
      </w:pPr>
      <w:r>
        <w:rPr>
          <w:rFonts w:ascii="Noto Sans CJK SC" w:hAnsi="Noto Sans CJK SC" w:eastAsia="Noto Sans CJK SC"/>
        </w:rPr>
        <w:t>二十五座標在本文同時定位文獻與事件。國際倫理文件主要落在1×5；平台法制與超國家監理大致分布於2×5至3×5；技術偵測與組織事件指引則集中於5×3。這些工作並非彼此矛盾，卻沒有自然形成一條完整行政鏈。圖2把文獻的兩個座標值與處置時間放進同一立體空間，特別標出2×3。這個座標的正式名稱是「層次二：制度分工×分析單位三：組織」；政府組織之間的暫時主責、跨機關協調與升級條件，是本研究在該格觀察到的經驗問題，而不是另一組座標名稱。表1則保留四個制度案例的起始座標與落點，作為事件移動的經驗比較。</w:t>
      </w:r>
    </w:p>
    <w:p>
      <w:pPr>
        <w:keepNext/>
        <w:spacing w:before="0" w:after="40"/>
        <w:jc w:val="center"/>
      </w:pPr>
      <w:r>
        <w:rPr>
          <w:rFonts w:ascii="Noto Sans CJK SC" w:hAnsi="Noto Sans CJK SC" w:eastAsia="Noto Sans CJK SC"/>
        </w:rPr>
        <w:t>表1　案例—治理座標定位與跨座標移動</w:t>
      </w:r>
    </w:p>
    <w:tbl>
      <w:tblPr>
        <w:tblStyle w:val="TableGrid"/>
        <w:tblW w:type="auto" w:w="0"/>
        <w:jc w:val="center"/>
        <w:tblLayout w:type="fixed"/>
        <w:tblLook w:firstColumn="1" w:firstRow="1" w:lastColumn="0" w:lastRow="0" w:noHBand="0" w:noVBand="1" w:val="04A0"/>
      </w:tblPr>
      <w:tblGrid>
        <w:gridCol w:w="1400"/>
        <w:gridCol w:w="1900"/>
        <w:gridCol w:w="2300"/>
        <w:gridCol w:w="1900"/>
        <w:gridCol w:w="1700"/>
      </w:tblGrid>
      <w:tr>
        <w:trPr>
          <w:tblHeader/>
          <w:tblHeader w:val="true"/>
        </w:trPr>
        <w:tc>
          <w:tcPr>
            <w:tcW w:type="dxa" w:w="1400"/>
            <w:shd w:fill="D8E7F4"/>
            <w:tcMar>
              <w:top w:w="80" w:type="dxa"/>
              <w:start w:w="100" w:type="dxa"/>
              <w:bottom w:w="80" w:type="dxa"/>
              <w:end w:w="100" w:type="dxa"/>
            </w:tcMar>
            <w:vAlign w:val="center"/>
          </w:tcPr>
          <w:p>
            <w:pPr>
              <w:keepNext/>
              <w:spacing w:before="0" w:after="0" w:line="240" w:lineRule="auto"/>
              <w:jc w:val="left"/>
            </w:pPr>
            <w:r>
              <w:rPr>
                <w:rFonts w:ascii="Noto Sans CJK SC" w:hAnsi="Noto Sans CJK SC" w:eastAsia="Noto Sans CJK SC"/>
                <w:b/>
                <w:color w:val="173A63"/>
                <w:sz w:val="16"/>
              </w:rPr>
            </w:r>
            <w:r>
              <w:rPr>
                <w:rFonts w:ascii="Noto Sans CJK SC" w:hAnsi="Noto Sans CJK SC" w:eastAsia="Noto Sans CJK SC"/>
                <w:b/>
                <w:color w:val="173A63"/>
                <w:sz w:val="16"/>
              </w:rPr>
              <w:t>案例</w:t>
            </w:r>
          </w:p>
        </w:tc>
        <w:tc>
          <w:tcPr>
            <w:tcW w:type="dxa" w:w="1900"/>
            <w:shd w:fill="D8E7F4"/>
            <w:tcMar>
              <w:top w:w="80" w:type="dxa"/>
              <w:start w:w="100" w:type="dxa"/>
              <w:bottom w:w="80" w:type="dxa"/>
              <w:end w:w="100" w:type="dxa"/>
            </w:tcMar>
            <w:vAlign w:val="center"/>
          </w:tcPr>
          <w:p>
            <w:pPr>
              <w:spacing w:before="0" w:after="0" w:line="240" w:lineRule="auto"/>
              <w:jc w:val="left"/>
            </w:pPr>
            <w:r>
              <w:rPr>
                <w:rFonts w:ascii="Noto Sans CJK SC" w:hAnsi="Noto Sans CJK SC" w:eastAsia="Noto Sans CJK SC"/>
                <w:b/>
                <w:color w:val="173A63"/>
                <w:sz w:val="16"/>
              </w:rPr>
              <w:t>起始座標</w:t>
              <w:br/>
              <w:t>（層次×單位）</w:t>
            </w:r>
          </w:p>
        </w:tc>
        <w:tc>
          <w:tcPr>
            <w:tcW w:type="dxa" w:w="2300"/>
            <w:shd w:fill="D8E7F4"/>
            <w:tcMar>
              <w:top w:w="80" w:type="dxa"/>
              <w:start w:w="100" w:type="dxa"/>
              <w:bottom w:w="80" w:type="dxa"/>
              <w:end w:w="100" w:type="dxa"/>
            </w:tcMar>
            <w:vAlign w:val="center"/>
          </w:tcPr>
          <w:p>
            <w:pPr>
              <w:spacing w:before="0" w:after="0" w:line="240" w:lineRule="auto"/>
              <w:jc w:val="left"/>
            </w:pPr>
            <w:r>
              <w:rPr>
                <w:rFonts w:ascii="Noto Sans CJK SC" w:hAnsi="Noto Sans CJK SC" w:eastAsia="Noto Sans CJK SC"/>
                <w:b/>
                <w:color w:val="173A63"/>
                <w:sz w:val="16"/>
              </w:rPr>
              <w:t>主要跨座標移動</w:t>
              <w:br/>
              <w:t>與距離D</w:t>
            </w:r>
          </w:p>
        </w:tc>
        <w:tc>
          <w:tcPr>
            <w:tcW w:type="dxa" w:w="1900"/>
            <w:shd w:fill="D8E7F4"/>
            <w:tcMar>
              <w:top w:w="80" w:type="dxa"/>
              <w:start w:w="100" w:type="dxa"/>
              <w:bottom w:w="80" w:type="dxa"/>
              <w:end w:w="100" w:type="dxa"/>
            </w:tcMar>
            <w:vAlign w:val="center"/>
          </w:tcPr>
          <w:p>
            <w:pPr>
              <w:spacing w:before="0" w:after="0" w:line="240" w:lineRule="auto"/>
              <w:jc w:val="left"/>
            </w:pPr>
            <w:r>
              <w:rPr>
                <w:rFonts w:ascii="Noto Sans CJK SC" w:hAnsi="Noto Sans CJK SC" w:eastAsia="Noto Sans CJK SC"/>
                <w:b/>
                <w:color w:val="173A63"/>
                <w:sz w:val="16"/>
              </w:rPr>
              <w:t>制度落點</w:t>
              <w:br/>
              <w:t>（層次×單位）</w:t>
            </w:r>
          </w:p>
        </w:tc>
        <w:tc>
          <w:tcPr>
            <w:tcW w:type="dxa" w:w="1700"/>
            <w:shd w:fill="D8E7F4"/>
            <w:tcMar>
              <w:top w:w="80" w:type="dxa"/>
              <w:start w:w="100" w:type="dxa"/>
              <w:bottom w:w="80" w:type="dxa"/>
              <w:end w:w="100" w:type="dxa"/>
            </w:tcMar>
            <w:vAlign w:val="center"/>
          </w:tcPr>
          <w:p>
            <w:pPr>
              <w:keepNext/>
              <w:spacing w:before="0" w:after="0" w:line="240" w:lineRule="auto"/>
              <w:jc w:val="left"/>
            </w:pPr>
            <w:r>
              <w:rPr>
                <w:rFonts w:ascii="Noto Sans CJK SC" w:hAnsi="Noto Sans CJK SC" w:eastAsia="Noto Sans CJK SC"/>
                <w:b/>
                <w:color w:val="173A63"/>
                <w:sz w:val="16"/>
              </w:rPr>
            </w:r>
            <w:r>
              <w:rPr>
                <w:rFonts w:ascii="Noto Sans CJK SC" w:hAnsi="Noto Sans CJK SC" w:eastAsia="Noto Sans CJK SC"/>
                <w:b/>
                <w:color w:val="173A63"/>
                <w:sz w:val="16"/>
              </w:rPr>
              <w:t>初步斷裂類型</w:t>
            </w:r>
          </w:p>
        </w:tc>
      </w:tr>
      <w:tr>
        <w:tc>
          <w:tcPr>
            <w:tcW w:type="dxa" w:w="1400"/>
            <w:tcMar>
              <w:top w:w="80" w:type="dxa"/>
              <w:start w:w="100" w:type="dxa"/>
              <w:bottom w:w="80" w:type="dxa"/>
              <w:end w:w="100" w:type="dxa"/>
            </w:tcMar>
            <w:vAlign w:val="center"/>
          </w:tcPr>
          <w:p>
            <w:pPr>
              <w:spacing w:after="0" w:line="240" w:lineRule="auto" w:before="0"/>
              <w:jc w:val="center"/>
            </w:pPr>
            <w:r>
              <w:rPr>
                <w:rFonts w:ascii="Noto Sans CJK SC" w:hAnsi="Noto Sans CJK SC" w:eastAsia="Noto Sans CJK SC"/>
                <w:sz w:val="16"/>
              </w:rPr>
            </w:r>
            <w:r>
              <w:rPr>
                <w:rFonts w:ascii="Noto Sans CJK SC" w:hAnsi="Noto Sans CJK SC" w:eastAsia="Noto Sans CJK SC"/>
                <w:sz w:val="16"/>
              </w:rPr>
              <w:t>羅馬尼亞</w:t>
            </w:r>
          </w:p>
        </w:tc>
        <w:tc>
          <w:tcPr>
            <w:tcW w:type="dxa" w:w="1900"/>
            <w:tcMar>
              <w:top w:w="80" w:type="dxa"/>
              <w:start w:w="100" w:type="dxa"/>
              <w:bottom w:w="80" w:type="dxa"/>
              <w:end w:w="100" w:type="dxa"/>
            </w:tcMar>
            <w:vAlign w:val="center"/>
          </w:tcPr>
          <w:p>
            <w:pPr>
              <w:spacing w:before="0" w:after="0" w:line="240" w:lineRule="auto"/>
              <w:jc w:val="left"/>
            </w:pPr>
            <w:r>
              <w:rPr>
                <w:rFonts w:ascii="Noto Sans CJK SC" w:hAnsi="Noto Sans CJK SC" w:eastAsia="Noto Sans CJK SC"/>
                <w:sz w:val="16"/>
              </w:rPr>
              <w:t>5×3</w:t>
              <w:br/>
              <w:t>管理運作×組織：平台推薦與競選傳播</w:t>
            </w:r>
          </w:p>
        </w:tc>
        <w:tc>
          <w:tcPr>
            <w:tcW w:type="dxa" w:w="2300"/>
            <w:tcMar>
              <w:top w:w="80" w:type="dxa"/>
              <w:start w:w="100" w:type="dxa"/>
              <w:bottom w:w="80" w:type="dxa"/>
              <w:end w:w="100" w:type="dxa"/>
            </w:tcMar>
            <w:vAlign w:val="center"/>
          </w:tcPr>
          <w:p>
            <w:pPr>
              <w:spacing w:before="0" w:after="0" w:line="240" w:lineRule="auto"/>
              <w:jc w:val="left"/>
            </w:pPr>
            <w:r>
              <w:rPr>
                <w:rFonts w:ascii="Noto Sans CJK SC" w:hAnsi="Noto Sans CJK SC" w:eastAsia="Noto Sans CJK SC"/>
                <w:sz w:val="16"/>
              </w:rPr>
              <w:t>由平台運作上移至政策體系及憲政價值；D=4</w:t>
            </w:r>
          </w:p>
        </w:tc>
        <w:tc>
          <w:tcPr>
            <w:tcW w:type="dxa" w:w="1900"/>
            <w:tcMar>
              <w:top w:w="80" w:type="dxa"/>
              <w:start w:w="100" w:type="dxa"/>
              <w:bottom w:w="80" w:type="dxa"/>
              <w:end w:w="100" w:type="dxa"/>
            </w:tcMar>
            <w:vAlign w:val="center"/>
          </w:tcPr>
          <w:p>
            <w:pPr>
              <w:spacing w:before="0" w:after="0" w:line="240" w:lineRule="auto"/>
              <w:jc w:val="left"/>
            </w:pPr>
            <w:r>
              <w:rPr>
                <w:rFonts w:ascii="Noto Sans CJK SC" w:hAnsi="Noto Sans CJK SC" w:eastAsia="Noto Sans CJK SC"/>
                <w:sz w:val="16"/>
              </w:rPr>
              <w:t>2×4</w:t>
              <w:br/>
              <w:t>制度分工×社會：憲法法院與國安機關</w:t>
            </w:r>
          </w:p>
        </w:tc>
        <w:tc>
          <w:tcPr>
            <w:tcW w:type="dxa" w:w="1700"/>
            <w:tcMar>
              <w:top w:w="80" w:type="dxa"/>
              <w:start w:w="100" w:type="dxa"/>
              <w:bottom w:w="80" w:type="dxa"/>
              <w:end w:w="100" w:type="dxa"/>
            </w:tcMar>
            <w:vAlign w:val="center"/>
          </w:tcPr>
          <w:p>
            <w:pPr>
              <w:spacing w:after="0" w:line="240" w:lineRule="auto" w:before="0"/>
              <w:jc w:val="left"/>
            </w:pPr>
            <w:r>
              <w:rPr>
                <w:rFonts w:ascii="Noto Sans CJK SC" w:hAnsi="Noto Sans CJK SC" w:eastAsia="Noto Sans CJK SC"/>
                <w:sz w:val="16"/>
              </w:rPr>
            </w:r>
            <w:r>
              <w:rPr>
                <w:rFonts w:ascii="Noto Sans CJK SC" w:hAnsi="Noto Sans CJK SC" w:eastAsia="Noto Sans CJK SC"/>
                <w:sz w:val="16"/>
              </w:rPr>
              <w:t>權威高度收斂；證據與理由鏈仍有爭議</w:t>
            </w:r>
          </w:p>
        </w:tc>
      </w:tr>
      <w:tr>
        <w:tc>
          <w:tcPr>
            <w:tcW w:type="dxa" w:w="1400"/>
            <w:tcMar>
              <w:top w:w="80" w:type="dxa"/>
              <w:start w:w="100" w:type="dxa"/>
              <w:bottom w:w="80" w:type="dxa"/>
              <w:end w:w="100" w:type="dxa"/>
            </w:tcMar>
            <w:vAlign w:val="center"/>
            <w:shd w:fill="F5F8FB"/>
          </w:tcPr>
          <w:p>
            <w:pPr>
              <w:spacing w:after="0" w:line="240" w:lineRule="auto" w:before="0"/>
              <w:jc w:val="center"/>
            </w:pPr>
            <w:r>
              <w:rPr>
                <w:rFonts w:ascii="Noto Sans CJK SC" w:hAnsi="Noto Sans CJK SC" w:eastAsia="Noto Sans CJK SC"/>
                <w:sz w:val="16"/>
              </w:rPr>
            </w:r>
            <w:r>
              <w:rPr>
                <w:rFonts w:ascii="Noto Sans CJK SC" w:hAnsi="Noto Sans CJK SC" w:eastAsia="Noto Sans CJK SC"/>
                <w:sz w:val="16"/>
              </w:rPr>
              <w:t>明尼蘇達州</w:t>
            </w:r>
          </w:p>
        </w:tc>
        <w:tc>
          <w:tcPr>
            <w:tcW w:type="dxa" w:w="1900"/>
            <w:tcMar>
              <w:top w:w="80" w:type="dxa"/>
              <w:start w:w="100" w:type="dxa"/>
              <w:bottom w:w="80" w:type="dxa"/>
              <w:end w:w="100" w:type="dxa"/>
            </w:tcMar>
            <w:vAlign w:val="center"/>
            <w:shd w:fill="F5F8FB"/>
          </w:tcPr>
          <w:p>
            <w:pPr>
              <w:spacing w:before="0" w:after="0" w:line="240" w:lineRule="auto"/>
              <w:jc w:val="left"/>
            </w:pPr>
            <w:r>
              <w:rPr>
                <w:rFonts w:ascii="Noto Sans CJK SC" w:hAnsi="Noto Sans CJK SC" w:eastAsia="Noto Sans CJK SC"/>
                <w:sz w:val="16"/>
              </w:rPr>
              <w:t>3×4</w:t>
              <w:br/>
              <w:t>政策體系×社會：州級深偽禁制</w:t>
            </w:r>
          </w:p>
        </w:tc>
        <w:tc>
          <w:tcPr>
            <w:tcW w:type="dxa" w:w="2300"/>
            <w:tcMar>
              <w:top w:w="80" w:type="dxa"/>
              <w:start w:w="100" w:type="dxa"/>
              <w:bottom w:w="80" w:type="dxa"/>
              <w:end w:w="100" w:type="dxa"/>
            </w:tcMar>
            <w:vAlign w:val="center"/>
            <w:shd w:fill="F5F8FB"/>
          </w:tcPr>
          <w:p>
            <w:pPr>
              <w:spacing w:before="0" w:after="0" w:line="240" w:lineRule="auto"/>
              <w:jc w:val="left"/>
            </w:pPr>
            <w:r>
              <w:rPr>
                <w:rFonts w:ascii="Noto Sans CJK SC" w:hAnsi="Noto Sans CJK SC" w:eastAsia="Noto Sans CJK SC"/>
                <w:sz w:val="16"/>
              </w:rPr>
              <w:t>在州立法、聯邦憲法審查與平台主張間移動；D=1</w:t>
            </w:r>
          </w:p>
        </w:tc>
        <w:tc>
          <w:tcPr>
            <w:tcW w:type="dxa" w:w="1900"/>
            <w:tcMar>
              <w:top w:w="80" w:type="dxa"/>
              <w:start w:w="100" w:type="dxa"/>
              <w:bottom w:w="80" w:type="dxa"/>
              <w:end w:w="100" w:type="dxa"/>
            </w:tcMar>
            <w:vAlign w:val="center"/>
            <w:shd w:fill="F5F8FB"/>
          </w:tcPr>
          <w:p>
            <w:pPr>
              <w:spacing w:before="0" w:after="0" w:line="240" w:lineRule="auto"/>
              <w:jc w:val="left"/>
            </w:pPr>
            <w:r>
              <w:rPr>
                <w:rFonts w:ascii="Noto Sans CJK SC" w:hAnsi="Noto Sans CJK SC" w:eastAsia="Noto Sans CJK SC"/>
                <w:sz w:val="16"/>
              </w:rPr>
              <w:t>2×4</w:t>
              <w:br/>
              <w:t>制度分工×社會：聯邦法院尚未終局收斂</w:t>
            </w:r>
          </w:p>
        </w:tc>
        <w:tc>
          <w:tcPr>
            <w:tcW w:type="dxa" w:w="1700"/>
            <w:tcMar>
              <w:top w:w="80" w:type="dxa"/>
              <w:start w:w="100" w:type="dxa"/>
              <w:bottom w:w="80" w:type="dxa"/>
              <w:end w:w="100" w:type="dxa"/>
            </w:tcMar>
            <w:vAlign w:val="center"/>
            <w:shd w:fill="F5F8FB"/>
          </w:tcPr>
          <w:p>
            <w:pPr>
              <w:spacing w:after="0" w:line="240" w:lineRule="auto" w:before="0"/>
              <w:jc w:val="left"/>
            </w:pPr>
            <w:r>
              <w:rPr>
                <w:rFonts w:ascii="Noto Sans CJK SC" w:hAnsi="Noto Sans CJK SC" w:eastAsia="Noto Sans CJK SC"/>
                <w:sz w:val="16"/>
              </w:rPr>
            </w:r>
            <w:r>
              <w:rPr>
                <w:rFonts w:ascii="Noto Sans CJK SC" w:hAnsi="Noto Sans CJK SC" w:eastAsia="Noto Sans CJK SC"/>
                <w:sz w:val="16"/>
              </w:rPr>
              <w:t>權威競逐；言論分類與救濟範圍未定</w:t>
            </w:r>
          </w:p>
        </w:tc>
      </w:tr>
      <w:tr>
        <w:tc>
          <w:tcPr>
            <w:tcW w:type="dxa" w:w="1400"/>
            <w:tcMar>
              <w:top w:w="80" w:type="dxa"/>
              <w:start w:w="100" w:type="dxa"/>
              <w:bottom w:w="80" w:type="dxa"/>
              <w:end w:w="100" w:type="dxa"/>
            </w:tcMar>
            <w:vAlign w:val="center"/>
          </w:tcPr>
          <w:p>
            <w:pPr>
              <w:spacing w:after="0" w:line="240" w:lineRule="auto" w:before="0"/>
              <w:jc w:val="center"/>
            </w:pPr>
            <w:r>
              <w:rPr>
                <w:rFonts w:ascii="Noto Sans CJK SC" w:hAnsi="Noto Sans CJK SC" w:eastAsia="Noto Sans CJK SC"/>
                <w:sz w:val="16"/>
              </w:rPr>
            </w:r>
            <w:r>
              <w:rPr>
                <w:rFonts w:ascii="Noto Sans CJK SC" w:hAnsi="Noto Sans CJK SC" w:eastAsia="Noto Sans CJK SC"/>
                <w:sz w:val="16"/>
              </w:rPr>
              <w:t>歐盟</w:t>
            </w:r>
          </w:p>
        </w:tc>
        <w:tc>
          <w:tcPr>
            <w:tcW w:type="dxa" w:w="1900"/>
            <w:tcMar>
              <w:top w:w="80" w:type="dxa"/>
              <w:start w:w="100" w:type="dxa"/>
              <w:bottom w:w="80" w:type="dxa"/>
              <w:end w:w="100" w:type="dxa"/>
            </w:tcMar>
            <w:vAlign w:val="center"/>
          </w:tcPr>
          <w:p>
            <w:pPr>
              <w:spacing w:before="0" w:after="0" w:line="240" w:lineRule="auto"/>
              <w:jc w:val="left"/>
            </w:pPr>
            <w:r>
              <w:rPr>
                <w:rFonts w:ascii="Noto Sans CJK SC" w:hAnsi="Noto Sans CJK SC" w:eastAsia="Noto Sans CJK SC"/>
                <w:sz w:val="16"/>
              </w:rPr>
              <w:t>5×3</w:t>
              <w:br/>
              <w:t>管理運作×組織：平台系統性風險</w:t>
            </w:r>
          </w:p>
        </w:tc>
        <w:tc>
          <w:tcPr>
            <w:tcW w:type="dxa" w:w="2300"/>
            <w:tcMar>
              <w:top w:w="80" w:type="dxa"/>
              <w:start w:w="100" w:type="dxa"/>
              <w:bottom w:w="80" w:type="dxa"/>
              <w:end w:w="100" w:type="dxa"/>
            </w:tcMar>
            <w:vAlign w:val="center"/>
          </w:tcPr>
          <w:p>
            <w:pPr>
              <w:spacing w:before="0" w:after="0" w:line="240" w:lineRule="auto"/>
              <w:jc w:val="left"/>
            </w:pPr>
            <w:r>
              <w:rPr>
                <w:rFonts w:ascii="Noto Sans CJK SC" w:hAnsi="Noto Sans CJK SC" w:eastAsia="Noto Sans CJK SC"/>
                <w:sz w:val="16"/>
              </w:rPr>
              <w:t>上移至超國家行政監理與透明義務；D=5</w:t>
            </w:r>
          </w:p>
        </w:tc>
        <w:tc>
          <w:tcPr>
            <w:tcW w:type="dxa" w:w="1900"/>
            <w:tcMar>
              <w:top w:w="80" w:type="dxa"/>
              <w:start w:w="100" w:type="dxa"/>
              <w:bottom w:w="80" w:type="dxa"/>
              <w:end w:w="100" w:type="dxa"/>
            </w:tcMar>
            <w:vAlign w:val="center"/>
          </w:tcPr>
          <w:p>
            <w:pPr>
              <w:spacing w:before="0" w:after="0" w:line="240" w:lineRule="auto"/>
              <w:jc w:val="left"/>
            </w:pPr>
            <w:r>
              <w:rPr>
                <w:rFonts w:ascii="Noto Sans CJK SC" w:hAnsi="Noto Sans CJK SC" w:eastAsia="Noto Sans CJK SC"/>
                <w:sz w:val="16"/>
              </w:rPr>
              <w:t>2×5</w:t>
              <w:br/>
              <w:t>制度分工×國際：執委會監督大型平台</w:t>
            </w:r>
          </w:p>
        </w:tc>
        <w:tc>
          <w:tcPr>
            <w:tcW w:type="dxa" w:w="1700"/>
            <w:tcMar>
              <w:top w:w="80" w:type="dxa"/>
              <w:start w:w="100" w:type="dxa"/>
              <w:bottom w:w="80" w:type="dxa"/>
              <w:end w:w="100" w:type="dxa"/>
            </w:tcMar>
            <w:vAlign w:val="center"/>
          </w:tcPr>
          <w:p>
            <w:pPr>
              <w:spacing w:after="0" w:line="240" w:lineRule="auto" w:before="0"/>
              <w:jc w:val="left"/>
            </w:pPr>
            <w:r>
              <w:rPr>
                <w:rFonts w:ascii="Noto Sans CJK SC" w:hAnsi="Noto Sans CJK SC" w:eastAsia="Noto Sans CJK SC"/>
                <w:sz w:val="16"/>
              </w:rPr>
            </w:r>
            <w:r>
              <w:rPr>
                <w:rFonts w:ascii="Noto Sans CJK SC" w:hAnsi="Noto Sans CJK SC" w:eastAsia="Noto Sans CJK SC"/>
                <w:sz w:val="16"/>
              </w:rPr>
              <w:t>平台責任制度化；與會員國選舉權限並行</w:t>
            </w:r>
          </w:p>
        </w:tc>
      </w:tr>
      <w:tr>
        <w:tc>
          <w:tcPr>
            <w:tcW w:type="dxa" w:w="1400"/>
            <w:tcMar>
              <w:top w:w="80" w:type="dxa"/>
              <w:start w:w="100" w:type="dxa"/>
              <w:bottom w:w="80" w:type="dxa"/>
              <w:end w:w="100" w:type="dxa"/>
            </w:tcMar>
            <w:vAlign w:val="center"/>
            <w:shd w:fill="F5F8FB"/>
          </w:tcPr>
          <w:p>
            <w:pPr>
              <w:spacing w:after="0" w:line="240" w:lineRule="auto" w:before="0"/>
              <w:jc w:val="center"/>
            </w:pPr>
            <w:r>
              <w:rPr>
                <w:rFonts w:ascii="Noto Sans CJK SC" w:hAnsi="Noto Sans CJK SC" w:eastAsia="Noto Sans CJK SC"/>
                <w:sz w:val="16"/>
              </w:rPr>
            </w:r>
            <w:r>
              <w:rPr>
                <w:rFonts w:ascii="Noto Sans CJK SC" w:hAnsi="Noto Sans CJK SC" w:eastAsia="Noto Sans CJK SC"/>
                <w:sz w:val="16"/>
              </w:rPr>
              <w:t>台灣</w:t>
            </w:r>
          </w:p>
        </w:tc>
        <w:tc>
          <w:tcPr>
            <w:tcW w:type="dxa" w:w="1900"/>
            <w:tcMar>
              <w:top w:w="80" w:type="dxa"/>
              <w:start w:w="100" w:type="dxa"/>
              <w:bottom w:w="80" w:type="dxa"/>
              <w:end w:w="100" w:type="dxa"/>
            </w:tcMar>
            <w:vAlign w:val="center"/>
            <w:shd w:fill="F5F8FB"/>
          </w:tcPr>
          <w:p>
            <w:pPr>
              <w:spacing w:before="0" w:after="0" w:line="240" w:lineRule="auto"/>
              <w:jc w:val="left"/>
            </w:pPr>
            <w:r>
              <w:rPr>
                <w:rFonts w:ascii="Noto Sans CJK SC" w:hAnsi="Noto Sans CJK SC" w:eastAsia="Noto Sans CJK SC"/>
                <w:sz w:val="16"/>
              </w:rPr>
              <w:t>5×1</w:t>
              <w:br/>
              <w:t>管理運作×個人：鑑識與侵害排除申請</w:t>
            </w:r>
          </w:p>
        </w:tc>
        <w:tc>
          <w:tcPr>
            <w:tcW w:type="dxa" w:w="2300"/>
            <w:tcMar>
              <w:top w:w="80" w:type="dxa"/>
              <w:start w:w="100" w:type="dxa"/>
              <w:bottom w:w="80" w:type="dxa"/>
              <w:end w:w="100" w:type="dxa"/>
            </w:tcMar>
            <w:vAlign w:val="center"/>
            <w:shd w:fill="F5F8FB"/>
          </w:tcPr>
          <w:p>
            <w:pPr>
              <w:spacing w:before="0" w:after="0" w:line="240" w:lineRule="auto"/>
            </w:pPr>
            <w:r>
              <w:rPr>
                <w:rFonts w:ascii="Noto Sans CJK SC" w:hAnsi="Noto Sans CJK SC" w:eastAsia="Noto Sans CJK SC"/>
                <w:sz w:val="16"/>
              </w:rPr>
              <w:t>由當事人啟動向選務、檢警與平台協力擴散；D=6（四案中最長）</w:t>
            </w:r>
          </w:p>
        </w:tc>
        <w:tc>
          <w:tcPr>
            <w:tcW w:type="dxa" w:w="1900"/>
            <w:tcMar>
              <w:top w:w="80" w:type="dxa"/>
              <w:start w:w="100" w:type="dxa"/>
              <w:bottom w:w="80" w:type="dxa"/>
              <w:end w:w="100" w:type="dxa"/>
            </w:tcMar>
            <w:vAlign w:val="center"/>
            <w:shd w:fill="F5F8FB"/>
          </w:tcPr>
          <w:p>
            <w:pPr>
              <w:spacing w:before="0" w:after="0" w:line="240" w:lineRule="auto"/>
              <w:jc w:val="left"/>
            </w:pPr>
            <w:r>
              <w:rPr>
                <w:rFonts w:ascii="Noto Sans CJK SC" w:hAnsi="Noto Sans CJK SC" w:eastAsia="Noto Sans CJK SC"/>
                <w:sz w:val="16"/>
              </w:rPr>
              <w:t>2×4</w:t>
              <w:br/>
              <w:t>制度分工×社會：多機關後端協處</w:t>
            </w:r>
          </w:p>
        </w:tc>
        <w:tc>
          <w:tcPr>
            <w:tcW w:type="dxa" w:w="1700"/>
            <w:tcMar>
              <w:top w:w="80" w:type="dxa"/>
              <w:start w:w="100" w:type="dxa"/>
              <w:bottom w:w="80" w:type="dxa"/>
              <w:end w:w="100" w:type="dxa"/>
            </w:tcMar>
            <w:vAlign w:val="center"/>
            <w:shd w:fill="F5F8FB"/>
          </w:tcPr>
          <w:p>
            <w:pPr>
              <w:spacing w:before="0" w:after="0" w:line="240" w:lineRule="auto"/>
            </w:pPr>
            <w:r>
              <w:rPr>
                <w:rFonts w:ascii="Noto Sans CJK SC" w:hAnsi="Noto Sans CJK SC" w:eastAsia="Noto Sans CJK SC"/>
                <w:sz w:val="16"/>
              </w:rPr>
              <w:t>啟動負擔私有化；公共介入門檻偏後置</w:t>
            </w:r>
          </w:p>
        </w:tc>
      </w:tr>
    </w:tbl>
    <w:p>
      <w:pPr>
        <w:spacing w:before="160" w:after="60"/>
        <w:jc w:val="center"/>
        <w:keepNext/>
      </w:pPr>
      <w:r>
        <w:rPr>
          <w:rFonts w:ascii="Noto Sans CJK SC" w:hAnsi="Noto Sans CJK SC" w:eastAsia="Noto Sans CJK SC"/>
        </w:rPr>
      </w:r>
    </w:p>
    <w:p>
      <w:pPr>
        <w:keepNext/>
        <w:pageBreakBefore/>
        <w:spacing w:before="0" w:after="0"/>
        <w:jc w:val="center"/>
      </w:pPr>
      <w:r>
        <w:rPr>
          <w:rFonts w:ascii="Noto Sans CJK SC" w:hAnsi="Noto Sans CJK SC" w:eastAsia="Noto Sans CJK SC"/>
        </w:rPr>
        <w:drawing>
          <wp:inline xmlns:a="http://schemas.openxmlformats.org/drawingml/2006/main" xmlns:pic="http://schemas.openxmlformats.org/drawingml/2006/picture">
            <wp:extent cx="5257800" cy="5788829"/>
            <wp:docPr id="2" name="Picture 2" descr="全球公共深偽治理文獻三維定位圖：以分析層次、分析單位與處置階段呈現文獻聚落，並標示2×3跨機關接手缺口。"/>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5257800" cy="5788829"/>
                    </a:xfrm>
                    <a:prstGeom prst="rect"/>
                  </pic:spPr>
                </pic:pic>
              </a:graphicData>
            </a:graphic>
          </wp:inline>
        </w:drawing>
      </w:r>
    </w:p>
    <w:p>
      <w:pPr>
        <w:spacing w:before="40" w:after="60"/>
        <w:jc w:val="center"/>
        <w:keepNext/>
      </w:pPr>
      <w:r>
        <w:rPr>
          <w:rFonts w:ascii="Noto Sans CJK SC" w:hAnsi="Noto Sans CJK SC" w:eastAsia="Noto Sans CJK SC"/>
        </w:rPr>
        <w:t>圖2 全球公共深偽治理文獻的座標分布與緊急應變缺口</w:t>
      </w:r>
    </w:p>
    <w:p>
      <w:pPr>
        <w:spacing w:before="0" w:after="100" w:line="324" w:lineRule="auto"/>
        <w:jc w:val="left"/>
      </w:pPr>
      <w:r>
        <w:rPr>
          <w:rFonts w:ascii="Noto Sans CJK SC" w:hAnsi="Noto Sans CJK SC" w:eastAsia="Noto Sans CJK SC"/>
        </w:rPr>
        <w:t>註：每一文獻以「分析層次×分析單位」表示主要重心，立體高度區分事前預防、事件中應變與事後追責。定位呈現研究聚落與可能缺口，不代表文獻品質、治理績效或統計距離。2×3的正式座標為「制度分工×組織」；紅色標記所示的暫時主責與升級問題，是該格在本研究中的經驗含義。本文採目的性選取文獻進行探索性定位，不能據此推論全球文獻全面缺位。資料來源：作者依文獻及官方文件整理。</w:t>
      </w:r>
    </w:p>
    <w:p>
      <w:pPr>
        <w:spacing w:before="0" w:after="100" w:line="324" w:lineRule="auto"/>
      </w:pPr>
      <w:r>
        <w:rPr>
          <w:rFonts w:ascii="Noto Sans CJK SC" w:hAnsi="Noto Sans CJK SC" w:eastAsia="Noto Sans CJK SC"/>
        </w:rPr>
        <w:t>圖2顯示，全球研究並不缺少原則、法律或偵測技術。真正較少被接成事件流程的，是中間那一段行政工作：真偽仍待查核時，哪一機關先發布暫時判斷？技術單位、目的事業主管機關、檢警調與國安體系如何交換證據？什麼條件足以升級，又由誰負責解除？這個2×3缺口不是理論上的空格，而是本文主要讀者在事件發生時必須承擔的工作位置。</w:t>
      </w:r>
    </w:p>
    <w:p>
      <w:pPr>
        <w:spacing w:before="0" w:after="100" w:line="324" w:lineRule="auto"/>
      </w:pPr>
      <w:r>
        <w:rPr>
          <w:rFonts w:ascii="Noto Sans CJK SC" w:hAnsi="Noto Sans CJK SC" w:eastAsia="Noto Sans CJK SC"/>
        </w:rPr>
        <w:t>表1採曼哈頓距離表示跨格幅度：D＝|L₂－L₁|＋|U₂－U₁|，其中L為分析層次，U為分析單位。D只表示從起始座標移至最終落點所跨越的格數，不是統計距離、危害程度或治理優劣。臺灣案例由個人啟動侵害排除後移向多機關協力，距離最長；歐盟由平台運作上移至超國家監理；羅馬尼亞由平台與競選傳播快速升高為憲政及國安問題；明尼蘇達州則主要在同一社會單位內進入制度與司法分工。案例的用途，是檢查事件升級時哪一條治理鏈承受壓力。</w:t>
      </w:r>
    </w:p>
    <w:p>
      <w:pPr>
        <w:spacing w:after="20"/>
      </w:pPr>
      <w:r>
        <w:rPr>
          <w:rFonts w:ascii="Noto Sans CJK SC" w:hAnsi="Noto Sans CJK SC" w:eastAsia="Noto Sans CJK SC"/>
        </w:rPr>
      </w:r>
    </w:p>
    <w:p>
      <w:pPr>
        <w:pStyle w:val="Heading2"/>
        <w:spacing w:before="0" w:after="120"/>
      </w:pPr>
      <w:r>
        <w:rPr>
          <w:rFonts w:ascii="Noto Sans CJK SC" w:hAnsi="Noto Sans CJK SC" w:eastAsia="Noto Sans CJK SC"/>
        </w:rPr>
        <w:t>二、三種結構效應</w:t>
      </w:r>
    </w:p>
    <w:p>
      <w:pPr>
        <w:spacing w:before="0" w:after="120"/>
        <w:ind w:firstLine="420"/>
        <w:jc w:val="both"/>
      </w:pPr>
      <w:r>
        <w:rPr>
          <w:rFonts w:ascii="Noto Sans CJK SC" w:hAnsi="Noto Sans CJK SC" w:eastAsia="Noto Sans CJK SC"/>
        </w:rPr>
        <w:t>當平台推薦、內容鑑識或下架作業不再只是技術問題，而開始影響選舉制度與民主價值，就是「跨座標移動」。當技術規格與行政判斷難以分開，就是「邊界消解」。當平台或鑑識機構實際左右結果，法定機關卻未必掌握全部資訊，就是「權威重構」。這些概念只是協助觀察，不預先認定制度一定失敗。</w:t>
      </w:r>
    </w:p>
    <w:p>
      <w:pPr>
        <w:pStyle w:val="Heading2"/>
        <w:spacing w:before="0" w:after="120"/>
      </w:pPr>
      <w:r>
        <w:rPr>
          <w:rFonts w:ascii="Noto Sans CJK SC" w:hAnsi="Noto Sans CJK SC" w:eastAsia="Noto Sans CJK SC"/>
        </w:rPr>
        <w:t>三、四條治理鏈</w:t>
      </w:r>
    </w:p>
    <w:p>
      <w:pPr>
        <w:spacing w:before="0" w:after="120"/>
        <w:ind w:firstLine="420"/>
        <w:jc w:val="both"/>
      </w:pPr>
      <w:r>
        <w:rPr>
          <w:rFonts w:ascii="Noto Sans CJK SC" w:hAnsi="Noto Sans CJK SC" w:eastAsia="Noto Sans CJK SC"/>
        </w:rPr>
        <w:t>四條治理鏈各問一個不能省略的問題：事情目前被說成什麼問題？誰有權處理？介入理由是否充分？如果判斷錯誤，最後由誰說明並補救？它們不是四個先後步驟，而是同一事件中必須同時維持的制度關係。座標回答問題在哪裡；治理鏈回答制度如何接手；審計則在事後檢查接手過程留下了什麼。工具若不能維持這項分工，工具愈多，反而愈容易遮住原來要處理的問題。</w:t>
      </w:r>
    </w:p>
    <w:p>
      <w:pPr>
        <w:pStyle w:val="Heading1"/>
        <w:spacing w:before="0" w:after="120"/>
      </w:pPr>
      <w:r>
        <w:rPr>
          <w:rFonts w:ascii="Noto Sans CJK SC" w:hAnsi="Noto Sans CJK SC" w:eastAsia="Noto Sans CJK SC"/>
        </w:rPr>
        <w:t>參、研究方法：文件比較與情境壓力測試</w:t>
      </w:r>
    </w:p>
    <w:p>
      <w:pPr>
        <w:pStyle w:val="Heading2"/>
        <w:spacing w:before="0" w:after="120"/>
      </w:pPr>
      <w:r>
        <w:rPr>
          <w:rFonts w:ascii="Noto Sans CJK SC" w:hAnsi="Noto Sans CJK SC" w:eastAsia="Noto Sans CJK SC"/>
        </w:rPr>
        <w:t>一、研究設計</w:t>
      </w:r>
    </w:p>
    <w:p>
      <w:pPr>
        <w:spacing w:before="0" w:after="100" w:line="324" w:lineRule="auto"/>
        <w:ind w:firstLine="420"/>
        <w:jc w:val="both"/>
      </w:pPr>
      <w:r>
        <w:rPr>
          <w:rFonts w:ascii="Noto Sans CJK SC" w:hAnsi="Noto Sans CJK SC" w:eastAsia="Noto Sans CJK SC"/>
        </w:rPr>
        <w:t>本文採質性主導的嵌入式設計，以官方法規、裁判、機關文件及可核實學術研究進行結構化焦點比較，再以元首遭AI冒用的高不確定、高後果情境進行壓力測試。七項治理審計只協助整理制度缺口，不是統計證明；思想實驗也不被當成已發生的經驗資料。 案例跨格距離採曼哈頓距離D表示；D僅為描述性指標，不承載因果權重，也不代表危害程度或治理績效。</w:t>
      </w:r>
    </w:p>
    <w:p>
      <w:pPr>
        <w:pStyle w:val="Heading2"/>
        <w:spacing w:before="0" w:after="120"/>
      </w:pPr>
      <w:r>
        <w:rPr>
          <w:rFonts w:ascii="Noto Sans CJK SC" w:hAnsi="Noto Sans CJK SC" w:eastAsia="Noto Sans CJK SC"/>
        </w:rPr>
        <w:t>二、案例選擇與可比性</w:t>
      </w:r>
    </w:p>
    <w:p>
      <w:pPr>
        <w:spacing w:before="0" w:after="100" w:line="324" w:lineRule="auto"/>
        <w:ind w:firstLine="420"/>
        <w:jc w:val="both"/>
      </w:pPr>
      <w:r>
        <w:rPr>
          <w:rFonts w:ascii="Noto Sans CJK SC" w:hAnsi="Noto Sans CJK SC" w:eastAsia="Noto Sans CJK SC"/>
        </w:rPr>
        <w:t>四案不是同一種深偽事件，而是依制度路徑的差異選取。比較維持相同提問：事件最初被說成什麼問題、由誰取得處理權、介入理由如何形成、責任由誰承擔，以及事件如何從平台或個人層次升高到制度、政策或國安層次。</w:t>
      </w:r>
    </w:p>
    <w:p>
      <w:pPr>
        <w:spacing w:after="20"/>
      </w:pPr>
      <w:r>
        <w:rPr>
          <w:rFonts w:ascii="Noto Sans CJK SC" w:hAnsi="Noto Sans CJK SC" w:eastAsia="Noto Sans CJK SC"/>
        </w:rPr>
      </w:r>
    </w:p>
    <w:p>
      <w:pPr>
        <w:spacing w:before="0" w:after="120"/>
        <w:ind w:firstLine="420"/>
        <w:jc w:val="both"/>
      </w:pPr>
      <w:r>
        <w:rPr>
          <w:rFonts w:ascii="Noto Sans CJK SC" w:hAnsi="Noto Sans CJK SC" w:eastAsia="Noto Sans CJK SC"/>
        </w:rPr>
        <w:t>核心法律與制度主張以官方法規、裁判及機關文件為優先。新聞報導只用來辨識事件線索，不作為決定法規內容或法院結論的主要依據。文件截點為2026年8月4日；後續若有裁判、執法處分或選舉事件，應另行更新。</w:t>
      </w:r>
    </w:p>
    <w:p>
      <w:pPr>
        <w:pStyle w:val="Heading2"/>
        <w:spacing w:before="0" w:after="120"/>
      </w:pPr>
      <w:r>
        <w:rPr>
          <w:rFonts w:ascii="Noto Sans CJK SC" w:hAnsi="Noto Sans CJK SC" w:eastAsia="Noto Sans CJK SC"/>
        </w:rPr>
        <w:t>三、七項治理審計與評分規則</w:t>
      </w:r>
    </w:p>
    <w:p>
      <w:pPr>
        <w:spacing w:before="0" w:after="120"/>
        <w:ind w:firstLine="420"/>
        <w:jc w:val="both"/>
      </w:pPr>
      <w:r>
        <w:rPr>
          <w:rFonts w:ascii="Noto Sans CJK SC" w:hAnsi="Noto Sans CJK SC" w:eastAsia="Noto Sans CJK SC"/>
        </w:rPr>
        <w:t>七項治理審計用來檢查資料、理由、責任、隱私與資安、裁量邊界、組織能力及民主課責。理由與責任必須分開：前者問「為什麼可以這樣決定」，後者問「如果出錯，誰必須承擔」。詳細評分規則移至附錄，避免中斷正文閱讀。</w:t>
      </w:r>
    </w:p>
    <w:p>
      <w:pPr>
        <w:spacing w:after="20"/>
      </w:pPr>
      <w:r>
        <w:rPr>
          <w:rFonts w:ascii="Noto Sans CJK SC" w:hAnsi="Noto Sans CJK SC" w:eastAsia="Noto Sans CJK SC"/>
        </w:rPr>
      </w:r>
    </w:p>
    <w:p>
      <w:pPr>
        <w:spacing w:before="0" w:after="120"/>
        <w:ind w:firstLine="420"/>
        <w:jc w:val="both"/>
      </w:pPr>
      <w:r>
        <w:rPr>
          <w:rFonts w:ascii="Noto Sans CJK SC" w:hAnsi="Noto Sans CJK SC" w:eastAsia="Noto Sans CJK SC"/>
        </w:rPr>
        <w:t>同一法域內文件發生衝突時，以法規與終局裁判優先於新聞稿及行政說明；若衝突本身正是制度現象，評分應反映其未收斂程度並保留理由備忘錄。本文由單一研究者編碼，故結果只能視為探索性結構化比較。未進行跨編碼者信度、德菲法或統計推論。</w:t>
      </w:r>
    </w:p>
    <w:p>
      <w:pPr>
        <w:pStyle w:val="Heading2"/>
      </w:pPr>
      <w:r>
        <w:rPr>
          <w:rFonts w:ascii="Noto Sans CJK SC" w:hAnsi="Noto Sans CJK SC" w:eastAsia="Noto Sans CJK SC"/>
        </w:rPr>
        <w:t>四、元首遭冒用情境的壓力測試</w:t>
      </w:r>
    </w:p>
    <w:p>
      <w:pPr>
        <w:spacing w:line="324" w:lineRule="auto" w:after="100"/>
      </w:pPr>
      <w:r>
        <w:rPr>
          <w:rFonts w:ascii="Noto Sans CJK SC" w:hAnsi="Noto Sans CJK SC" w:eastAsia="Noto Sans CJK SC"/>
        </w:rPr>
        <w:t>壓力測試設定如下：高度緊張時期，一段疑似總統宣布緊急動員、撤離或市場停止交易的影音快速傳播。初始階段無法確定真偽，也沒有證據顯示正式軍事指揮系統遭到入侵。分析不預設最壞結果必然發生，而是交叉檢查『證據可信度』與『預期後果』。可信度低、後果有限時，以保存與監測為主；可信度提高但後果有限時，依普通程序處理；後果重大而真偽未明時，採取暫時、可逆的控制措施並快速確認；證據與重大後果均已具體化時，才啟動完整跨機關應變與追責。</w:t>
      </w:r>
    </w:p>
    <w:p>
      <w:pPr>
        <w:jc w:val="center"/>
      </w:pPr>
      <w:r>
        <w:rPr>
          <w:rFonts w:ascii="Noto Sans CJK SC" w:hAnsi="Noto Sans CJK SC" w:eastAsia="Noto Sans CJK SC"/>
        </w:rPr>
        <w:t>表2 可信度×預期後果之公共深偽事件分級</w:t>
      </w:r>
    </w:p>
    <w:tbl>
      <w:tblPr>
        <w:tblW w:type="auto" w:w="0"/>
        <w:jc w:val="center"/>
        <w:tblLayout w:type="fixed"/>
        <w:tblLook w:firstColumn="1" w:firstRow="1" w:lastColumn="0" w:lastRow="0" w:noHBand="0" w:noVBand="1" w:val="04A0"/>
      </w:tblPr>
      <w:tblGrid>
        <w:gridCol w:w="1350"/>
        <w:gridCol w:w="2200"/>
        <w:gridCol w:w="3000"/>
        <w:gridCol w:w="1850"/>
      </w:tblGrid>
      <w:tr>
        <w:trPr>
          <w:tblHeader w:val="true"/>
        </w:trPr>
        <w:tc>
          <w:tcPr>
            <w:tcW w:type="dxa" w:w="1350"/>
            <w:vAlign w:val="center"/>
            <w:tcMar>
              <w:top w:w="80" w:type="dxa"/>
              <w:start w:w="100" w:type="dxa"/>
              <w:bottom w:w="80" w:type="dxa"/>
              <w:end w:w="100" w:type="dxa"/>
            </w:tcMar>
            <w:shd w:fill="D8E7F4"/>
          </w:tcPr>
          <w:p>
            <w:pPr>
              <w:spacing w:before="0" w:after="0" w:line="240" w:lineRule="auto"/>
            </w:pPr>
            <w:r>
              <w:rPr>
                <w:rFonts w:ascii="Noto Sans CJK SC" w:hAnsi="Noto Sans CJK SC" w:eastAsia="Noto Sans CJK SC"/>
                <w:b/>
                <w:color w:val="173A63"/>
                <w:sz w:val="15"/>
              </w:rPr>
              <w:t>事件狀態</w:t>
            </w:r>
          </w:p>
        </w:tc>
        <w:tc>
          <w:tcPr>
            <w:tcW w:type="dxa" w:w="2200"/>
            <w:vAlign w:val="center"/>
            <w:tcMar>
              <w:top w:w="80" w:type="dxa"/>
              <w:start w:w="100" w:type="dxa"/>
              <w:bottom w:w="80" w:type="dxa"/>
              <w:end w:w="100" w:type="dxa"/>
            </w:tcMar>
            <w:shd w:fill="D8E7F4"/>
          </w:tcPr>
          <w:p>
            <w:pPr>
              <w:spacing w:before="0" w:after="0" w:line="240" w:lineRule="auto"/>
            </w:pPr>
            <w:r>
              <w:rPr>
                <w:rFonts w:ascii="Noto Sans CJK SC" w:hAnsi="Noto Sans CJK SC" w:eastAsia="Noto Sans CJK SC"/>
                <w:b/>
                <w:color w:val="173A63"/>
                <w:sz w:val="15"/>
              </w:rPr>
              <w:t>第一時間措施</w:t>
            </w:r>
          </w:p>
        </w:tc>
        <w:tc>
          <w:tcPr>
            <w:tcW w:type="dxa" w:w="3000"/>
            <w:vAlign w:val="center"/>
            <w:tcMar>
              <w:top w:w="80" w:type="dxa"/>
              <w:start w:w="100" w:type="dxa"/>
              <w:bottom w:w="80" w:type="dxa"/>
              <w:end w:w="100" w:type="dxa"/>
            </w:tcMar>
            <w:shd w:fill="D8E7F4"/>
          </w:tcPr>
          <w:p>
            <w:pPr>
              <w:spacing w:before="0" w:after="0" w:line="240" w:lineRule="auto"/>
            </w:pPr>
            <w:r>
              <w:rPr>
                <w:rFonts w:ascii="Noto Sans CJK SC" w:hAnsi="Noto Sans CJK SC" w:eastAsia="Noto Sans CJK SC"/>
                <w:b/>
                <w:color w:val="173A63"/>
                <w:sz w:val="15"/>
              </w:rPr>
              <w:t>權限或規範依據類型</w:t>
            </w:r>
          </w:p>
        </w:tc>
        <w:tc>
          <w:tcPr>
            <w:tcW w:type="dxa" w:w="1850"/>
            <w:vAlign w:val="center"/>
            <w:tcMar>
              <w:top w:w="80" w:type="dxa"/>
              <w:start w:w="100" w:type="dxa"/>
              <w:bottom w:w="80" w:type="dxa"/>
              <w:end w:w="100" w:type="dxa"/>
            </w:tcMar>
            <w:shd w:fill="D8E7F4"/>
          </w:tcPr>
          <w:p>
            <w:pPr>
              <w:spacing w:before="0" w:after="0" w:line="240" w:lineRule="auto"/>
            </w:pPr>
            <w:r>
              <w:rPr>
                <w:rFonts w:ascii="Noto Sans CJK SC" w:hAnsi="Noto Sans CJK SC" w:eastAsia="Noto Sans CJK SC"/>
                <w:b/>
                <w:color w:val="173A63"/>
                <w:sz w:val="15"/>
              </w:rPr>
              <w:t>升級條件</w:t>
            </w:r>
          </w:p>
        </w:tc>
      </w:tr>
      <w:tr>
        <w:tc>
          <w:tcPr>
            <w:tcW w:type="dxa" w:w="1350"/>
            <w:vAlign w:val="center"/>
            <w:tcMar>
              <w:top w:w="80" w:type="dxa"/>
              <w:start w:w="100" w:type="dxa"/>
              <w:bottom w:w="80" w:type="dxa"/>
              <w:end w:w="100" w:type="dxa"/>
            </w:tcMar>
          </w:tcPr>
          <w:p>
            <w:pPr>
              <w:spacing w:before="0" w:after="0" w:line="240" w:lineRule="auto"/>
              <w:jc w:val="center"/>
            </w:pPr>
            <w:r>
              <w:rPr>
                <w:rFonts w:ascii="Noto Sans CJK SC" w:hAnsi="Noto Sans CJK SC" w:eastAsia="Noto Sans CJK SC"/>
                <w:sz w:val="15"/>
              </w:rPr>
              <w:t>低可信度／低後果</w:t>
            </w:r>
          </w:p>
        </w:tc>
        <w:tc>
          <w:tcPr>
            <w:tcW w:type="dxa" w:w="2200"/>
            <w:vAlign w:val="center"/>
            <w:tcMar>
              <w:top w:w="80" w:type="dxa"/>
              <w:start w:w="100" w:type="dxa"/>
              <w:bottom w:w="80" w:type="dxa"/>
              <w:end w:w="100" w:type="dxa"/>
            </w:tcMar>
          </w:tcPr>
          <w:p>
            <w:pPr>
              <w:spacing w:before="0" w:after="0" w:line="240" w:lineRule="auto"/>
            </w:pPr>
            <w:r>
              <w:rPr>
                <w:rFonts w:ascii="Noto Sans CJK SC" w:hAnsi="Noto Sans CJK SC" w:eastAsia="Noto Sans CJK SC"/>
                <w:sz w:val="15"/>
              </w:rPr>
              <w:t>保存、監測、一般查核</w:t>
            </w:r>
          </w:p>
        </w:tc>
        <w:tc>
          <w:tcPr>
            <w:tcW w:type="dxa" w:w="3000"/>
            <w:vAlign w:val="center"/>
            <w:tcMar>
              <w:top w:w="80" w:type="dxa"/>
              <w:start w:w="100" w:type="dxa"/>
              <w:bottom w:w="80" w:type="dxa"/>
              <w:end w:w="100" w:type="dxa"/>
            </w:tcMar>
          </w:tcPr>
          <w:p>
            <w:pPr>
              <w:spacing w:before="0" w:after="0" w:line="240" w:lineRule="auto"/>
            </w:pPr>
            <w:r>
              <w:rPr>
                <w:rFonts w:ascii="Noto Sans CJK SC" w:hAnsi="Noto Sans CJK SC" w:eastAsia="Noto Sans CJK SC"/>
                <w:sz w:val="15"/>
              </w:rPr>
              <w:t>機關一般資訊蒐集與紀錄保存職權；不採強制限制</w:t>
            </w:r>
          </w:p>
        </w:tc>
        <w:tc>
          <w:tcPr>
            <w:tcW w:type="dxa" w:w="1850"/>
            <w:vAlign w:val="center"/>
            <w:tcMar>
              <w:top w:w="80" w:type="dxa"/>
              <w:start w:w="100" w:type="dxa"/>
              <w:bottom w:w="80" w:type="dxa"/>
              <w:end w:w="100" w:type="dxa"/>
            </w:tcMar>
          </w:tcPr>
          <w:p>
            <w:pPr>
              <w:spacing w:before="0" w:after="0" w:line="240" w:lineRule="auto"/>
            </w:pPr>
            <w:r>
              <w:rPr>
                <w:rFonts w:ascii="Noto Sans CJK SC" w:hAnsi="Noto Sans CJK SC" w:eastAsia="Noto Sans CJK SC"/>
                <w:sz w:val="15"/>
              </w:rPr>
              <w:t>傳播或可信度顯著上升</w:t>
            </w:r>
          </w:p>
        </w:tc>
      </w:tr>
      <w:tr>
        <w:tc>
          <w:tcPr>
            <w:tcW w:type="dxa" w:w="1350"/>
            <w:vAlign w:val="center"/>
            <w:tcMar>
              <w:top w:w="80" w:type="dxa"/>
              <w:start w:w="100" w:type="dxa"/>
              <w:bottom w:w="80" w:type="dxa"/>
              <w:end w:w="100" w:type="dxa"/>
            </w:tcMar>
            <w:shd w:fill="F5F8FB"/>
          </w:tcPr>
          <w:p>
            <w:pPr>
              <w:spacing w:before="0" w:after="0" w:line="240" w:lineRule="auto"/>
              <w:jc w:val="center"/>
            </w:pPr>
            <w:r>
              <w:rPr>
                <w:rFonts w:ascii="Noto Sans CJK SC" w:hAnsi="Noto Sans CJK SC" w:eastAsia="Noto Sans CJK SC"/>
                <w:sz w:val="15"/>
              </w:rPr>
              <w:t>高可信度／低後果</w:t>
            </w:r>
          </w:p>
        </w:tc>
        <w:tc>
          <w:tcPr>
            <w:tcW w:type="dxa" w:w="2200"/>
            <w:vAlign w:val="center"/>
            <w:tcMar>
              <w:top w:w="80" w:type="dxa"/>
              <w:start w:w="100" w:type="dxa"/>
              <w:bottom w:w="80" w:type="dxa"/>
              <w:end w:w="100" w:type="dxa"/>
            </w:tcMar>
            <w:shd w:fill="F5F8FB"/>
          </w:tcPr>
          <w:p>
            <w:pPr>
              <w:spacing w:before="0" w:after="0" w:line="240" w:lineRule="auto"/>
            </w:pPr>
            <w:r>
              <w:rPr>
                <w:rFonts w:ascii="Noto Sans CJK SC" w:hAnsi="Noto Sans CJK SC" w:eastAsia="Noto Sans CJK SC"/>
                <w:sz w:val="15"/>
              </w:rPr>
              <w:t>依普通行政或司法程序處理</w:t>
            </w:r>
          </w:p>
        </w:tc>
        <w:tc>
          <w:tcPr>
            <w:tcW w:type="dxa" w:w="3000"/>
            <w:vAlign w:val="center"/>
            <w:tcMar>
              <w:top w:w="80" w:type="dxa"/>
              <w:start w:w="100" w:type="dxa"/>
              <w:bottom w:w="80" w:type="dxa"/>
              <w:end w:w="100" w:type="dxa"/>
            </w:tcMar>
            <w:shd w:fill="F5F8FB"/>
          </w:tcPr>
          <w:p>
            <w:pPr>
              <w:spacing w:before="0" w:after="0" w:line="240" w:lineRule="auto"/>
            </w:pPr>
            <w:r>
              <w:rPr>
                <w:rFonts w:ascii="Noto Sans CJK SC" w:hAnsi="Noto Sans CJK SC" w:eastAsia="Noto Sans CJK SC"/>
                <w:sz w:val="15"/>
              </w:rPr>
              <w:t>依具體危害適用既有行政法規、刑事或民事程序</w:t>
            </w:r>
          </w:p>
        </w:tc>
        <w:tc>
          <w:tcPr>
            <w:tcW w:type="dxa" w:w="1850"/>
            <w:vAlign w:val="center"/>
            <w:tcMar>
              <w:top w:w="80" w:type="dxa"/>
              <w:start w:w="100" w:type="dxa"/>
              <w:bottom w:w="80" w:type="dxa"/>
              <w:end w:w="100" w:type="dxa"/>
            </w:tcMar>
            <w:shd w:fill="F5F8FB"/>
          </w:tcPr>
          <w:p>
            <w:pPr>
              <w:spacing w:before="0" w:after="0" w:line="240" w:lineRule="auto"/>
            </w:pPr>
            <w:r>
              <w:rPr>
                <w:rFonts w:ascii="Noto Sans CJK SC" w:hAnsi="Noto Sans CJK SC" w:eastAsia="Noto Sans CJK SC"/>
                <w:sz w:val="15"/>
              </w:rPr>
              <w:t>出現廣泛行為誘發或制度影響</w:t>
            </w:r>
          </w:p>
        </w:tc>
      </w:tr>
      <w:tr>
        <w:tc>
          <w:tcPr>
            <w:tcW w:type="dxa" w:w="1350"/>
            <w:vAlign w:val="center"/>
            <w:tcMar>
              <w:top w:w="80" w:type="dxa"/>
              <w:start w:w="100" w:type="dxa"/>
              <w:bottom w:w="80" w:type="dxa"/>
              <w:end w:w="100" w:type="dxa"/>
            </w:tcMar>
          </w:tcPr>
          <w:p>
            <w:pPr>
              <w:spacing w:before="0" w:after="0" w:line="240" w:lineRule="auto"/>
              <w:jc w:val="center"/>
            </w:pPr>
            <w:r>
              <w:rPr>
                <w:rFonts w:ascii="Noto Sans CJK SC" w:hAnsi="Noto Sans CJK SC" w:eastAsia="Noto Sans CJK SC"/>
                <w:sz w:val="15"/>
              </w:rPr>
              <w:t>低可信度／高後果</w:t>
            </w:r>
          </w:p>
        </w:tc>
        <w:tc>
          <w:tcPr>
            <w:tcW w:type="dxa" w:w="2200"/>
            <w:vAlign w:val="center"/>
            <w:tcMar>
              <w:top w:w="80" w:type="dxa"/>
              <w:start w:w="100" w:type="dxa"/>
              <w:bottom w:w="80" w:type="dxa"/>
              <w:end w:w="100" w:type="dxa"/>
            </w:tcMar>
          </w:tcPr>
          <w:p>
            <w:pPr>
              <w:spacing w:before="0" w:after="0" w:line="240" w:lineRule="auto"/>
            </w:pPr>
            <w:r>
              <w:rPr>
                <w:rFonts w:ascii="Noto Sans CJK SC" w:hAnsi="Noto Sans CJK SC" w:eastAsia="Noto Sans CJK SC"/>
                <w:sz w:val="15"/>
              </w:rPr>
              <w:t>權威性澄清、公布查核狀態；快速驗證、指定暫時主責</w:t>
            </w:r>
          </w:p>
        </w:tc>
        <w:tc>
          <w:tcPr>
            <w:tcW w:type="dxa" w:w="3000"/>
            <w:vAlign w:val="center"/>
            <w:tcMar>
              <w:top w:w="80" w:type="dxa"/>
              <w:start w:w="100" w:type="dxa"/>
              <w:bottom w:w="80" w:type="dxa"/>
              <w:end w:w="100" w:type="dxa"/>
            </w:tcMar>
          </w:tcPr>
          <w:p>
            <w:pPr>
              <w:spacing w:before="0" w:after="0" w:line="240" w:lineRule="auto"/>
            </w:pPr>
            <w:r>
              <w:rPr>
                <w:rFonts w:ascii="Noto Sans CJK SC" w:hAnsi="Noto Sans CJK SC" w:eastAsia="Noto Sans CJK SC"/>
                <w:sz w:val="15"/>
              </w:rPr>
              <w:t>被冒用機關依職權澄清；平台依服務條款標示／降低放大；行政限制須另有法律依據</w:t>
            </w:r>
          </w:p>
        </w:tc>
        <w:tc>
          <w:tcPr>
            <w:tcW w:type="dxa" w:w="1850"/>
            <w:vAlign w:val="center"/>
            <w:tcMar>
              <w:top w:w="80" w:type="dxa"/>
              <w:start w:w="100" w:type="dxa"/>
              <w:bottom w:w="80" w:type="dxa"/>
              <w:end w:w="100" w:type="dxa"/>
            </w:tcMar>
          </w:tcPr>
          <w:p>
            <w:pPr>
              <w:spacing w:before="0" w:after="0" w:line="240" w:lineRule="auto"/>
            </w:pPr>
            <w:r>
              <w:rPr>
                <w:rFonts w:ascii="Noto Sans CJK SC" w:hAnsi="Noto Sans CJK SC" w:eastAsia="Noto Sans CJK SC"/>
                <w:sz w:val="15"/>
              </w:rPr>
              <w:t>出現境外、駭侵、協同操弄或不可逆後果</w:t>
            </w:r>
          </w:p>
        </w:tc>
      </w:tr>
      <w:tr>
        <w:tc>
          <w:tcPr>
            <w:tcW w:type="dxa" w:w="1350"/>
            <w:vAlign w:val="center"/>
            <w:tcMar>
              <w:top w:w="80" w:type="dxa"/>
              <w:start w:w="100" w:type="dxa"/>
              <w:bottom w:w="80" w:type="dxa"/>
              <w:end w:w="100" w:type="dxa"/>
            </w:tcMar>
            <w:shd w:fill="F5F8FB"/>
          </w:tcPr>
          <w:p>
            <w:pPr>
              <w:spacing w:before="0" w:after="0" w:line="240" w:lineRule="auto"/>
              <w:jc w:val="center"/>
            </w:pPr>
            <w:r>
              <w:rPr>
                <w:rFonts w:ascii="Noto Sans CJK SC" w:hAnsi="Noto Sans CJK SC" w:eastAsia="Noto Sans CJK SC"/>
                <w:sz w:val="15"/>
              </w:rPr>
              <w:t>高可信度／高後果</w:t>
            </w:r>
          </w:p>
        </w:tc>
        <w:tc>
          <w:tcPr>
            <w:tcW w:type="dxa" w:w="2200"/>
            <w:vAlign w:val="center"/>
            <w:tcMar>
              <w:top w:w="80" w:type="dxa"/>
              <w:start w:w="100" w:type="dxa"/>
              <w:bottom w:w="80" w:type="dxa"/>
              <w:end w:w="100" w:type="dxa"/>
            </w:tcMar>
            <w:shd w:fill="F5F8FB"/>
          </w:tcPr>
          <w:p>
            <w:pPr>
              <w:spacing w:before="0" w:after="0" w:line="240" w:lineRule="auto"/>
            </w:pPr>
            <w:r>
              <w:rPr>
                <w:rFonts w:ascii="Noto Sans CJK SC" w:hAnsi="Noto Sans CJK SC" w:eastAsia="Noto Sans CJK SC"/>
                <w:sz w:val="15"/>
              </w:rPr>
              <w:t>跨機關應變、依法處置、統一說明與追責</w:t>
            </w:r>
          </w:p>
        </w:tc>
        <w:tc>
          <w:tcPr>
            <w:tcW w:type="dxa" w:w="3000"/>
            <w:vAlign w:val="center"/>
            <w:tcMar>
              <w:top w:w="80" w:type="dxa"/>
              <w:start w:w="100" w:type="dxa"/>
              <w:bottom w:w="80" w:type="dxa"/>
              <w:end w:w="100" w:type="dxa"/>
            </w:tcMar>
            <w:shd w:fill="F5F8FB"/>
          </w:tcPr>
          <w:p>
            <w:pPr>
              <w:spacing w:before="0" w:after="0" w:line="240" w:lineRule="auto"/>
            </w:pPr>
            <w:r>
              <w:rPr>
                <w:rFonts w:ascii="Noto Sans CJK SC" w:hAnsi="Noto Sans CJK SC" w:eastAsia="Noto Sans CJK SC"/>
                <w:sz w:val="15"/>
              </w:rPr>
              <w:t>選罷法侵害排除、資安法定通報，或依犯罪、國安、國防法制處理</w:t>
            </w:r>
          </w:p>
        </w:tc>
        <w:tc>
          <w:tcPr>
            <w:tcW w:type="dxa" w:w="1850"/>
            <w:vAlign w:val="center"/>
            <w:tcMar>
              <w:top w:w="80" w:type="dxa"/>
              <w:start w:w="100" w:type="dxa"/>
              <w:bottom w:w="80" w:type="dxa"/>
              <w:end w:w="100" w:type="dxa"/>
            </w:tcMar>
            <w:shd w:fill="F5F8FB"/>
          </w:tcPr>
          <w:p>
            <w:pPr>
              <w:spacing w:before="0" w:after="0" w:line="240" w:lineRule="auto"/>
            </w:pPr>
            <w:r>
              <w:rPr>
                <w:rFonts w:ascii="Noto Sans CJK SC" w:hAnsi="Noto Sans CJK SC" w:eastAsia="Noto Sans CJK SC"/>
                <w:sz w:val="15"/>
              </w:rPr>
              <w:t>依危害進入資安、犯罪、國安或國防程序</w:t>
            </w:r>
          </w:p>
        </w:tc>
      </w:tr>
    </w:tbl>
    <w:p>
      <w:pPr>
        <w:pStyle w:val="Heading1"/>
        <w:spacing w:before="0" w:after="120"/>
      </w:pPr>
      <w:r>
        <w:rPr>
          <w:rFonts w:ascii="Noto Sans CJK SC" w:hAnsi="Noto Sans CJK SC" w:eastAsia="Noto Sans CJK SC"/>
        </w:rPr>
        <w:t>肆、四個制度案例：資訊危害如何被不同法域接住</w:t>
      </w:r>
    </w:p>
    <w:p>
      <w:pPr>
        <w:pStyle w:val="Heading2"/>
        <w:spacing w:before="0" w:after="120"/>
      </w:pPr>
      <w:r>
        <w:rPr>
          <w:rFonts w:ascii="Noto Sans CJK SC" w:hAnsi="Noto Sans CJK SC" w:eastAsia="Noto Sans CJK SC"/>
        </w:rPr>
        <w:t>一、羅馬尼亞：憲政收斂與證據正當性（Romanian Constitutional Court, 2024；European Commission for Democracy through Law [Venice Commission], 2025）</w:t>
      </w:r>
    </w:p>
    <w:p>
      <w:pPr>
        <w:spacing w:before="0" w:after="120"/>
        <w:ind w:firstLine="420"/>
        <w:jc w:val="both"/>
      </w:pPr>
      <w:r>
        <w:rPr>
          <w:rFonts w:ascii="Noto Sans CJK SC" w:hAnsi="Noto Sans CJK SC" w:eastAsia="Noto Sans CJK SC"/>
        </w:rPr>
        <w:t>羅馬尼亞憲法法院於2024年12月6日撤銷總統選舉程序，理由涉及競選法規違反、社群媒體上的協同操弄與資訊不對稱。Ruling No. 32/2024及後續Venice Commission報告顯示，事件核心不是已證實的單一深偽影音，而是平台可見度、競選財務、外部影響與選舉自由形成之整體風險。歐盟執委會同月針對TikTok可能未適當評估及緩解選舉系統性風險啟動正式程序，但特別區分DSA監理與羅馬尼亞國內選舉程序。</w:t>
      </w:r>
    </w:p>
    <w:p>
      <w:pPr>
        <w:spacing w:before="0" w:after="120"/>
        <w:ind w:firstLine="420"/>
        <w:jc w:val="both"/>
      </w:pPr>
      <w:r>
        <w:rPr>
          <w:rFonts w:ascii="Noto Sans CJK SC" w:hAnsi="Noto Sans CJK SC" w:eastAsia="Noto Sans CJK SC"/>
        </w:rPr>
        <w:t>此案的情境建構由平台風險迅速上移為憲政與國家安全問題；權威鏈集中於憲法法院，並依賴情報機關所提供的材料。收斂速度很高，卻不等於理由鏈沒有問題。Venice Commission所關切的正是選舉撤銷應具有充分程序保障、明確證據及比例性。羅馬尼亞因此比較接近「權威收斂但理由鏈承壓」，不能簡化為治理成功或深偽導致撤選。</w:t>
      </w:r>
    </w:p>
    <w:p>
      <w:pPr>
        <w:pStyle w:val="Heading2"/>
        <w:spacing w:before="0" w:after="120"/>
      </w:pPr>
      <w:r>
        <w:rPr>
          <w:rFonts w:ascii="Noto Sans CJK SC" w:hAnsi="Noto Sans CJK SC" w:eastAsia="Noto Sans CJK SC"/>
        </w:rPr>
        <w:t>二、明尼蘇達州：規範深偽與憲法審查</w:t>
      </w:r>
    </w:p>
    <w:p>
      <w:pPr>
        <w:spacing w:before="0" w:after="120"/>
        <w:ind w:firstLine="420"/>
        <w:jc w:val="both"/>
      </w:pPr>
      <w:r>
        <w:rPr>
          <w:rFonts w:ascii="Noto Sans CJK SC" w:hAnsi="Noto Sans CJK SC" w:eastAsia="Noto Sans CJK SC"/>
        </w:rPr>
        <w:t>Minnesota Statutes §609.771禁止在特定選舉期間，以明知或輕率忽視真偽的狀態散布深偽，且須同時符合未經被描繪者同意、意圖傷害候選人或影響選舉結果等要件。時間要件包括政黨提名大會前90日，或自總統提名初選、一般或特別初選及選舉的缺席投票期間開始後，並非單純的「投票前90日」。（Minnesota Revisor of Statutes, 2025）</w:t>
      </w:r>
    </w:p>
    <w:p>
      <w:pPr>
        <w:spacing w:before="0" w:after="120"/>
        <w:ind w:firstLine="420"/>
        <w:jc w:val="both"/>
      </w:pPr>
      <w:r>
        <w:rPr>
          <w:rFonts w:ascii="Noto Sans CJK SC" w:hAnsi="Noto Sans CJK SC" w:eastAsia="Noto Sans CJK SC"/>
        </w:rPr>
        <w:t>X Corp. v. Ellison, No. 25-cv-1649中，聯邦地方法院於2025年12月2日否決X就訴狀判決的動議；裁定涉及訴訟資格與Section 230等問題，其他憲法爭議仍受相關程序影響。本文因此不把案件寫成州法已被確認合憲或已被推翻。2025年國會一度出現限制州級AI規範的十年凍結方案，但參議院於7月1日以99比1通過刪除相關條款的修正案。這不是仍待成立的聯邦威脅，而是聯邦統一介入遭遇強烈政治阻力的證據。（United States Senate, 2025；X Corp. v. Ellison, 2025）</w:t>
      </w:r>
    </w:p>
    <w:p>
      <w:pPr>
        <w:spacing w:before="0" w:after="120"/>
        <w:ind w:firstLine="420"/>
        <w:jc w:val="both"/>
      </w:pPr>
      <w:r>
        <w:rPr>
          <w:rFonts w:ascii="Noto Sans CJK SC" w:hAnsi="Noto Sans CJK SC" w:eastAsia="Noto Sans CJK SC"/>
        </w:rPr>
        <w:t>明尼蘇達州案例反映的是差異化轉譯與權威競逐並存。州立法已建立禁止與救濟機制，但政治言論、諷刺、平台責任及訴訟資格仍須由法院逐步劃界。未終局收斂本身不等於治理失效；若當事人仍能進入司法程序，較適合判定為權威鏈尚在競逐。</w:t>
      </w:r>
    </w:p>
    <w:p>
      <w:pPr>
        <w:pStyle w:val="Heading2"/>
        <w:spacing w:before="0" w:after="120"/>
      </w:pPr>
      <w:r>
        <w:rPr>
          <w:rFonts w:ascii="Noto Sans CJK SC" w:hAnsi="Noto Sans CJK SC" w:eastAsia="Noto Sans CJK SC"/>
        </w:rPr>
        <w:t>三、歐盟：平台系統性風險的制度化</w:t>
      </w:r>
    </w:p>
    <w:p>
      <w:pPr>
        <w:spacing w:before="0" w:after="120"/>
        <w:ind w:firstLine="420"/>
        <w:jc w:val="both"/>
      </w:pPr>
      <w:r>
        <w:rPr>
          <w:rFonts w:ascii="Noto Sans CJK SC" w:hAnsi="Noto Sans CJK SC" w:eastAsia="Noto Sans CJK SC"/>
        </w:rPr>
        <w:t>歐盟以《數位服務法》要求超大型線上平台評估及緩解選舉等系統性風險。2024年12月17日，執委會因TikTok在羅馬尼亞選舉脈絡下可能違反風險評估與緩解義務而啟動正式程序，檢視推薦系統、政治廣告及協同操弄等風險。此一路徑不直接決定羅馬尼亞選舉是否有效，而是把平台如何設計與運作納入超國家行政監理。（European Commission, 2024a, 2024b）</w:t>
      </w:r>
    </w:p>
    <w:p>
      <w:pPr>
        <w:spacing w:before="0" w:after="120"/>
        <w:ind w:firstLine="420"/>
        <w:jc w:val="both"/>
      </w:pPr>
      <w:r>
        <w:rPr>
          <w:rFonts w:ascii="Noto Sans CJK SC" w:hAnsi="Noto Sans CJK SC" w:eastAsia="Noto Sans CJK SC"/>
        </w:rPr>
        <w:t>《AI法案》的透明規則自2026年8月起適用，要求特定AI生成內容可被識別，並對深偽及涉及公共利益事項的AI生成文本設置揭露要求。歐盟因此同時存在平台系統性風險與生成內容透明兩套制度。其優點是責任主體及行政監理較明確；限制則是會員國選舉法、言論保障與執委會平台監理仍然並行，不能把「制度化」誤寫為所有權限均已集中。（European Commission, 2026）</w:t>
      </w:r>
    </w:p>
    <w:p>
      <w:pPr>
        <w:pStyle w:val="Heading2"/>
        <w:spacing w:before="0" w:after="120"/>
      </w:pPr>
      <w:r>
        <w:rPr>
          <w:rFonts w:ascii="Noto Sans CJK SC" w:hAnsi="Noto Sans CJK SC" w:eastAsia="Noto Sans CJK SC"/>
        </w:rPr>
        <w:t>四、臺灣：侵害排除與啟動負擔私有化</w:t>
      </w:r>
    </w:p>
    <w:p>
      <w:pPr>
        <w:spacing w:before="0" w:after="120"/>
        <w:ind w:firstLine="420"/>
        <w:jc w:val="both"/>
      </w:pPr>
      <w:r>
        <w:rPr>
          <w:rFonts w:ascii="Noto Sans CJK SC" w:hAnsi="Noto Sans CJK SC" w:eastAsia="Noto Sans CJK SC"/>
        </w:rPr>
        <w:t>臺灣選舉法制提供深度偽造聲音影像的侵害排除機制。中選會制式請求書顯示，擬參選人、候選人、被罷免人或罷免案提議人領銜人得檢具鑑識資料，向廣播電視事業、網際網路平台或應用服務提供者請求停止刊播、限制瀏覽、移除或下架；未依法處理者可能受到選務機關裁罰。（中央選舉委員會，無日期）</w:t>
      </w:r>
    </w:p>
    <w:p>
      <w:pPr>
        <w:spacing w:before="0" w:after="120"/>
        <w:ind w:firstLine="420"/>
        <w:jc w:val="both"/>
      </w:pPr>
      <w:r>
        <w:rPr>
          <w:rFonts w:ascii="Noto Sans CJK SC" w:hAnsi="Noto Sans CJK SC" w:eastAsia="Noto Sans CJK SC"/>
        </w:rPr>
        <w:t>臺灣要求先取得警察機關鑑識資料，具有民主防衛上的制度理由：它避免行政機關在缺乏程序與技術依據時，直接判定政治言論真偽。國家也沒有完全退出，因為平台接獲合法請求後負有處理及保存義務，選務機關並保有後端裁罰權。問題因此不是中選會是否負責，而是候選人或其他法定當事人在完成鑑識、書面請求及通知以前，必須承擔多少時間與程序成本。資源較少的當事人能否同樣及時取得保護，才是本文所稱的「啟動負擔私有化」。</w:t>
      </w:r>
    </w:p>
    <w:p>
      <w:pPr>
        <w:pStyle w:val="Heading1"/>
        <w:spacing w:before="0" w:after="120"/>
      </w:pPr>
      <w:r>
        <w:rPr>
          <w:rFonts w:ascii="Noto Sans CJK SC" w:hAnsi="Noto Sans CJK SC" w:eastAsia="Noto Sans CJK SC"/>
        </w:rPr>
        <w:t>伍、比較結果：真正的缺口在行政接手</w:t>
      </w:r>
    </w:p>
    <w:p>
      <w:pPr>
        <w:spacing w:before="0" w:after="100" w:line="324" w:lineRule="auto"/>
        <w:ind w:firstLine="420"/>
        <w:jc w:val="both"/>
      </w:pPr>
      <w:r>
        <w:rPr>
          <w:rFonts w:ascii="Noto Sans CJK SC" w:hAnsi="Noto Sans CJK SC" w:eastAsia="Noto Sans CJK SC"/>
        </w:rPr>
        <w:t>四案的共同發現，不是所有深偽都應交給同一機關，而是資訊危害一旦跨越原有邊界，就必須重新指定權威與責任。羅馬尼亞快速收斂至憲法法院與國安論述，理由與證據承受高度壓力；明尼蘇達州由立法禁制進入言論自由與平台訴訟；歐盟把平台風險制度化為行政監理；臺灣則由受影響者先提出鑑識與侵害排除。差異不在誰比較重視民主誠信，而在事件由誰先接手、何時升級以及誰負擔啟動成本。</w:t>
      </w:r>
    </w:p>
    <w:p>
      <w:pPr>
        <w:spacing w:after="20"/>
      </w:pPr>
      <w:r>
        <w:rPr>
          <w:rFonts w:ascii="Noto Sans CJK SC" w:hAnsi="Noto Sans CJK SC" w:eastAsia="Noto Sans CJK SC"/>
        </w:rPr>
      </w:r>
    </w:p>
    <w:p>
      <w:pPr>
        <w:spacing w:before="0" w:after="100" w:line="324" w:lineRule="auto"/>
        <w:ind w:firstLine="420"/>
        <w:jc w:val="both"/>
      </w:pPr>
      <w:r>
        <w:rPr>
          <w:rFonts w:ascii="Noto Sans CJK SC" w:hAnsi="Noto Sans CJK SC" w:eastAsia="Noto Sans CJK SC"/>
        </w:rPr>
        <w:t>放回臺灣行政體系，最直接的使用者是國安局、調查局、資安署、資安院、國防部及行政院相關單位的研究員與中階行政官員。數發部處理數位服務、平台及政府資安的部分；檢警調處理犯罪與追責；NCC處理依法屬於廣電及通訊傳播監理的部分；中選會處理選舉法制；國科會支持研究能力，但不是第一線事件處理機關；涉及境外及國安時由國安體系統合，涉及軍事通信與戰備時才進入國防指揮鏈。 這些分工的判讀，以現行資安、平台內容管理、關鍵基礎設施與國防權責文件為制度背景，而非另行推定機關權限（行政院國土安全辦公室，2025；國家通訊傳播委員會，2025；國防部，無日期）。</w:t>
      </w:r>
    </w:p>
    <w:p>
      <w:pPr>
        <w:spacing w:before="0" w:after="100" w:line="324" w:lineRule="auto"/>
        <w:ind w:firstLine="420"/>
        <w:jc w:val="both"/>
      </w:pPr>
      <w:r>
        <w:rPr>
          <w:rFonts w:ascii="Noto Sans CJK SC" w:hAnsi="Noto Sans CJK SC" w:eastAsia="Noto Sans CJK SC"/>
        </w:rPr>
        <w:t>制度分工不是缺陷。真正的缺陷出現在事件尚未定性時：每一機關都承認其中一部分與自己有關，卻沒有人暫時整合證據、對外說明並提出升級判斷。圖2所標示的2×3，說的就是這種機關交界。問題不是政府沒有機關，而是機關之間缺少一個可以被追問的接手程序。</w:t>
      </w:r>
    </w:p>
    <w:p>
      <w:pPr>
        <w:pStyle w:val="Heading1"/>
        <w:spacing w:before="0" w:after="120"/>
      </w:pPr>
      <w:r>
        <w:rPr>
          <w:rFonts w:ascii="Noto Sans CJK SC" w:hAnsi="Noto Sans CJK SC" w:eastAsia="Noto Sans CJK SC"/>
        </w:rPr>
        <w:t>陸、分級應變：避免袖手旁觀與全面消殺</w:t>
      </w:r>
    </w:p>
    <w:p>
      <w:pPr>
        <w:keepNext/>
        <w:spacing w:before="0" w:after="40"/>
        <w:jc w:val="center"/>
      </w:pPr>
      <w:r>
        <w:rPr>
          <w:rFonts w:ascii="Noto Sans CJK SC" w:hAnsi="Noto Sans CJK SC" w:eastAsia="Noto Sans CJK SC"/>
        </w:rPr>
        <w:t>表3 制度結果的三層判斷</w:t>
      </w:r>
    </w:p>
    <w:tbl>
      <w:tblPr>
        <w:tblStyle w:val="TableGrid"/>
        <w:tblW w:type="auto" w:w="0"/>
        <w:jc w:val="center"/>
        <w:tblLayout w:type="fixed"/>
        <w:tblLook w:firstColumn="1" w:firstRow="1" w:lastColumn="0" w:lastRow="0" w:noHBand="0" w:noVBand="1" w:val="04A0"/>
      </w:tblPr>
      <w:tblGrid>
        <w:gridCol w:w="3024"/>
        <w:gridCol w:w="3024"/>
        <w:gridCol w:w="3024"/>
      </w:tblGrid>
      <w:tr>
        <w:trPr>
          <w:tblHeader/>
        </w:trPr>
        <w:tc>
          <w:tcPr>
            <w:tcW w:type="dxa" w:w="1474"/>
            <w:shd w:fill="D7E8F5"/>
            <w:tcMar>
              <w:top w:w="80" w:type="dxa"/>
              <w:start w:w="90" w:type="dxa"/>
              <w:bottom w:w="80" w:type="dxa"/>
              <w:end w:w="90" w:type="dxa"/>
            </w:tcMar>
            <w:vAlign w:val="center"/>
          </w:tcPr>
          <w:p>
            <w:pPr>
              <w:keepNext/>
              <w:spacing w:before="0" w:after="0" w:line="252" w:lineRule="auto"/>
              <w:jc w:val="left"/>
            </w:pPr>
            <w:r>
              <w:rPr>
                <w:rFonts w:ascii="Noto Sans CJK SC" w:hAnsi="Noto Sans CJK SC" w:eastAsia="Noto Sans CJK SC"/>
                <w:b/>
                <w:color w:val="173A63"/>
                <w:sz w:val="17"/>
              </w:rPr>
            </w:r>
            <w:r>
              <w:rPr>
                <w:rFonts w:ascii="Noto Sans CJK SC" w:hAnsi="Noto Sans CJK SC" w:eastAsia="Noto Sans CJK SC"/>
                <w:b/>
                <w:color w:val="173A63"/>
                <w:sz w:val="17"/>
              </w:rPr>
              <w:t>判斷層次</w:t>
            </w:r>
          </w:p>
        </w:tc>
        <w:tc>
          <w:tcPr>
            <w:tcW w:type="dxa" w:w="3515"/>
            <w:shd w:fill="D7E8F5"/>
            <w:tcMar>
              <w:top w:w="80" w:type="dxa"/>
              <w:start w:w="90" w:type="dxa"/>
              <w:bottom w:w="80" w:type="dxa"/>
              <w:end w:w="90" w:type="dxa"/>
            </w:tcMar>
            <w:vAlign w:val="center"/>
          </w:tcPr>
          <w:p>
            <w:pPr>
              <w:keepNext/>
              <w:spacing w:before="0" w:after="0" w:line="252" w:lineRule="auto"/>
              <w:jc w:val="left"/>
            </w:pPr>
            <w:r>
              <w:rPr>
                <w:rFonts w:ascii="Noto Sans CJK SC" w:hAnsi="Noto Sans CJK SC" w:eastAsia="Noto Sans CJK SC"/>
                <w:b/>
                <w:color w:val="173A63"/>
                <w:sz w:val="17"/>
              </w:rPr>
            </w:r>
            <w:r>
              <w:rPr>
                <w:rFonts w:ascii="Noto Sans CJK SC" w:hAnsi="Noto Sans CJK SC" w:eastAsia="Noto Sans CJK SC"/>
                <w:b/>
                <w:color w:val="173A63"/>
                <w:sz w:val="17"/>
              </w:rPr>
              <w:t>判準</w:t>
            </w:r>
          </w:p>
        </w:tc>
        <w:tc>
          <w:tcPr>
            <w:tcW w:type="dxa" w:w="4252"/>
            <w:shd w:fill="D7E8F5"/>
            <w:tcMar>
              <w:top w:w="80" w:type="dxa"/>
              <w:start w:w="90" w:type="dxa"/>
              <w:bottom w:w="80" w:type="dxa"/>
              <w:end w:w="90" w:type="dxa"/>
            </w:tcMar>
            <w:vAlign w:val="center"/>
          </w:tcPr>
          <w:p>
            <w:pPr>
              <w:keepNext/>
              <w:spacing w:before="0" w:after="0" w:line="252" w:lineRule="auto"/>
              <w:jc w:val="left"/>
            </w:pPr>
            <w:r>
              <w:rPr>
                <w:rFonts w:ascii="Noto Sans CJK SC" w:hAnsi="Noto Sans CJK SC" w:eastAsia="Noto Sans CJK SC"/>
                <w:b/>
                <w:color w:val="173A63"/>
                <w:sz w:val="17"/>
              </w:rPr>
            </w:r>
            <w:r>
              <w:rPr>
                <w:rFonts w:ascii="Noto Sans CJK SC" w:hAnsi="Noto Sans CJK SC" w:eastAsia="Noto Sans CJK SC"/>
                <w:b/>
                <w:color w:val="173A63"/>
                <w:sz w:val="17"/>
              </w:rPr>
              <w:t>本文案例中的表現</w:t>
            </w:r>
          </w:p>
        </w:tc>
      </w:tr>
      <w:tr>
        <w:tc>
          <w:tcPr>
            <w:tcW w:type="dxa" w:w="1474"/>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差異化轉譯</w:t>
            </w:r>
          </w:p>
        </w:tc>
        <w:tc>
          <w:tcPr>
            <w:tcW w:type="dxa" w:w="3515"/>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制度形式不同，但權威、理由、責任與救濟仍可運作</w:t>
            </w:r>
          </w:p>
        </w:tc>
        <w:tc>
          <w:tcPr>
            <w:tcW w:type="dxa" w:w="4252"/>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歐盟平台監理與明尼蘇達州司法審查屬不同民主治理路徑</w:t>
            </w:r>
          </w:p>
        </w:tc>
      </w:tr>
      <w:tr>
        <w:tc>
          <w:tcPr>
            <w:tcW w:type="dxa" w:w="1474"/>
            <w:tcMar>
              <w:top w:w="80" w:type="dxa"/>
              <w:start w:w="90" w:type="dxa"/>
              <w:bottom w:w="80" w:type="dxa"/>
              <w:end w:w="90" w:type="dxa"/>
            </w:tcMar>
            <w:vAlign w:val="center"/>
            <w:shd w:fill="F4F7FA"/>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結構性斷裂</w:t>
            </w:r>
          </w:p>
        </w:tc>
        <w:tc>
          <w:tcPr>
            <w:tcW w:type="dxa" w:w="3515"/>
            <w:tcMar>
              <w:top w:w="80" w:type="dxa"/>
              <w:start w:w="90" w:type="dxa"/>
              <w:bottom w:w="80" w:type="dxa"/>
              <w:end w:w="90" w:type="dxa"/>
            </w:tcMar>
            <w:vAlign w:val="center"/>
            <w:shd w:fill="F4F7FA"/>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治理鏈出現無法銜接或長期未收斂的缺口</w:t>
            </w:r>
          </w:p>
        </w:tc>
        <w:tc>
          <w:tcPr>
            <w:tcW w:type="dxa" w:w="4252"/>
            <w:tcMar>
              <w:top w:w="80" w:type="dxa"/>
              <w:start w:w="90" w:type="dxa"/>
              <w:bottom w:w="80" w:type="dxa"/>
              <w:end w:w="90" w:type="dxa"/>
            </w:tcMar>
            <w:vAlign w:val="center"/>
            <w:shd w:fill="F4F7FA"/>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羅馬尼亞的證據—撤銷理由爭議；台灣的當事人啟動負擔與公共責任落差</w:t>
            </w:r>
          </w:p>
        </w:tc>
      </w:tr>
      <w:tr>
        <w:tc>
          <w:tcPr>
            <w:tcW w:type="dxa" w:w="1474"/>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治理失效</w:t>
            </w:r>
          </w:p>
        </w:tc>
        <w:tc>
          <w:tcPr>
            <w:tcW w:type="dxa" w:w="3515"/>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缺口已造成無人負責、無法救濟或規範相互抵銷</w:t>
            </w:r>
          </w:p>
        </w:tc>
        <w:tc>
          <w:tcPr>
            <w:tcW w:type="dxa" w:w="4252"/>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現有文件尚不足以對四案作全面治理失效判定</w:t>
            </w:r>
          </w:p>
        </w:tc>
      </w:tr>
    </w:tbl>
    <w:p>
      <w:pPr>
        <w:spacing w:after="20"/>
      </w:pPr>
      <w:r>
        <w:rPr>
          <w:rFonts w:ascii="Noto Sans CJK SC" w:hAnsi="Noto Sans CJK SC" w:eastAsia="Noto Sans CJK SC"/>
        </w:rPr>
      </w:r>
    </w:p>
    <w:p>
      <w:pPr>
        <w:spacing w:before="0" w:after="100" w:line="324" w:lineRule="auto"/>
        <w:ind w:firstLine="420"/>
        <w:jc w:val="both"/>
      </w:pPr>
      <w:r>
        <w:rPr>
          <w:rFonts w:ascii="Noto Sans CJK SC" w:hAnsi="Noto Sans CJK SC" w:eastAsia="Noto Sans CJK SC"/>
        </w:rPr>
        <w:t>第一時間處置應遵守四項原則：措施必須暫時且可回復；限制程度與可能後果相稱；原始內容與傳播紀錄必須保存；每一次升級都要寫明證據、權限與解除條件。這相當於發現污染時先停止上菜與保存現場，而不是只撈出蟑螂，也不是向整鍋湯噴灑殺蟲劑。</w:t>
      </w:r>
    </w:p>
    <w:p>
      <w:pPr>
        <w:spacing w:line="324" w:lineRule="auto" w:after="100"/>
      </w:pPr>
      <w:r>
        <w:rPr>
          <w:rFonts w:ascii="Noto Sans CJK SC" w:hAnsi="Noto Sans CJK SC" w:eastAsia="Noto Sans CJK SC"/>
        </w:rPr>
        <w:t>暫時措施仍有行政法界線。真偽未明時，政府應優先由被冒用機關發布權威性澄清、公開查核狀態與可驗證來源，亦即先採取告知與資訊提供，而不是逕以公權力要求平台下架或屏蔽。平台依其服務規範自願標示或降低放大，仍應保留申訴、解除與證據保存機制；行政機關若要作成具有拘束力的限制命令，則須有明確法律依據，並接受法律保留、比例原則、正當程序與救濟的檢驗。緊急不能成為省略授權的理由。</w:t>
      </w:r>
    </w:p>
    <w:p>
      <w:pPr>
        <w:spacing w:before="0" w:after="100" w:line="324" w:lineRule="auto"/>
        <w:ind w:firstLine="420"/>
        <w:jc w:val="both"/>
      </w:pPr>
      <w:r>
        <w:rPr>
          <w:rFonts w:ascii="Noto Sans CJK SC" w:hAnsi="Noto Sans CJK SC" w:eastAsia="Noto Sans CJK SC"/>
        </w:rPr>
        <w:t>臺灣可以採取『危害主管＋暫時主責＋分級升級』的模式。最先對應具體危害的機關負責初步接手；事件跨域時，由行政院既有協調機制指定暫時主責及協力機關；出現境外指揮、重大外交或國安證據時，進入國安體系；只有在軍事通信、戰備或正式指揮認證受到影響時，才升高至國防部及軍事指揮層級。研究員的工作不是替首長決定，而是把升級依據與未決證據整理清楚。</w:t>
      </w:r>
    </w:p>
    <w:p>
      <w:pPr>
        <w:spacing w:line="324" w:lineRule="auto" w:after="100"/>
      </w:pPr>
      <w:r>
        <w:rPr>
          <w:rFonts w:ascii="Noto Sans CJK SC" w:hAnsi="Noto Sans CJK SC" w:eastAsia="Noto Sans CJK SC"/>
        </w:rPr>
        <w:t>本文所稱臺灣的『啟動負擔私有化』，主要指政治人物、候選人或選舉資訊遭冒用時，往往先由受影響者提出鑑識、澄清或侵害排除，啟動成本偏向由當事人承擔。若深偽的製作或散布已伴隨政府機關系統遭入侵、資料遭變造，或關鍵基礎設施之機密性、完整性與可用性受影響，性質即不同：符合資通安全事件要件者，應依《資通安全管理法》及現行通報應變程序，由機關資安事件通報應變小組進行通報、損害控制、復原與證據保存。這不表示每一則公共深偽都會自動轉成資安事件；是否啟動公法體系，仍須檢查系統影響與法定要件（數位發展部資通安全署，無日期a、無日期b）。</w:t>
      </w:r>
    </w:p>
    <w:p>
      <w:pPr>
        <w:pStyle w:val="Heading1"/>
        <w:spacing w:before="0" w:after="120"/>
      </w:pPr>
      <w:r>
        <w:rPr>
          <w:rFonts w:ascii="Noto Sans CJK SC" w:hAnsi="Noto Sans CJK SC" w:eastAsia="Noto Sans CJK SC"/>
        </w:rPr>
        <w:t>柒、結論：在真偽未明時，先讓政府有人接手</w:t>
      </w:r>
    </w:p>
    <w:p>
      <w:pPr>
        <w:pStyle w:val="Heading2"/>
        <w:spacing w:before="0" w:after="120"/>
      </w:pPr>
      <w:r>
        <w:rPr>
          <w:rFonts w:ascii="Noto Sans CJK SC" w:hAnsi="Noto Sans CJK SC" w:eastAsia="Noto Sans CJK SC"/>
        </w:rPr>
        <w:t>一、先回答事件發生時怎麼辦</w:t>
      </w:r>
    </w:p>
    <w:p>
      <w:pPr>
        <w:spacing w:before="0" w:after="100" w:line="324" w:lineRule="auto"/>
        <w:ind w:firstLine="420"/>
        <w:jc w:val="both"/>
      </w:pPr>
      <w:r>
        <w:rPr>
          <w:rFonts w:ascii="Noto Sans CJK SC" w:hAnsi="Noto Sans CJK SC" w:eastAsia="Noto Sans CJK SC"/>
        </w:rPr>
        <w:t>國家元首、政府機關或高階官員遭AI冒用時，第一個問題不是全球是否已有一致的AI倫理準則，而是誰保存證據、誰確認正式訊息、誰聯繫平台、誰研判犯罪或境外介入，以及何時升級為資安或國安事件。公開影片即使宣稱開戰，也不等於經過認證的軍事命令；但在危機中，它仍可能引起恐慌、誤判與不可逆行動。政府不能等待完全確定，也不能只憑最壞想像過度反應。它必須作出可以說明、可以複核，也可以解除的判斷。</w:t>
      </w:r>
    </w:p>
    <w:p>
      <w:pPr>
        <w:spacing w:before="0" w:after="100" w:line="324" w:lineRule="auto"/>
        <w:ind w:firstLine="420"/>
        <w:jc w:val="both"/>
      </w:pPr>
      <w:r>
        <w:rPr>
          <w:rFonts w:ascii="Noto Sans CJK SC" w:hAnsi="Noto Sans CJK SC" w:eastAsia="Noto Sans CJK SC"/>
        </w:rPr>
        <w:t>本文提出的是分級接手，而不是單一主管。真偽未明但後果可能重大時，先保存證據、確認正式訊息、發布權威性澄清並指定暫時主責；暫時標示或降低放大，則應依法律授權或平台規範採取。證據增加後，再依具體危害移轉至目的事業主管機關、檢警調、資安、國安或國防程序。深偽沒有單一主管機關；有主管機關的是深偽造成的危害。跨域事件仍須有人對整體情勢負責，不能讓各機關完成局部任務後，留下整體空白。</w:t>
      </w:r>
    </w:p>
    <w:p>
      <w:pPr>
        <w:pStyle w:val="Heading2"/>
      </w:pPr>
      <w:r>
        <w:rPr>
          <w:rFonts w:ascii="Noto Sans CJK SC" w:hAnsi="Noto Sans CJK SC" w:eastAsia="Noto Sans CJK SC"/>
        </w:rPr>
        <w:t>二、本文交給研究員與中階行政官員的工具</w:t>
      </w:r>
    </w:p>
    <w:p>
      <w:pPr>
        <w:spacing w:line="324" w:lineRule="auto" w:after="100"/>
      </w:pPr>
      <w:r>
        <w:rPr>
          <w:rFonts w:ascii="Noto Sans CJK SC" w:hAnsi="Noto Sans CJK SC" w:eastAsia="Noto Sans CJK SC"/>
        </w:rPr>
        <w:t>本文主要交給國安、調查、資安、國防及行政院體系中負責情勢研判、政策分析與跨機關協調的人使用。事件座標卡標示問題從哪裡移動；可信度×後果分級表決定暫時措施；跨機關權責與升級矩陣列出主責、協力、期限與解除條件；事件後治理審計報告則檢查資料、理由、責任、權利保障與組織能力是否完整。</w:t>
      </w:r>
    </w:p>
    <w:p>
      <w:pPr>
        <w:spacing w:line="324" w:lineRule="auto" w:after="100"/>
      </w:pPr>
      <w:r>
        <w:rPr>
          <w:rFonts w:ascii="Noto Sans CJK SC" w:hAnsi="Noto Sans CJK SC" w:eastAsia="Noto Sans CJK SC"/>
        </w:rPr>
        <w:t>這套工具不讓研究員取代檢察官、國安首長、國防部長或總統。它要改變的，是高層收到的資料形式：不再只是一段未經整理的網路影片，而是一份已區分已知、未知、可能後果、法定權限與升級選項的情勢研判。總統與部會首長作決定；研究員與中階行政官員則必須使那項決定有證據、有界線，也找得到負責的人。</w:t>
      </w:r>
    </w:p>
    <w:p>
      <w:pPr>
        <w:spacing w:line="324" w:lineRule="auto" w:after="100"/>
      </w:pPr>
      <w:r>
        <w:rPr>
          <w:rFonts w:ascii="Noto Sans CJK SC" w:hAnsi="Noto Sans CJK SC" w:eastAsia="Noto Sans CJK SC"/>
        </w:rPr>
        <w:t>理論在這裡才回到事件現場。二十五座標讓事件跨格可以被看見；四條治理鏈檢查情境、權威、理由與責任能否銜接；七項治理審計留下事後可查核的紀錄。普世價值並不替各國指定同一種處置，卻要求任何緊急措施都守住比例、程序、救濟與課責。工具不是結論。政府能否在真偽未明時合法而負責地把事件接住，才是本文最後的判準。</w:t>
      </w:r>
    </w:p>
    <w:p>
      <w:pPr>
        <w:spacing w:line="324" w:lineRule="auto" w:after="100"/>
      </w:pPr>
      <w:r>
        <w:rPr>
          <w:rFonts w:ascii="Noto Sans CJK SC" w:hAnsi="Noto Sans CJK SC" w:eastAsia="Noto Sans CJK SC"/>
        </w:rPr>
        <w:t>這項成果的可移植性不在於把同一張深偽處理表交給所有機關，而在於重複使用同一套壓力測試問題。國防領域可以檢查AI是否混淆命令認證與指揮邊界；救災領域可以檢查偽造警報、撤離或避難訊息如何跨越中央與地方；緊急救護則可檢查冒名通報、錯誤醫療指示與自動分流如何影響專業授權及責任。各領域仍以既有手冊與專業規範為主，本文只測試它們在AI介入後是否仍能正確定位、連成治理鏈並通過七項治理審計。</w:t>
      </w:r>
    </w:p>
    <w:p>
      <w:pPr>
        <w:pStyle w:val="Heading2"/>
        <w:spacing w:before="0" w:after="120"/>
      </w:pPr>
      <w:r>
        <w:rPr>
          <w:rFonts w:ascii="Noto Sans CJK SC" w:hAnsi="Noto Sans CJK SC" w:eastAsia="Noto Sans CJK SC"/>
        </w:rPr>
        <w:t>三、研究限制與下一步</w:t>
      </w:r>
    </w:p>
    <w:p>
      <w:pPr>
        <w:spacing w:before="0" w:after="100" w:line="324" w:lineRule="auto"/>
        <w:ind w:firstLine="420"/>
        <w:jc w:val="both"/>
      </w:pPr>
      <w:r>
        <w:rPr>
          <w:rFonts w:ascii="Noto Sans CJK SC" w:hAnsi="Noto Sans CJK SC" w:eastAsia="Noto Sans CJK SC"/>
        </w:rPr>
        <w:t>本文仍是一份研究設計導向的比較論文。元首遭冒用的危機場景是思想實驗，不是已經發生或已被政府驗證的事件；四個制度案例也不能證明深偽必然改變選舉、外交或國安結果。圖2與七項治理審計均由單一研究者依主要重心進行探索性編碼，尚未具備跨編碼者信度。後續研究應由至少兩名編碼者獨立判讀，先公開編碼規則與歧異處理程序，再依資料尺度選用百分比一致性、Cohen's kappa或Krippendorff's alpha檢驗一致程度。臺灣各機關的具體應變程序仍須以現行法令、內部授權與個案事實為準。 本文未使用任何非公開或機敏之政府內部SOP；所有制度推論均以公開法規、官方文件及可查核文獻為基礎。</w:t>
      </w:r>
    </w:p>
    <w:p>
      <w:pPr>
        <w:spacing w:before="0" w:after="100" w:line="324" w:lineRule="auto"/>
        <w:ind w:firstLine="420"/>
        <w:jc w:val="both"/>
      </w:pPr>
      <w:r>
        <w:rPr>
          <w:rFonts w:ascii="Noto Sans CJK SC" w:hAnsi="Noto Sans CJK SC" w:eastAsia="Noto Sans CJK SC"/>
        </w:rPr>
        <w:t>下一步應蒐集公開事件、政府通報規範與跨機關演練資料，檢驗可信度×後果矩陣能否穩定區分一般冒名、犯罪、資安與國安事件；並訪談實際負責研判與協調的人員，確認暫時主責、通報時限及解除條件是否可行。本文不宣稱六步驟流程已被政府採用，也不補造不存在的會議紀錄。</w:t>
      </w:r>
    </w:p>
    <w:p>
      <w:pPr>
        <w:pStyle w:val="Heading1"/>
        <w:spacing w:before="0" w:after="120"/>
      </w:pPr>
      <w:r>
        <w:rPr>
          <w:rFonts w:ascii="Noto Sans CJK SC" w:hAnsi="Noto Sans CJK SC" w:eastAsia="Noto Sans CJK SC"/>
        </w:rPr>
        <w:t>資料與引用說明</w:t>
      </w:r>
    </w:p>
    <w:p>
      <w:pPr>
        <w:spacing w:before="0" w:after="100" w:line="324" w:lineRule="auto"/>
        <w:jc w:val="both"/>
      </w:pPr>
      <w:r>
        <w:rPr>
          <w:rFonts w:ascii="Noto Sans CJK SC" w:hAnsi="Noto Sans CJK SC" w:eastAsia="Noto Sans CJK SC"/>
        </w:rPr>
        <w:t>本稿所列法規、裁判與官方文件更新至2026年8月5日。思想實驗與規範建議均已和經驗事實區分；網站公開時宜保留檢索日期，後續如有法規、組織權責或事件程序變動，應另行更新。</w:t>
      </w:r>
    </w:p>
    <w:p>
      <w:pPr>
        <w:pStyle w:val="Heading1"/>
      </w:pPr>
      <w:r>
        <w:rPr>
          <w:rFonts w:ascii="Noto Sans CJK SC" w:hAnsi="Noto Sans CJK SC" w:eastAsia="Noto Sans CJK SC"/>
        </w:rPr>
        <w:t>附錄：方法與評分資料</w:t>
      </w:r>
    </w:p>
    <w:p>
      <w:pPr>
        <w:keepNext/>
        <w:spacing w:before="0" w:after="40"/>
        <w:jc w:val="center"/>
      </w:pPr>
      <w:r>
        <w:rPr>
          <w:rFonts w:ascii="Noto Sans CJK SC" w:hAnsi="Noto Sans CJK SC" w:eastAsia="Noto Sans CJK SC"/>
        </w:rPr>
        <w:t>附表1　文件範圍與證據層級</w:t>
      </w:r>
    </w:p>
    <w:tbl>
      <w:tblPr>
        <w:tblStyle w:val="TableGrid"/>
        <w:tblW w:type="auto" w:w="0"/>
        <w:jc w:val="center"/>
        <w:tblLayout w:type="fixed"/>
        <w:tblLook w:firstColumn="1" w:firstRow="1" w:lastColumn="0" w:lastRow="0" w:noHBand="0" w:noVBand="1" w:val="04A0"/>
      </w:tblPr>
      <w:tblGrid>
        <w:gridCol w:w="2268"/>
        <w:gridCol w:w="2268"/>
        <w:gridCol w:w="2268"/>
        <w:gridCol w:w="2268"/>
      </w:tblGrid>
      <w:tr>
        <w:trPr>
          <w:tblHeader/>
        </w:trPr>
        <w:tc>
          <w:tcPr>
            <w:tcW w:type="dxa" w:w="1191"/>
            <w:shd w:fill="D7E8F5"/>
            <w:tcMar>
              <w:top w:w="80" w:type="dxa"/>
              <w:start w:w="90" w:type="dxa"/>
              <w:bottom w:w="80" w:type="dxa"/>
              <w:end w:w="90" w:type="dxa"/>
            </w:tcMar>
            <w:vAlign w:val="center"/>
          </w:tcPr>
          <w:p>
            <w:pPr>
              <w:keepNext/>
              <w:spacing w:before="0" w:after="0" w:line="252" w:lineRule="auto"/>
              <w:jc w:val="left"/>
            </w:pPr>
            <w:r>
              <w:rPr>
                <w:rFonts w:ascii="Noto Sans CJK SC" w:hAnsi="Noto Sans CJK SC" w:eastAsia="Noto Sans CJK SC"/>
                <w:b/>
                <w:color w:val="173A63"/>
                <w:sz w:val="17"/>
              </w:rPr>
            </w:r>
            <w:r>
              <w:rPr>
                <w:rFonts w:ascii="Noto Sans CJK SC" w:hAnsi="Noto Sans CJK SC" w:eastAsia="Noto Sans CJK SC"/>
                <w:b/>
                <w:color w:val="173A63"/>
                <w:sz w:val="17"/>
              </w:rPr>
              <w:t>法域</w:t>
            </w:r>
          </w:p>
        </w:tc>
        <w:tc>
          <w:tcPr>
            <w:tcW w:type="dxa" w:w="3515"/>
            <w:shd w:fill="D7E8F5"/>
            <w:tcMar>
              <w:top w:w="80" w:type="dxa"/>
              <w:start w:w="90" w:type="dxa"/>
              <w:bottom w:w="80" w:type="dxa"/>
              <w:end w:w="90" w:type="dxa"/>
            </w:tcMar>
            <w:vAlign w:val="center"/>
          </w:tcPr>
          <w:p>
            <w:pPr>
              <w:keepNext/>
              <w:spacing w:before="0" w:after="0" w:line="252" w:lineRule="auto"/>
              <w:jc w:val="left"/>
            </w:pPr>
            <w:r>
              <w:rPr>
                <w:rFonts w:ascii="Noto Sans CJK SC" w:hAnsi="Noto Sans CJK SC" w:eastAsia="Noto Sans CJK SC"/>
                <w:b/>
                <w:color w:val="173A63"/>
                <w:sz w:val="17"/>
              </w:rPr>
            </w:r>
            <w:r>
              <w:rPr>
                <w:rFonts w:ascii="Noto Sans CJK SC" w:hAnsi="Noto Sans CJK SC" w:eastAsia="Noto Sans CJK SC"/>
                <w:b/>
                <w:color w:val="173A63"/>
                <w:sz w:val="17"/>
              </w:rPr>
              <w:t>核心文件</w:t>
            </w:r>
          </w:p>
        </w:tc>
        <w:tc>
          <w:tcPr>
            <w:tcW w:type="dxa" w:w="2835"/>
            <w:shd w:fill="D7E8F5"/>
            <w:tcMar>
              <w:top w:w="80" w:type="dxa"/>
              <w:start w:w="90" w:type="dxa"/>
              <w:bottom w:w="80" w:type="dxa"/>
              <w:end w:w="90" w:type="dxa"/>
            </w:tcMar>
            <w:vAlign w:val="center"/>
          </w:tcPr>
          <w:p>
            <w:pPr>
              <w:keepNext/>
              <w:spacing w:before="0" w:after="0" w:line="252" w:lineRule="auto"/>
              <w:jc w:val="left"/>
            </w:pPr>
            <w:r>
              <w:rPr>
                <w:rFonts w:ascii="Noto Sans CJK SC" w:hAnsi="Noto Sans CJK SC" w:eastAsia="Noto Sans CJK SC"/>
                <w:b/>
                <w:color w:val="173A63"/>
                <w:sz w:val="17"/>
              </w:rPr>
            </w:r>
            <w:r>
              <w:rPr>
                <w:rFonts w:ascii="Noto Sans CJK SC" w:hAnsi="Noto Sans CJK SC" w:eastAsia="Noto Sans CJK SC"/>
                <w:b/>
                <w:color w:val="173A63"/>
                <w:sz w:val="17"/>
              </w:rPr>
              <w:t>主要分析目的</w:t>
            </w:r>
          </w:p>
        </w:tc>
        <w:tc>
          <w:tcPr>
            <w:tcW w:type="dxa" w:w="1928"/>
            <w:shd w:fill="D7E8F5"/>
            <w:tcMar>
              <w:top w:w="80" w:type="dxa"/>
              <w:start w:w="90" w:type="dxa"/>
              <w:bottom w:w="80" w:type="dxa"/>
              <w:end w:w="90" w:type="dxa"/>
            </w:tcMar>
            <w:vAlign w:val="center"/>
          </w:tcPr>
          <w:p>
            <w:pPr>
              <w:keepNext/>
              <w:spacing w:before="0" w:after="0" w:line="252" w:lineRule="auto"/>
              <w:jc w:val="left"/>
            </w:pPr>
            <w:r>
              <w:rPr>
                <w:rFonts w:ascii="Noto Sans CJK SC" w:hAnsi="Noto Sans CJK SC" w:eastAsia="Noto Sans CJK SC"/>
                <w:b/>
                <w:color w:val="173A63"/>
                <w:sz w:val="17"/>
              </w:rPr>
            </w:r>
            <w:r>
              <w:rPr>
                <w:rFonts w:ascii="Noto Sans CJK SC" w:hAnsi="Noto Sans CJK SC" w:eastAsia="Noto Sans CJK SC"/>
                <w:b/>
                <w:color w:val="173A63"/>
                <w:sz w:val="17"/>
              </w:rPr>
              <w:t>證據層級</w:t>
            </w:r>
          </w:p>
        </w:tc>
      </w:tr>
      <w:tr>
        <w:tc>
          <w:tcPr>
            <w:tcW w:type="dxa" w:w="1191"/>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羅馬尼亞</w:t>
            </w:r>
          </w:p>
        </w:tc>
        <w:tc>
          <w:tcPr>
            <w:tcW w:type="dxa" w:w="3515"/>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憲法法院Ruling No. 32/2024；Venice Commission緊急報告；歐盟執委會DSA程序文件</w:t>
            </w:r>
          </w:p>
        </w:tc>
        <w:tc>
          <w:tcPr>
            <w:tcW w:type="dxa" w:w="2835"/>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選舉撤銷、證據正當性及平台監理之關係</w:t>
            </w:r>
          </w:p>
        </w:tc>
        <w:tc>
          <w:tcPr>
            <w:tcW w:type="dxa" w:w="1928"/>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正式裁判與政府／國際組織文件</w:t>
            </w:r>
          </w:p>
        </w:tc>
      </w:tr>
      <w:tr>
        <w:tc>
          <w:tcPr>
            <w:tcW w:type="dxa" w:w="1191"/>
            <w:tcMar>
              <w:top w:w="80" w:type="dxa"/>
              <w:start w:w="90" w:type="dxa"/>
              <w:bottom w:w="80" w:type="dxa"/>
              <w:end w:w="90" w:type="dxa"/>
            </w:tcMar>
            <w:vAlign w:val="center"/>
            <w:shd w:fill="F4F7FA"/>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明尼蘇達州</w:t>
            </w:r>
          </w:p>
        </w:tc>
        <w:tc>
          <w:tcPr>
            <w:tcW w:type="dxa" w:w="3515"/>
            <w:tcMar>
              <w:top w:w="80" w:type="dxa"/>
              <w:start w:w="90" w:type="dxa"/>
              <w:bottom w:w="80" w:type="dxa"/>
              <w:end w:w="90" w:type="dxa"/>
            </w:tcMar>
            <w:vAlign w:val="center"/>
            <w:shd w:fill="F4F7FA"/>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Minn. Stat. §609.771；X Corp. v. Ellison裁定；美國參議院表決紀錄</w:t>
            </w:r>
          </w:p>
        </w:tc>
        <w:tc>
          <w:tcPr>
            <w:tcW w:type="dxa" w:w="2835"/>
            <w:tcMar>
              <w:top w:w="80" w:type="dxa"/>
              <w:start w:w="90" w:type="dxa"/>
              <w:bottom w:w="80" w:type="dxa"/>
              <w:end w:w="90" w:type="dxa"/>
            </w:tcMar>
            <w:vAlign w:val="center"/>
            <w:shd w:fill="F4F7FA"/>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州法構成要件、憲法與平台爭議、聯邦政治阻力</w:t>
            </w:r>
          </w:p>
        </w:tc>
        <w:tc>
          <w:tcPr>
            <w:tcW w:type="dxa" w:w="1928"/>
            <w:tcMar>
              <w:top w:w="80" w:type="dxa"/>
              <w:start w:w="90" w:type="dxa"/>
              <w:bottom w:w="80" w:type="dxa"/>
              <w:end w:w="90" w:type="dxa"/>
            </w:tcMar>
            <w:vAlign w:val="center"/>
            <w:shd w:fill="F4F7FA"/>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法規、法院裁定與國會紀錄</w:t>
            </w:r>
          </w:p>
        </w:tc>
      </w:tr>
      <w:tr>
        <w:tc>
          <w:tcPr>
            <w:tcW w:type="dxa" w:w="1191"/>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歐盟</w:t>
            </w:r>
          </w:p>
        </w:tc>
        <w:tc>
          <w:tcPr>
            <w:tcW w:type="dxa" w:w="3515"/>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DSA執法文件；AI Act及官方實施說明</w:t>
            </w:r>
          </w:p>
        </w:tc>
        <w:tc>
          <w:tcPr>
            <w:tcW w:type="dxa" w:w="2835"/>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平台系統性風險與AI內容透明義務</w:t>
            </w:r>
          </w:p>
        </w:tc>
        <w:tc>
          <w:tcPr>
            <w:tcW w:type="dxa" w:w="1928"/>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正式法規與執法機關文件</w:t>
            </w:r>
          </w:p>
        </w:tc>
      </w:tr>
      <w:tr>
        <w:tc>
          <w:tcPr>
            <w:tcW w:type="dxa" w:w="1191"/>
            <w:tcMar>
              <w:top w:w="80" w:type="dxa"/>
              <w:start w:w="90" w:type="dxa"/>
              <w:bottom w:w="80" w:type="dxa"/>
              <w:end w:w="90" w:type="dxa"/>
            </w:tcMar>
            <w:vAlign w:val="center"/>
            <w:shd w:fill="F4F7FA"/>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台灣</w:t>
            </w:r>
          </w:p>
        </w:tc>
        <w:tc>
          <w:tcPr>
            <w:tcW w:type="dxa" w:w="3515"/>
            <w:tcMar>
              <w:top w:w="80" w:type="dxa"/>
              <w:start w:w="90" w:type="dxa"/>
              <w:bottom w:w="80" w:type="dxa"/>
              <w:end w:w="90" w:type="dxa"/>
            </w:tcMar>
            <w:vAlign w:val="center"/>
            <w:shd w:fill="F4F7FA"/>
          </w:tcPr>
          <w:p>
            <w:r>
              <w:rPr>
                <w:rFonts w:ascii="Noto Sans CJK SC" w:hAnsi="Noto Sans CJK SC" w:eastAsia="Noto Sans CJK SC"/>
              </w:rPr>
              <w:t>選罷法相關規定；中選會侵害排除請求書及公開選務資料</w:t>
            </w:r>
          </w:p>
        </w:tc>
        <w:tc>
          <w:tcPr>
            <w:tcW w:type="dxa" w:w="2835"/>
            <w:tcMar>
              <w:top w:w="80" w:type="dxa"/>
              <w:start w:w="90" w:type="dxa"/>
              <w:bottom w:w="80" w:type="dxa"/>
              <w:end w:w="90" w:type="dxa"/>
            </w:tcMar>
            <w:vAlign w:val="center"/>
            <w:shd w:fill="F4F7FA"/>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鑑識、下架、裁罰及啟動責任</w:t>
            </w:r>
          </w:p>
        </w:tc>
        <w:tc>
          <w:tcPr>
            <w:tcW w:type="dxa" w:w="1928"/>
            <w:tcMar>
              <w:top w:w="80" w:type="dxa"/>
              <w:start w:w="90" w:type="dxa"/>
              <w:bottom w:w="80" w:type="dxa"/>
              <w:end w:w="90" w:type="dxa"/>
            </w:tcMar>
            <w:vAlign w:val="center"/>
            <w:shd w:fill="F4F7FA"/>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法規與選務機關文件</w:t>
            </w:r>
          </w:p>
        </w:tc>
      </w:tr>
    </w:tbl>
    <w:p>
      <w:r>
        <w:rPr>
          <w:rFonts w:ascii="Noto Sans CJK SC" w:hAnsi="Noto Sans CJK SC" w:eastAsia="Noto Sans CJK SC"/>
        </w:rPr>
      </w:r>
    </w:p>
    <w:p>
      <w:pPr>
        <w:keepNext/>
        <w:spacing w:before="0" w:after="40"/>
        <w:jc w:val="center"/>
      </w:pPr>
      <w:r>
        <w:rPr>
          <w:rFonts w:ascii="Noto Sans CJK SC" w:hAnsi="Noto Sans CJK SC" w:eastAsia="Noto Sans CJK SC"/>
        </w:rPr>
        <w:t>附表2　七項治理審計之0—4級判準</w:t>
      </w:r>
    </w:p>
    <w:tbl>
      <w:tblPr>
        <w:tblStyle w:val="TableGrid"/>
        <w:tblW w:type="auto" w:w="0"/>
        <w:jc w:val="center"/>
        <w:tblLayout w:type="fixed"/>
        <w:tblLook w:firstColumn="1" w:firstRow="1" w:lastColumn="0" w:lastRow="0" w:noHBand="0" w:noVBand="1" w:val="04A0"/>
      </w:tblPr>
      <w:tblGrid>
        <w:gridCol w:w="3024"/>
        <w:gridCol w:w="3024"/>
        <w:gridCol w:w="3024"/>
      </w:tblGrid>
      <w:tr>
        <w:trPr>
          <w:tblHeader/>
        </w:trPr>
        <w:tc>
          <w:tcPr>
            <w:tcW w:type="dxa" w:w="850"/>
            <w:shd w:fill="D7E8F5"/>
            <w:tcMar>
              <w:top w:w="80" w:type="dxa"/>
              <w:start w:w="90" w:type="dxa"/>
              <w:bottom w:w="80" w:type="dxa"/>
              <w:end w:w="90" w:type="dxa"/>
            </w:tcMar>
            <w:vAlign w:val="center"/>
          </w:tcPr>
          <w:p>
            <w:pPr>
              <w:keepNext/>
              <w:spacing w:before="0" w:after="0" w:line="252" w:lineRule="auto"/>
              <w:jc w:val="left"/>
            </w:pPr>
            <w:r>
              <w:rPr>
                <w:rFonts w:ascii="Noto Sans CJK SC" w:hAnsi="Noto Sans CJK SC" w:eastAsia="Noto Sans CJK SC"/>
                <w:b/>
                <w:color w:val="173A63"/>
                <w:sz w:val="17"/>
              </w:rPr>
            </w:r>
            <w:r>
              <w:rPr>
                <w:rFonts w:ascii="Noto Sans CJK SC" w:hAnsi="Noto Sans CJK SC" w:eastAsia="Noto Sans CJK SC"/>
                <w:b/>
                <w:color w:val="173A63"/>
                <w:sz w:val="17"/>
              </w:rPr>
              <w:t>分數</w:t>
            </w:r>
          </w:p>
        </w:tc>
        <w:tc>
          <w:tcPr>
            <w:tcW w:type="dxa" w:w="2891"/>
            <w:shd w:fill="D7E8F5"/>
            <w:tcMar>
              <w:top w:w="80" w:type="dxa"/>
              <w:start w:w="90" w:type="dxa"/>
              <w:bottom w:w="80" w:type="dxa"/>
              <w:end w:w="90" w:type="dxa"/>
            </w:tcMar>
            <w:vAlign w:val="center"/>
          </w:tcPr>
          <w:p>
            <w:pPr>
              <w:keepNext/>
              <w:spacing w:before="0" w:after="0" w:line="252" w:lineRule="auto"/>
              <w:jc w:val="left"/>
            </w:pPr>
            <w:r>
              <w:rPr>
                <w:rFonts w:ascii="Noto Sans CJK SC" w:hAnsi="Noto Sans CJK SC" w:eastAsia="Noto Sans CJK SC"/>
                <w:b/>
                <w:color w:val="173A63"/>
                <w:sz w:val="17"/>
              </w:rPr>
            </w:r>
            <w:r>
              <w:rPr>
                <w:rFonts w:ascii="Noto Sans CJK SC" w:hAnsi="Noto Sans CJK SC" w:eastAsia="Noto Sans CJK SC"/>
                <w:b/>
                <w:color w:val="173A63"/>
                <w:sz w:val="17"/>
              </w:rPr>
              <w:t>操作定義</w:t>
            </w:r>
          </w:p>
        </w:tc>
        <w:tc>
          <w:tcPr>
            <w:tcW w:type="dxa" w:w="5669"/>
            <w:shd w:fill="D7E8F5"/>
            <w:tcMar>
              <w:top w:w="80" w:type="dxa"/>
              <w:start w:w="90" w:type="dxa"/>
              <w:bottom w:w="80" w:type="dxa"/>
              <w:end w:w="90" w:type="dxa"/>
            </w:tcMar>
            <w:vAlign w:val="center"/>
          </w:tcPr>
          <w:p>
            <w:pPr>
              <w:keepNext/>
              <w:spacing w:before="0" w:after="0" w:line="252" w:lineRule="auto"/>
              <w:jc w:val="left"/>
            </w:pPr>
            <w:r>
              <w:rPr>
                <w:rFonts w:ascii="Noto Sans CJK SC" w:hAnsi="Noto Sans CJK SC" w:eastAsia="Noto Sans CJK SC"/>
                <w:b/>
                <w:color w:val="173A63"/>
                <w:sz w:val="17"/>
              </w:rPr>
            </w:r>
            <w:r>
              <w:rPr>
                <w:rFonts w:ascii="Noto Sans CJK SC" w:hAnsi="Noto Sans CJK SC" w:eastAsia="Noto Sans CJK SC"/>
                <w:b/>
                <w:color w:val="173A63"/>
                <w:sz w:val="17"/>
              </w:rPr>
              <w:t>證據判斷</w:t>
            </w:r>
          </w:p>
        </w:tc>
      </w:tr>
      <w:tr>
        <w:tc>
          <w:tcPr>
            <w:tcW w:type="dxa" w:w="850"/>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0</w:t>
            </w:r>
          </w:p>
        </w:tc>
        <w:tc>
          <w:tcPr>
            <w:tcW w:type="dxa" w:w="2891"/>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未見實質缺口</w:t>
            </w:r>
          </w:p>
        </w:tc>
        <w:tc>
          <w:tcPr>
            <w:tcW w:type="dxa" w:w="5669"/>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權限、程序、理由、責任與救濟均有明確文件依據</w:t>
            </w:r>
          </w:p>
        </w:tc>
      </w:tr>
      <w:tr>
        <w:tc>
          <w:tcPr>
            <w:tcW w:type="dxa" w:w="850"/>
            <w:tcMar>
              <w:top w:w="80" w:type="dxa"/>
              <w:start w:w="90" w:type="dxa"/>
              <w:bottom w:w="80" w:type="dxa"/>
              <w:end w:w="90" w:type="dxa"/>
            </w:tcMar>
            <w:vAlign w:val="center"/>
            <w:shd w:fill="F4F7FA"/>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1</w:t>
            </w:r>
          </w:p>
        </w:tc>
        <w:tc>
          <w:tcPr>
            <w:tcW w:type="dxa" w:w="2891"/>
            <w:tcMar>
              <w:top w:w="80" w:type="dxa"/>
              <w:start w:w="90" w:type="dxa"/>
              <w:bottom w:w="80" w:type="dxa"/>
              <w:end w:w="90" w:type="dxa"/>
            </w:tcMar>
            <w:vAlign w:val="center"/>
            <w:shd w:fill="F4F7FA"/>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輕微缺口</w:t>
            </w:r>
          </w:p>
        </w:tc>
        <w:tc>
          <w:tcPr>
            <w:tcW w:type="dxa" w:w="5669"/>
            <w:tcMar>
              <w:top w:w="80" w:type="dxa"/>
              <w:start w:w="90" w:type="dxa"/>
              <w:bottom w:w="80" w:type="dxa"/>
              <w:end w:w="90" w:type="dxa"/>
            </w:tcMar>
            <w:vAlign w:val="center"/>
            <w:shd w:fill="F4F7FA"/>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制度大致完整，僅有局部例外或執行細節未明</w:t>
            </w:r>
          </w:p>
        </w:tc>
      </w:tr>
      <w:tr>
        <w:tc>
          <w:tcPr>
            <w:tcW w:type="dxa" w:w="850"/>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2</w:t>
            </w:r>
          </w:p>
        </w:tc>
        <w:tc>
          <w:tcPr>
            <w:tcW w:type="dxa" w:w="2891"/>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中度缺口</w:t>
            </w:r>
          </w:p>
        </w:tc>
        <w:tc>
          <w:tcPr>
            <w:tcW w:type="dxa" w:w="5669"/>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已有制度回應，但覆蓋不完整、權限重疊或保障不足</w:t>
            </w:r>
          </w:p>
        </w:tc>
      </w:tr>
      <w:tr>
        <w:tc>
          <w:tcPr>
            <w:tcW w:type="dxa" w:w="850"/>
            <w:tcMar>
              <w:top w:w="80" w:type="dxa"/>
              <w:start w:w="90" w:type="dxa"/>
              <w:bottom w:w="80" w:type="dxa"/>
              <w:end w:w="90" w:type="dxa"/>
            </w:tcMar>
            <w:vAlign w:val="center"/>
            <w:shd w:fill="F4F7FA"/>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3</w:t>
            </w:r>
          </w:p>
        </w:tc>
        <w:tc>
          <w:tcPr>
            <w:tcW w:type="dxa" w:w="2891"/>
            <w:tcMar>
              <w:top w:w="80" w:type="dxa"/>
              <w:start w:w="90" w:type="dxa"/>
              <w:bottom w:w="80" w:type="dxa"/>
              <w:end w:w="90" w:type="dxa"/>
            </w:tcMar>
            <w:vAlign w:val="center"/>
            <w:shd w:fill="F4F7FA"/>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重大缺口</w:t>
            </w:r>
          </w:p>
        </w:tc>
        <w:tc>
          <w:tcPr>
            <w:tcW w:type="dxa" w:w="5669"/>
            <w:tcMar>
              <w:top w:w="80" w:type="dxa"/>
              <w:start w:w="90" w:type="dxa"/>
              <w:bottom w:w="80" w:type="dxa"/>
              <w:end w:w="90" w:type="dxa"/>
            </w:tcMar>
            <w:vAlign w:val="center"/>
            <w:shd w:fill="F4F7FA"/>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核心權限、理由、責任或能力存在明顯空白或持續爭議</w:t>
            </w:r>
          </w:p>
        </w:tc>
      </w:tr>
      <w:tr>
        <w:tc>
          <w:tcPr>
            <w:tcW w:type="dxa" w:w="850"/>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4</w:t>
            </w:r>
          </w:p>
        </w:tc>
        <w:tc>
          <w:tcPr>
            <w:tcW w:type="dxa" w:w="2891"/>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結構性缺口</w:t>
            </w:r>
          </w:p>
        </w:tc>
        <w:tc>
          <w:tcPr>
            <w:tcW w:type="dxa" w:w="5669"/>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制度安排相互抵銷，或已造成無人負責、無法救濟等治理失效</w:t>
            </w:r>
          </w:p>
        </w:tc>
      </w:tr>
      <w:tr>
        <w:tc>
          <w:tcPr>
            <w:tcW w:type="dxa" w:w="850"/>
            <w:tcMar>
              <w:top w:w="80" w:type="dxa"/>
              <w:start w:w="90" w:type="dxa"/>
              <w:bottom w:w="80" w:type="dxa"/>
              <w:end w:w="90" w:type="dxa"/>
            </w:tcMar>
            <w:vAlign w:val="center"/>
            <w:shd w:fill="F4F7FA"/>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N/A</w:t>
            </w:r>
          </w:p>
        </w:tc>
        <w:tc>
          <w:tcPr>
            <w:tcW w:type="dxa" w:w="2891"/>
            <w:tcMar>
              <w:top w:w="80" w:type="dxa"/>
              <w:start w:w="90" w:type="dxa"/>
              <w:bottom w:w="80" w:type="dxa"/>
              <w:end w:w="90" w:type="dxa"/>
            </w:tcMar>
            <w:vAlign w:val="center"/>
            <w:shd w:fill="F4F7FA"/>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不適用或證據不足</w:t>
            </w:r>
          </w:p>
        </w:tc>
        <w:tc>
          <w:tcPr>
            <w:tcW w:type="dxa" w:w="5669"/>
            <w:tcMar>
              <w:top w:w="80" w:type="dxa"/>
              <w:start w:w="90" w:type="dxa"/>
              <w:bottom w:w="80" w:type="dxa"/>
              <w:end w:w="90" w:type="dxa"/>
            </w:tcMar>
            <w:vAlign w:val="center"/>
            <w:shd w:fill="F4F7FA"/>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不得以0分代替；另列缺漏原因並排除平均計算</w:t>
            </w:r>
          </w:p>
        </w:tc>
      </w:tr>
    </w:tbl>
    <w:p>
      <w:r>
        <w:rPr>
          <w:rFonts w:ascii="Noto Sans CJK SC" w:hAnsi="Noto Sans CJK SC" w:eastAsia="Noto Sans CJK SC"/>
        </w:rPr>
      </w:r>
    </w:p>
    <w:p>
      <w:pPr>
        <w:keepNext/>
        <w:spacing w:before="0" w:after="40"/>
        <w:jc w:val="center"/>
      </w:pPr>
      <w:r>
        <w:rPr>
          <w:rFonts w:ascii="Noto Sans CJK SC" w:hAnsi="Noto Sans CJK SC" w:eastAsia="Noto Sans CJK SC"/>
        </w:rPr>
        <w:t>附表3　四案七項治理審計初步評分</w:t>
      </w:r>
    </w:p>
    <w:tbl>
      <w:tblPr>
        <w:tblStyle w:val="TableGrid"/>
        <w:tblW w:type="auto" w:w="0"/>
        <w:jc w:val="center"/>
        <w:tblLayout w:type="fixed"/>
        <w:tblLook w:firstColumn="1" w:firstRow="1" w:lastColumn="0" w:lastRow="0" w:noHBand="0" w:noVBand="1" w:val="04A0"/>
      </w:tblPr>
      <w:tblGrid>
        <w:gridCol w:w="1512"/>
        <w:gridCol w:w="1512"/>
        <w:gridCol w:w="1512"/>
        <w:gridCol w:w="1512"/>
        <w:gridCol w:w="1512"/>
        <w:gridCol w:w="1512"/>
      </w:tblGrid>
      <w:tr>
        <w:trPr>
          <w:tblHeader/>
        </w:trPr>
        <w:tc>
          <w:tcPr>
            <w:tcW w:type="dxa" w:w="1417"/>
            <w:shd w:fill="D7E8F5"/>
            <w:tcMar>
              <w:top w:w="80" w:type="dxa"/>
              <w:start w:w="90" w:type="dxa"/>
              <w:bottom w:w="80" w:type="dxa"/>
              <w:end w:w="90" w:type="dxa"/>
            </w:tcMar>
            <w:vAlign w:val="center"/>
          </w:tcPr>
          <w:p>
            <w:pPr>
              <w:keepNext/>
              <w:spacing w:before="0" w:after="0" w:line="252" w:lineRule="auto"/>
              <w:jc w:val="left"/>
            </w:pPr>
            <w:r>
              <w:t>治理審計</w:t>
            </w:r>
          </w:p>
        </w:tc>
        <w:tc>
          <w:tcPr>
            <w:tcW w:type="dxa" w:w="907"/>
            <w:shd w:fill="D7E8F5"/>
            <w:tcMar>
              <w:top w:w="80" w:type="dxa"/>
              <w:start w:w="90" w:type="dxa"/>
              <w:bottom w:w="80" w:type="dxa"/>
              <w:end w:w="90" w:type="dxa"/>
            </w:tcMar>
            <w:vAlign w:val="center"/>
          </w:tcPr>
          <w:p>
            <w:pPr>
              <w:keepNext/>
              <w:spacing w:before="0" w:after="0" w:line="252" w:lineRule="auto"/>
              <w:jc w:val="left"/>
            </w:pPr>
            <w:r>
              <w:rPr>
                <w:rFonts w:ascii="Noto Sans CJK SC" w:hAnsi="Noto Sans CJK SC" w:eastAsia="Noto Sans CJK SC"/>
                <w:b/>
                <w:color w:val="173A63"/>
                <w:sz w:val="17"/>
              </w:rPr>
            </w:r>
            <w:r>
              <w:rPr>
                <w:rFonts w:ascii="Noto Sans CJK SC" w:hAnsi="Noto Sans CJK SC" w:eastAsia="Noto Sans CJK SC"/>
                <w:b/>
                <w:color w:val="173A63"/>
                <w:sz w:val="17"/>
              </w:rPr>
              <w:t>羅馬尼亞</w:t>
            </w:r>
          </w:p>
        </w:tc>
        <w:tc>
          <w:tcPr>
            <w:tcW w:type="dxa" w:w="1191"/>
            <w:shd w:fill="D7E8F5"/>
            <w:tcMar>
              <w:top w:w="80" w:type="dxa"/>
              <w:start w:w="90" w:type="dxa"/>
              <w:bottom w:w="80" w:type="dxa"/>
              <w:end w:w="90" w:type="dxa"/>
            </w:tcMar>
            <w:vAlign w:val="center"/>
          </w:tcPr>
          <w:p>
            <w:pPr>
              <w:keepNext/>
              <w:spacing w:before="0" w:after="0" w:line="252" w:lineRule="auto"/>
              <w:jc w:val="left"/>
            </w:pPr>
            <w:r>
              <w:rPr>
                <w:rFonts w:ascii="Noto Sans CJK SC" w:hAnsi="Noto Sans CJK SC" w:eastAsia="Noto Sans CJK SC"/>
                <w:b/>
                <w:color w:val="173A63"/>
                <w:sz w:val="17"/>
              </w:rPr>
            </w:r>
            <w:r>
              <w:rPr>
                <w:rFonts w:ascii="Noto Sans CJK SC" w:hAnsi="Noto Sans CJK SC" w:eastAsia="Noto Sans CJK SC"/>
                <w:b/>
                <w:color w:val="173A63"/>
                <w:sz w:val="17"/>
              </w:rPr>
              <w:t>明尼蘇達州</w:t>
            </w:r>
          </w:p>
        </w:tc>
        <w:tc>
          <w:tcPr>
            <w:tcW w:type="dxa" w:w="850"/>
            <w:shd w:fill="D7E8F5"/>
            <w:tcMar>
              <w:top w:w="80" w:type="dxa"/>
              <w:start w:w="90" w:type="dxa"/>
              <w:bottom w:w="80" w:type="dxa"/>
              <w:end w:w="90" w:type="dxa"/>
            </w:tcMar>
            <w:vAlign w:val="center"/>
          </w:tcPr>
          <w:p>
            <w:pPr>
              <w:keepNext/>
              <w:spacing w:before="0" w:after="0" w:line="252" w:lineRule="auto"/>
              <w:jc w:val="left"/>
            </w:pPr>
            <w:r>
              <w:rPr>
                <w:rFonts w:ascii="Noto Sans CJK SC" w:hAnsi="Noto Sans CJK SC" w:eastAsia="Noto Sans CJK SC"/>
                <w:b/>
                <w:color w:val="173A63"/>
                <w:sz w:val="17"/>
              </w:rPr>
            </w:r>
            <w:r>
              <w:rPr>
                <w:rFonts w:ascii="Noto Sans CJK SC" w:hAnsi="Noto Sans CJK SC" w:eastAsia="Noto Sans CJK SC"/>
                <w:b/>
                <w:color w:val="173A63"/>
                <w:sz w:val="17"/>
              </w:rPr>
              <w:t>歐盟</w:t>
            </w:r>
          </w:p>
        </w:tc>
        <w:tc>
          <w:tcPr>
            <w:tcW w:type="dxa" w:w="850"/>
            <w:shd w:fill="D7E8F5"/>
            <w:tcMar>
              <w:top w:w="80" w:type="dxa"/>
              <w:start w:w="90" w:type="dxa"/>
              <w:bottom w:w="80" w:type="dxa"/>
              <w:end w:w="90" w:type="dxa"/>
            </w:tcMar>
            <w:vAlign w:val="center"/>
          </w:tcPr>
          <w:p>
            <w:pPr>
              <w:keepNext/>
              <w:spacing w:before="0" w:after="0" w:line="252" w:lineRule="auto"/>
              <w:jc w:val="left"/>
            </w:pPr>
            <w:r>
              <w:rPr>
                <w:rFonts w:ascii="Noto Sans CJK SC" w:hAnsi="Noto Sans CJK SC" w:eastAsia="Noto Sans CJK SC"/>
                <w:b/>
                <w:color w:val="173A63"/>
                <w:sz w:val="17"/>
              </w:rPr>
            </w:r>
            <w:r>
              <w:rPr>
                <w:rFonts w:ascii="Noto Sans CJK SC" w:hAnsi="Noto Sans CJK SC" w:eastAsia="Noto Sans CJK SC"/>
                <w:b/>
                <w:color w:val="173A63"/>
                <w:sz w:val="17"/>
              </w:rPr>
              <w:t>台灣</w:t>
            </w:r>
          </w:p>
        </w:tc>
        <w:tc>
          <w:tcPr>
            <w:tcW w:type="dxa" w:w="4195"/>
            <w:shd w:fill="D7E8F5"/>
            <w:tcMar>
              <w:top w:w="80" w:type="dxa"/>
              <w:start w:w="90" w:type="dxa"/>
              <w:bottom w:w="80" w:type="dxa"/>
              <w:end w:w="90" w:type="dxa"/>
            </w:tcMar>
            <w:vAlign w:val="center"/>
          </w:tcPr>
          <w:p>
            <w:pPr>
              <w:keepNext/>
              <w:spacing w:before="0" w:after="0" w:line="252" w:lineRule="auto"/>
              <w:jc w:val="left"/>
            </w:pPr>
            <w:r>
              <w:rPr>
                <w:rFonts w:ascii="Noto Sans CJK SC" w:hAnsi="Noto Sans CJK SC" w:eastAsia="Noto Sans CJK SC"/>
                <w:b/>
                <w:color w:val="173A63"/>
                <w:sz w:val="17"/>
              </w:rPr>
            </w:r>
            <w:r>
              <w:rPr>
                <w:rFonts w:ascii="Noto Sans CJK SC" w:hAnsi="Noto Sans CJK SC" w:eastAsia="Noto Sans CJK SC"/>
                <w:b/>
                <w:color w:val="173A63"/>
                <w:sz w:val="17"/>
              </w:rPr>
              <w:t>判讀重點</w:t>
            </w:r>
          </w:p>
        </w:tc>
      </w:tr>
      <w:tr>
        <w:tc>
          <w:tcPr>
            <w:tcW w:type="dxa" w:w="1417"/>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資料代表性</w:t>
            </w:r>
          </w:p>
        </w:tc>
        <w:tc>
          <w:tcPr>
            <w:tcW w:type="dxa" w:w="907"/>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3</w:t>
            </w:r>
          </w:p>
        </w:tc>
        <w:tc>
          <w:tcPr>
            <w:tcW w:type="dxa" w:w="1191"/>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2</w:t>
            </w:r>
          </w:p>
        </w:tc>
        <w:tc>
          <w:tcPr>
            <w:tcW w:type="dxa" w:w="850"/>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2</w:t>
            </w:r>
          </w:p>
        </w:tc>
        <w:tc>
          <w:tcPr>
            <w:tcW w:type="dxa" w:w="850"/>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2</w:t>
            </w:r>
          </w:p>
        </w:tc>
        <w:tc>
          <w:tcPr>
            <w:tcW w:type="dxa" w:w="4195"/>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羅案情報證據與公開檢驗最受爭議；其餘制度仍有偵測與證據涵蓋問題</w:t>
            </w:r>
          </w:p>
        </w:tc>
      </w:tr>
      <w:tr>
        <w:tc>
          <w:tcPr>
            <w:tcW w:type="dxa" w:w="1417"/>
            <w:tcMar>
              <w:top w:w="80" w:type="dxa"/>
              <w:start w:w="90" w:type="dxa"/>
              <w:bottom w:w="80" w:type="dxa"/>
              <w:end w:w="90" w:type="dxa"/>
            </w:tcMar>
            <w:vAlign w:val="center"/>
            <w:shd w:fill="F4F7FA"/>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理由說明</w:t>
            </w:r>
          </w:p>
        </w:tc>
        <w:tc>
          <w:tcPr>
            <w:tcW w:type="dxa" w:w="907"/>
            <w:tcMar>
              <w:top w:w="80" w:type="dxa"/>
              <w:start w:w="90" w:type="dxa"/>
              <w:bottom w:w="80" w:type="dxa"/>
              <w:end w:w="90" w:type="dxa"/>
            </w:tcMar>
            <w:vAlign w:val="center"/>
            <w:shd w:fill="F4F7FA"/>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3</w:t>
            </w:r>
          </w:p>
        </w:tc>
        <w:tc>
          <w:tcPr>
            <w:tcW w:type="dxa" w:w="1191"/>
            <w:tcMar>
              <w:top w:w="80" w:type="dxa"/>
              <w:start w:w="90" w:type="dxa"/>
              <w:bottom w:w="80" w:type="dxa"/>
              <w:end w:w="90" w:type="dxa"/>
            </w:tcMar>
            <w:vAlign w:val="center"/>
            <w:shd w:fill="F4F7FA"/>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2</w:t>
            </w:r>
          </w:p>
        </w:tc>
        <w:tc>
          <w:tcPr>
            <w:tcW w:type="dxa" w:w="850"/>
            <w:tcMar>
              <w:top w:w="80" w:type="dxa"/>
              <w:start w:w="90" w:type="dxa"/>
              <w:bottom w:w="80" w:type="dxa"/>
              <w:end w:w="90" w:type="dxa"/>
            </w:tcMar>
            <w:vAlign w:val="center"/>
            <w:shd w:fill="F4F7FA"/>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1</w:t>
            </w:r>
          </w:p>
        </w:tc>
        <w:tc>
          <w:tcPr>
            <w:tcW w:type="dxa" w:w="850"/>
            <w:tcMar>
              <w:top w:w="80" w:type="dxa"/>
              <w:start w:w="90" w:type="dxa"/>
              <w:bottom w:w="80" w:type="dxa"/>
              <w:end w:w="90" w:type="dxa"/>
            </w:tcMar>
            <w:vAlign w:val="center"/>
            <w:shd w:fill="F4F7FA"/>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2</w:t>
            </w:r>
          </w:p>
        </w:tc>
        <w:tc>
          <w:tcPr>
            <w:tcW w:type="dxa" w:w="4195"/>
            <w:tcMar>
              <w:top w:w="80" w:type="dxa"/>
              <w:start w:w="90" w:type="dxa"/>
              <w:bottom w:w="80" w:type="dxa"/>
              <w:end w:w="90" w:type="dxa"/>
            </w:tcMar>
            <w:vAlign w:val="center"/>
            <w:shd w:fill="F4F7FA"/>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羅案撤銷比例性爭議明顯；歐盟法定理由鏈相對完整</w:t>
            </w:r>
          </w:p>
        </w:tc>
      </w:tr>
      <w:tr>
        <w:tc>
          <w:tcPr>
            <w:tcW w:type="dxa" w:w="1417"/>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責任歸屬</w:t>
            </w:r>
          </w:p>
        </w:tc>
        <w:tc>
          <w:tcPr>
            <w:tcW w:type="dxa" w:w="907"/>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2</w:t>
            </w:r>
          </w:p>
        </w:tc>
        <w:tc>
          <w:tcPr>
            <w:tcW w:type="dxa" w:w="1191"/>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3</w:t>
            </w:r>
          </w:p>
        </w:tc>
        <w:tc>
          <w:tcPr>
            <w:tcW w:type="dxa" w:w="850"/>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1</w:t>
            </w:r>
          </w:p>
        </w:tc>
        <w:tc>
          <w:tcPr>
            <w:tcW w:type="dxa" w:w="850"/>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3</w:t>
            </w:r>
          </w:p>
        </w:tc>
        <w:tc>
          <w:tcPr>
            <w:tcW w:type="dxa" w:w="4195"/>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美國責任仍受訟爭；台灣啟動責任集中於受影響當事人</w:t>
            </w:r>
          </w:p>
        </w:tc>
      </w:tr>
      <w:tr>
        <w:tc>
          <w:tcPr>
            <w:tcW w:type="dxa" w:w="1417"/>
            <w:tcMar>
              <w:top w:w="80" w:type="dxa"/>
              <w:start w:w="90" w:type="dxa"/>
              <w:bottom w:w="80" w:type="dxa"/>
              <w:end w:w="90" w:type="dxa"/>
            </w:tcMar>
            <w:vAlign w:val="center"/>
            <w:shd w:fill="F4F7FA"/>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隱私與資安</w:t>
            </w:r>
          </w:p>
        </w:tc>
        <w:tc>
          <w:tcPr>
            <w:tcW w:type="dxa" w:w="907"/>
            <w:tcMar>
              <w:top w:w="80" w:type="dxa"/>
              <w:start w:w="90" w:type="dxa"/>
              <w:bottom w:w="80" w:type="dxa"/>
              <w:end w:w="90" w:type="dxa"/>
            </w:tcMar>
            <w:vAlign w:val="center"/>
            <w:shd w:fill="F4F7FA"/>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2</w:t>
            </w:r>
          </w:p>
        </w:tc>
        <w:tc>
          <w:tcPr>
            <w:tcW w:type="dxa" w:w="1191"/>
            <w:tcMar>
              <w:top w:w="80" w:type="dxa"/>
              <w:start w:w="90" w:type="dxa"/>
              <w:bottom w:w="80" w:type="dxa"/>
              <w:end w:w="90" w:type="dxa"/>
            </w:tcMar>
            <w:vAlign w:val="center"/>
            <w:shd w:fill="F4F7FA"/>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2</w:t>
            </w:r>
          </w:p>
        </w:tc>
        <w:tc>
          <w:tcPr>
            <w:tcW w:type="dxa" w:w="850"/>
            <w:tcMar>
              <w:top w:w="80" w:type="dxa"/>
              <w:start w:w="90" w:type="dxa"/>
              <w:bottom w:w="80" w:type="dxa"/>
              <w:end w:w="90" w:type="dxa"/>
            </w:tcMar>
            <w:vAlign w:val="center"/>
            <w:shd w:fill="F4F7FA"/>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1</w:t>
            </w:r>
          </w:p>
        </w:tc>
        <w:tc>
          <w:tcPr>
            <w:tcW w:type="dxa" w:w="850"/>
            <w:tcMar>
              <w:top w:w="80" w:type="dxa"/>
              <w:start w:w="90" w:type="dxa"/>
              <w:bottom w:w="80" w:type="dxa"/>
              <w:end w:w="90" w:type="dxa"/>
            </w:tcMar>
            <w:vAlign w:val="center"/>
            <w:shd w:fill="F4F7FA"/>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2</w:t>
            </w:r>
          </w:p>
        </w:tc>
        <w:tc>
          <w:tcPr>
            <w:tcW w:type="dxa" w:w="4195"/>
            <w:tcMar>
              <w:top w:w="80" w:type="dxa"/>
              <w:start w:w="90" w:type="dxa"/>
              <w:bottom w:w="80" w:type="dxa"/>
              <w:end w:w="90" w:type="dxa"/>
            </w:tcMar>
            <w:vAlign w:val="center"/>
            <w:shd w:fill="F4F7FA"/>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四案資料範圍不同，不宜僅依選舉風險推定隱私結果</w:t>
            </w:r>
          </w:p>
        </w:tc>
      </w:tr>
      <w:tr>
        <w:tc>
          <w:tcPr>
            <w:tcW w:type="dxa" w:w="1417"/>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裁量邊界</w:t>
            </w:r>
          </w:p>
        </w:tc>
        <w:tc>
          <w:tcPr>
            <w:tcW w:type="dxa" w:w="907"/>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3</w:t>
            </w:r>
          </w:p>
        </w:tc>
        <w:tc>
          <w:tcPr>
            <w:tcW w:type="dxa" w:w="1191"/>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3</w:t>
            </w:r>
          </w:p>
        </w:tc>
        <w:tc>
          <w:tcPr>
            <w:tcW w:type="dxa" w:w="850"/>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2</w:t>
            </w:r>
          </w:p>
        </w:tc>
        <w:tc>
          <w:tcPr>
            <w:tcW w:type="dxa" w:w="850"/>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2</w:t>
            </w:r>
          </w:p>
        </w:tc>
        <w:tc>
          <w:tcPr>
            <w:tcW w:type="dxa" w:w="4195"/>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羅案司法撤銷與美國言論分類的裁量邊界最受壓力</w:t>
            </w:r>
          </w:p>
        </w:tc>
      </w:tr>
      <w:tr>
        <w:tc>
          <w:tcPr>
            <w:tcW w:type="dxa" w:w="1417"/>
            <w:tcMar>
              <w:top w:w="80" w:type="dxa"/>
              <w:start w:w="90" w:type="dxa"/>
              <w:bottom w:w="80" w:type="dxa"/>
              <w:end w:w="90" w:type="dxa"/>
            </w:tcMar>
            <w:vAlign w:val="center"/>
            <w:shd w:fill="F4F7FA"/>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組織能力</w:t>
            </w:r>
          </w:p>
        </w:tc>
        <w:tc>
          <w:tcPr>
            <w:tcW w:type="dxa" w:w="907"/>
            <w:tcMar>
              <w:top w:w="80" w:type="dxa"/>
              <w:start w:w="90" w:type="dxa"/>
              <w:bottom w:w="80" w:type="dxa"/>
              <w:end w:w="90" w:type="dxa"/>
            </w:tcMar>
            <w:vAlign w:val="center"/>
            <w:shd w:fill="F4F7FA"/>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2</w:t>
            </w:r>
          </w:p>
        </w:tc>
        <w:tc>
          <w:tcPr>
            <w:tcW w:type="dxa" w:w="1191"/>
            <w:tcMar>
              <w:top w:w="80" w:type="dxa"/>
              <w:start w:w="90" w:type="dxa"/>
              <w:bottom w:w="80" w:type="dxa"/>
              <w:end w:w="90" w:type="dxa"/>
            </w:tcMar>
            <w:vAlign w:val="center"/>
            <w:shd w:fill="F4F7FA"/>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2</w:t>
            </w:r>
          </w:p>
        </w:tc>
        <w:tc>
          <w:tcPr>
            <w:tcW w:type="dxa" w:w="850"/>
            <w:tcMar>
              <w:top w:w="80" w:type="dxa"/>
              <w:start w:w="90" w:type="dxa"/>
              <w:bottom w:w="80" w:type="dxa"/>
              <w:end w:w="90" w:type="dxa"/>
            </w:tcMar>
            <w:vAlign w:val="center"/>
            <w:shd w:fill="F4F7FA"/>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2</w:t>
            </w:r>
          </w:p>
        </w:tc>
        <w:tc>
          <w:tcPr>
            <w:tcW w:type="dxa" w:w="850"/>
            <w:tcMar>
              <w:top w:w="80" w:type="dxa"/>
              <w:start w:w="90" w:type="dxa"/>
              <w:bottom w:w="80" w:type="dxa"/>
              <w:end w:w="90" w:type="dxa"/>
            </w:tcMar>
            <w:vAlign w:val="center"/>
            <w:shd w:fill="F4F7FA"/>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3</w:t>
            </w:r>
          </w:p>
        </w:tc>
        <w:tc>
          <w:tcPr>
            <w:tcW w:type="dxa" w:w="4195"/>
            <w:tcMar>
              <w:top w:w="80" w:type="dxa"/>
              <w:start w:w="90" w:type="dxa"/>
              <w:bottom w:w="80" w:type="dxa"/>
              <w:end w:w="90" w:type="dxa"/>
            </w:tcMar>
            <w:vAlign w:val="center"/>
            <w:shd w:fill="F4F7FA"/>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台灣制度對鑑識速度、跨機關協力與候選人資源較為敏感</w:t>
            </w:r>
          </w:p>
        </w:tc>
      </w:tr>
      <w:tr>
        <w:tc>
          <w:tcPr>
            <w:tcW w:type="dxa" w:w="1417"/>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民主課責</w:t>
            </w:r>
          </w:p>
        </w:tc>
        <w:tc>
          <w:tcPr>
            <w:tcW w:type="dxa" w:w="907"/>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3</w:t>
            </w:r>
          </w:p>
        </w:tc>
        <w:tc>
          <w:tcPr>
            <w:tcW w:type="dxa" w:w="1191"/>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2</w:t>
            </w:r>
          </w:p>
        </w:tc>
        <w:tc>
          <w:tcPr>
            <w:tcW w:type="dxa" w:w="850"/>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2</w:t>
            </w:r>
          </w:p>
        </w:tc>
        <w:tc>
          <w:tcPr>
            <w:tcW w:type="dxa" w:w="850"/>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3</w:t>
            </w:r>
          </w:p>
        </w:tc>
        <w:tc>
          <w:tcPr>
            <w:tcW w:type="dxa" w:w="4195"/>
            <w:tcMar>
              <w:top w:w="80" w:type="dxa"/>
              <w:start w:w="90" w:type="dxa"/>
              <w:bottom w:w="80" w:type="dxa"/>
              <w:end w:w="90" w:type="dxa"/>
            </w:tcMar>
            <w:vAlign w:val="center"/>
          </w:tcPr>
          <w:p>
            <w:pPr>
              <w:spacing w:after="0" w:line="252" w:lineRule="auto" w:before="0"/>
              <w:jc w:val="left"/>
            </w:pPr>
            <w:r>
              <w:rPr>
                <w:rFonts w:ascii="Noto Sans CJK SC" w:hAnsi="Noto Sans CJK SC" w:eastAsia="Noto Sans CJK SC"/>
                <w:sz w:val="16"/>
              </w:rPr>
            </w:r>
            <w:r>
              <w:rPr>
                <w:rFonts w:ascii="Noto Sans CJK SC" w:hAnsi="Noto Sans CJK SC" w:eastAsia="Noto Sans CJK SC"/>
                <w:sz w:val="16"/>
              </w:rPr>
              <w:t>羅案證據公開性與台灣啟動負擔均可能影響民主課責</w:t>
            </w:r>
          </w:p>
        </w:tc>
      </w:tr>
    </w:tbl>
    <w:p>
      <w:r>
        <w:rPr>
          <w:rFonts w:ascii="Noto Sans CJK SC" w:hAnsi="Noto Sans CJK SC" w:eastAsia="Noto Sans CJK SC"/>
        </w:rPr>
      </w:r>
    </w:p>
    <w:p>
      <w:pPr>
        <w:pStyle w:val="Heading1"/>
        <w:pageBreakBefore/>
      </w:pPr>
      <w:r>
        <w:rPr>
          <w:rFonts w:ascii="Noto Sans CJK SC" w:hAnsi="Noto Sans CJK SC" w:eastAsia="Noto Sans CJK SC"/>
        </w:rPr>
        <w:t>附表4　圖2核心文獻定位清單</w:t>
      </w:r>
    </w:p>
    <w:p>
      <w:r>
        <w:rPr>
          <w:rFonts w:ascii="Noto Sans CJK SC" w:hAnsi="Noto Sans CJK SC" w:eastAsia="Noto Sans CJK SC"/>
        </w:rPr>
        <w:t>本表只列入圖2實際呈現的九筆核心資料，採目的性選取，用來顯示規範、法制與操作文獻可能形成的主要聚落。它不是完整的系統性文獻回顧，也不能單獨證明全球文獻不存在2×3研究。每筆資料的座標，依其主要問題意識判定「分析層次×分析單位」，再按主要介入時點標示事前、事件中或事後。</w:t>
      </w:r>
    </w:p>
    <w:tbl>
      <w:tblPr>
        <w:tblW w:type="auto" w:w="0"/>
        <w:jc w:val="center"/>
        <w:tblLayout w:type="fixed"/>
        <w:tblLook w:firstColumn="1" w:firstRow="1" w:lastColumn="0" w:lastRow="0" w:noHBand="0" w:noVBand="1" w:val="04A0"/>
      </w:tblPr>
      <w:tblGrid>
        <w:gridCol w:w="1900"/>
        <w:gridCol w:w="1250"/>
        <w:gridCol w:w="1100"/>
        <w:gridCol w:w="1350"/>
        <w:gridCol w:w="3000"/>
      </w:tblGrid>
      <w:tr>
        <w:trPr>
          <w:tblHeader w:val="true"/>
        </w:trPr>
        <w:tc>
          <w:tcPr>
            <w:tcW w:type="dxa" w:w="1900"/>
            <w:vAlign w:val="center"/>
            <w:tcMar>
              <w:top w:w="80" w:type="dxa"/>
              <w:start w:w="100" w:type="dxa"/>
              <w:bottom w:w="80" w:type="dxa"/>
              <w:end w:w="100" w:type="dxa"/>
            </w:tcMar>
            <w:shd w:fill="D8E7F4"/>
          </w:tcPr>
          <w:p>
            <w:pPr>
              <w:spacing w:before="0" w:after="0" w:line="240" w:lineRule="auto"/>
            </w:pPr>
            <w:r>
              <w:rPr>
                <w:rFonts w:ascii="Noto Sans CJK SC" w:hAnsi="Noto Sans CJK SC" w:eastAsia="Noto Sans CJK SC"/>
                <w:b/>
                <w:color w:val="173A63"/>
                <w:sz w:val="15"/>
              </w:rPr>
              <w:t>圖中資料</w:t>
            </w:r>
          </w:p>
        </w:tc>
        <w:tc>
          <w:tcPr>
            <w:tcW w:type="dxa" w:w="1250"/>
            <w:vAlign w:val="center"/>
            <w:tcMar>
              <w:top w:w="80" w:type="dxa"/>
              <w:start w:w="100" w:type="dxa"/>
              <w:bottom w:w="80" w:type="dxa"/>
              <w:end w:w="100" w:type="dxa"/>
            </w:tcMar>
            <w:shd w:fill="D8E7F4"/>
          </w:tcPr>
          <w:p>
            <w:pPr>
              <w:spacing w:before="0" w:after="0" w:line="240" w:lineRule="auto"/>
            </w:pPr>
            <w:r>
              <w:rPr>
                <w:rFonts w:ascii="Noto Sans CJK SC" w:hAnsi="Noto Sans CJK SC" w:eastAsia="Noto Sans CJK SC"/>
                <w:b/>
                <w:color w:val="173A63"/>
                <w:sz w:val="15"/>
              </w:rPr>
              <w:t>層次L</w:t>
            </w:r>
          </w:p>
        </w:tc>
        <w:tc>
          <w:tcPr>
            <w:tcW w:type="dxa" w:w="1100"/>
            <w:vAlign w:val="center"/>
            <w:tcMar>
              <w:top w:w="80" w:type="dxa"/>
              <w:start w:w="100" w:type="dxa"/>
              <w:bottom w:w="80" w:type="dxa"/>
              <w:end w:w="100" w:type="dxa"/>
            </w:tcMar>
            <w:shd w:fill="D8E7F4"/>
          </w:tcPr>
          <w:p>
            <w:pPr>
              <w:spacing w:before="0" w:after="0" w:line="240" w:lineRule="auto"/>
            </w:pPr>
            <w:r>
              <w:rPr>
                <w:rFonts w:ascii="Noto Sans CJK SC" w:hAnsi="Noto Sans CJK SC" w:eastAsia="Noto Sans CJK SC"/>
                <w:b/>
                <w:color w:val="173A63"/>
                <w:sz w:val="15"/>
              </w:rPr>
              <w:t>單位U</w:t>
            </w:r>
          </w:p>
        </w:tc>
        <w:tc>
          <w:tcPr>
            <w:tcW w:type="dxa" w:w="1350"/>
            <w:vAlign w:val="center"/>
            <w:tcMar>
              <w:top w:w="80" w:type="dxa"/>
              <w:start w:w="100" w:type="dxa"/>
              <w:bottom w:w="80" w:type="dxa"/>
              <w:end w:w="100" w:type="dxa"/>
            </w:tcMar>
            <w:shd w:fill="D8E7F4"/>
          </w:tcPr>
          <w:p>
            <w:pPr>
              <w:spacing w:before="0" w:after="0" w:line="240" w:lineRule="auto"/>
            </w:pPr>
            <w:r>
              <w:rPr>
                <w:rFonts w:ascii="Noto Sans CJK SC" w:hAnsi="Noto Sans CJK SC" w:eastAsia="Noto Sans CJK SC"/>
                <w:b/>
                <w:color w:val="173A63"/>
                <w:sz w:val="15"/>
              </w:rPr>
              <w:t>處置階段</w:t>
            </w:r>
          </w:p>
        </w:tc>
        <w:tc>
          <w:tcPr>
            <w:tcW w:type="dxa" w:w="3000"/>
            <w:vAlign w:val="center"/>
            <w:tcMar>
              <w:top w:w="80" w:type="dxa"/>
              <w:start w:w="100" w:type="dxa"/>
              <w:bottom w:w="80" w:type="dxa"/>
              <w:end w:w="100" w:type="dxa"/>
            </w:tcMar>
            <w:shd w:fill="D8E7F4"/>
          </w:tcPr>
          <w:p>
            <w:pPr>
              <w:spacing w:before="0" w:after="0" w:line="240" w:lineRule="auto"/>
            </w:pPr>
            <w:r>
              <w:rPr>
                <w:rFonts w:ascii="Noto Sans CJK SC" w:hAnsi="Noto Sans CJK SC" w:eastAsia="Noto Sans CJK SC"/>
                <w:b/>
                <w:color w:val="173A63"/>
                <w:sz w:val="15"/>
              </w:rPr>
              <w:t>主要編碼理由</w:t>
            </w:r>
          </w:p>
        </w:tc>
      </w:tr>
      <w:tr>
        <w:tc>
          <w:tcPr>
            <w:tcW w:type="dxa" w:w="1900"/>
            <w:vAlign w:val="center"/>
            <w:tcMar>
              <w:top w:w="80" w:type="dxa"/>
              <w:start w:w="100" w:type="dxa"/>
              <w:bottom w:w="80" w:type="dxa"/>
              <w:end w:w="100" w:type="dxa"/>
            </w:tcMar>
          </w:tcPr>
          <w:p>
            <w:pPr>
              <w:spacing w:before="0" w:after="0" w:line="240" w:lineRule="auto"/>
              <w:jc w:val="center"/>
            </w:pPr>
            <w:r>
              <w:rPr>
                <w:rFonts w:ascii="Noto Sans CJK SC" w:hAnsi="Noto Sans CJK SC" w:eastAsia="Noto Sans CJK SC"/>
                <w:sz w:val="15"/>
              </w:rPr>
              <w:t>UNESCO（2021）AI倫理建議</w:t>
            </w:r>
          </w:p>
        </w:tc>
        <w:tc>
          <w:tcPr>
            <w:tcW w:type="dxa" w:w="1250"/>
            <w:vAlign w:val="center"/>
            <w:tcMar>
              <w:top w:w="80" w:type="dxa"/>
              <w:start w:w="100" w:type="dxa"/>
              <w:bottom w:w="80" w:type="dxa"/>
              <w:end w:w="100" w:type="dxa"/>
            </w:tcMar>
          </w:tcPr>
          <w:p>
            <w:pPr>
              <w:spacing w:before="0" w:after="0" w:line="240" w:lineRule="auto"/>
            </w:pPr>
            <w:r>
              <w:rPr>
                <w:rFonts w:ascii="Noto Sans CJK SC" w:hAnsi="Noto Sans CJK SC" w:eastAsia="Noto Sans CJK SC"/>
                <w:sz w:val="15"/>
              </w:rPr>
              <w:t>1 哲學價值</w:t>
            </w:r>
          </w:p>
        </w:tc>
        <w:tc>
          <w:tcPr>
            <w:tcW w:type="dxa" w:w="1100"/>
            <w:vAlign w:val="center"/>
            <w:tcMar>
              <w:top w:w="80" w:type="dxa"/>
              <w:start w:w="100" w:type="dxa"/>
              <w:bottom w:w="80" w:type="dxa"/>
              <w:end w:w="100" w:type="dxa"/>
            </w:tcMar>
          </w:tcPr>
          <w:p>
            <w:pPr>
              <w:spacing w:before="0" w:after="0" w:line="240" w:lineRule="auto"/>
            </w:pPr>
            <w:r>
              <w:rPr>
                <w:rFonts w:ascii="Noto Sans CJK SC" w:hAnsi="Noto Sans CJK SC" w:eastAsia="Noto Sans CJK SC"/>
                <w:sz w:val="15"/>
              </w:rPr>
              <w:t>5 國際</w:t>
            </w:r>
          </w:p>
        </w:tc>
        <w:tc>
          <w:tcPr>
            <w:tcW w:type="dxa" w:w="1350"/>
            <w:vAlign w:val="center"/>
            <w:tcMar>
              <w:top w:w="80" w:type="dxa"/>
              <w:start w:w="100" w:type="dxa"/>
              <w:bottom w:w="80" w:type="dxa"/>
              <w:end w:w="100" w:type="dxa"/>
            </w:tcMar>
          </w:tcPr>
          <w:p>
            <w:pPr>
              <w:spacing w:before="0" w:after="0" w:line="240" w:lineRule="auto"/>
            </w:pPr>
            <w:r>
              <w:rPr>
                <w:rFonts w:ascii="Noto Sans CJK SC" w:hAnsi="Noto Sans CJK SC" w:eastAsia="Noto Sans CJK SC"/>
                <w:sz w:val="15"/>
              </w:rPr>
              <w:t>事前預防</w:t>
            </w:r>
          </w:p>
        </w:tc>
        <w:tc>
          <w:tcPr>
            <w:tcW w:type="dxa" w:w="3000"/>
            <w:vAlign w:val="center"/>
            <w:tcMar>
              <w:top w:w="80" w:type="dxa"/>
              <w:start w:w="100" w:type="dxa"/>
              <w:bottom w:w="80" w:type="dxa"/>
              <w:end w:w="100" w:type="dxa"/>
            </w:tcMar>
          </w:tcPr>
          <w:p>
            <w:pPr>
              <w:spacing w:before="0" w:after="0" w:line="240" w:lineRule="auto"/>
            </w:pPr>
            <w:r>
              <w:rPr>
                <w:rFonts w:ascii="Noto Sans CJK SC" w:hAnsi="Noto Sans CJK SC" w:eastAsia="Noto Sans CJK SC"/>
                <w:sz w:val="15"/>
              </w:rPr>
              <w:t>以國際層次的AI倫理原則與人權承諾為主要規範重心。</w:t>
            </w:r>
          </w:p>
        </w:tc>
      </w:tr>
      <w:tr>
        <w:tc>
          <w:tcPr>
            <w:tcW w:type="dxa" w:w="1900"/>
            <w:vAlign w:val="center"/>
            <w:tcMar>
              <w:top w:w="80" w:type="dxa"/>
              <w:start w:w="100" w:type="dxa"/>
              <w:bottom w:w="80" w:type="dxa"/>
              <w:end w:w="100" w:type="dxa"/>
            </w:tcMar>
            <w:shd w:fill="F5F8FB"/>
          </w:tcPr>
          <w:p>
            <w:pPr>
              <w:spacing w:before="0" w:after="0" w:line="240" w:lineRule="auto"/>
              <w:jc w:val="center"/>
            </w:pPr>
            <w:r>
              <w:rPr>
                <w:rFonts w:ascii="Noto Sans CJK SC" w:hAnsi="Noto Sans CJK SC" w:eastAsia="Noto Sans CJK SC"/>
                <w:sz w:val="15"/>
              </w:rPr>
              <w:t>歐盟AI法案</w:t>
            </w:r>
          </w:p>
        </w:tc>
        <w:tc>
          <w:tcPr>
            <w:tcW w:type="dxa" w:w="1250"/>
            <w:vAlign w:val="center"/>
            <w:tcMar>
              <w:top w:w="80" w:type="dxa"/>
              <w:start w:w="100" w:type="dxa"/>
              <w:bottom w:w="80" w:type="dxa"/>
              <w:end w:w="100" w:type="dxa"/>
            </w:tcMar>
            <w:shd w:fill="F5F8FB"/>
          </w:tcPr>
          <w:p>
            <w:pPr>
              <w:spacing w:before="0" w:after="0" w:line="240" w:lineRule="auto"/>
            </w:pPr>
            <w:r>
              <w:rPr>
                <w:rFonts w:ascii="Noto Sans CJK SC" w:hAnsi="Noto Sans CJK SC" w:eastAsia="Noto Sans CJK SC"/>
                <w:sz w:val="15"/>
              </w:rPr>
              <w:t>2 制度分工</w:t>
            </w:r>
          </w:p>
        </w:tc>
        <w:tc>
          <w:tcPr>
            <w:tcW w:type="dxa" w:w="1100"/>
            <w:vAlign w:val="center"/>
            <w:tcMar>
              <w:top w:w="80" w:type="dxa"/>
              <w:start w:w="100" w:type="dxa"/>
              <w:bottom w:w="80" w:type="dxa"/>
              <w:end w:w="100" w:type="dxa"/>
            </w:tcMar>
            <w:shd w:fill="F5F8FB"/>
          </w:tcPr>
          <w:p>
            <w:pPr>
              <w:spacing w:before="0" w:after="0" w:line="240" w:lineRule="auto"/>
            </w:pPr>
            <w:r>
              <w:rPr>
                <w:rFonts w:ascii="Noto Sans CJK SC" w:hAnsi="Noto Sans CJK SC" w:eastAsia="Noto Sans CJK SC"/>
                <w:sz w:val="15"/>
              </w:rPr>
              <w:t>5 國際</w:t>
            </w:r>
          </w:p>
        </w:tc>
        <w:tc>
          <w:tcPr>
            <w:tcW w:type="dxa" w:w="1350"/>
            <w:vAlign w:val="center"/>
            <w:tcMar>
              <w:top w:w="80" w:type="dxa"/>
              <w:start w:w="100" w:type="dxa"/>
              <w:bottom w:w="80" w:type="dxa"/>
              <w:end w:w="100" w:type="dxa"/>
            </w:tcMar>
            <w:shd w:fill="F5F8FB"/>
          </w:tcPr>
          <w:p>
            <w:pPr>
              <w:spacing w:before="0" w:after="0" w:line="240" w:lineRule="auto"/>
            </w:pPr>
            <w:r>
              <w:rPr>
                <w:rFonts w:ascii="Noto Sans CJK SC" w:hAnsi="Noto Sans CJK SC" w:eastAsia="Noto Sans CJK SC"/>
                <w:sz w:val="15"/>
              </w:rPr>
              <w:t>事前預防</w:t>
            </w:r>
          </w:p>
        </w:tc>
        <w:tc>
          <w:tcPr>
            <w:tcW w:type="dxa" w:w="3000"/>
            <w:vAlign w:val="center"/>
            <w:tcMar>
              <w:top w:w="80" w:type="dxa"/>
              <w:start w:w="100" w:type="dxa"/>
              <w:bottom w:w="80" w:type="dxa"/>
              <w:end w:w="100" w:type="dxa"/>
            </w:tcMar>
            <w:shd w:fill="F5F8FB"/>
          </w:tcPr>
          <w:p>
            <w:pPr>
              <w:spacing w:before="0" w:after="0" w:line="240" w:lineRule="auto"/>
            </w:pPr>
            <w:r>
              <w:rPr>
                <w:rFonts w:ascii="Noto Sans CJK SC" w:hAnsi="Noto Sans CJK SC" w:eastAsia="Noto Sans CJK SC"/>
                <w:sz w:val="15"/>
              </w:rPr>
              <w:t>以超國家法制配置提供者、部署者及監理責任。</w:t>
            </w:r>
          </w:p>
        </w:tc>
      </w:tr>
      <w:tr>
        <w:tc>
          <w:tcPr>
            <w:tcW w:type="dxa" w:w="1900"/>
            <w:vAlign w:val="center"/>
            <w:tcMar>
              <w:top w:w="80" w:type="dxa"/>
              <w:start w:w="100" w:type="dxa"/>
              <w:bottom w:w="80" w:type="dxa"/>
              <w:end w:w="100" w:type="dxa"/>
            </w:tcMar>
          </w:tcPr>
          <w:p>
            <w:pPr>
              <w:spacing w:before="0" w:after="0" w:line="240" w:lineRule="auto"/>
              <w:jc w:val="center"/>
            </w:pPr>
            <w:r>
              <w:rPr>
                <w:rFonts w:ascii="Noto Sans CJK SC" w:hAnsi="Noto Sans CJK SC" w:eastAsia="Noto Sans CJK SC"/>
                <w:sz w:val="15"/>
              </w:rPr>
              <w:t>歐盟DSA平台系統性風險</w:t>
            </w:r>
          </w:p>
        </w:tc>
        <w:tc>
          <w:tcPr>
            <w:tcW w:type="dxa" w:w="1250"/>
            <w:vAlign w:val="center"/>
            <w:tcMar>
              <w:top w:w="80" w:type="dxa"/>
              <w:start w:w="100" w:type="dxa"/>
              <w:bottom w:w="80" w:type="dxa"/>
              <w:end w:w="100" w:type="dxa"/>
            </w:tcMar>
          </w:tcPr>
          <w:p>
            <w:pPr>
              <w:spacing w:before="0" w:after="0" w:line="240" w:lineRule="auto"/>
            </w:pPr>
            <w:r>
              <w:rPr>
                <w:rFonts w:ascii="Noto Sans CJK SC" w:hAnsi="Noto Sans CJK SC" w:eastAsia="Noto Sans CJK SC"/>
                <w:sz w:val="15"/>
              </w:rPr>
              <w:t>3 政策體系</w:t>
            </w:r>
          </w:p>
        </w:tc>
        <w:tc>
          <w:tcPr>
            <w:tcW w:type="dxa" w:w="1100"/>
            <w:vAlign w:val="center"/>
            <w:tcMar>
              <w:top w:w="80" w:type="dxa"/>
              <w:start w:w="100" w:type="dxa"/>
              <w:bottom w:w="80" w:type="dxa"/>
              <w:end w:w="100" w:type="dxa"/>
            </w:tcMar>
          </w:tcPr>
          <w:p>
            <w:pPr>
              <w:spacing w:before="0" w:after="0" w:line="240" w:lineRule="auto"/>
            </w:pPr>
            <w:r>
              <w:rPr>
                <w:rFonts w:ascii="Noto Sans CJK SC" w:hAnsi="Noto Sans CJK SC" w:eastAsia="Noto Sans CJK SC"/>
                <w:sz w:val="15"/>
              </w:rPr>
              <w:t>5 國際</w:t>
            </w:r>
          </w:p>
        </w:tc>
        <w:tc>
          <w:tcPr>
            <w:tcW w:type="dxa" w:w="1350"/>
            <w:vAlign w:val="center"/>
            <w:tcMar>
              <w:top w:w="80" w:type="dxa"/>
              <w:start w:w="100" w:type="dxa"/>
              <w:bottom w:w="80" w:type="dxa"/>
              <w:end w:w="100" w:type="dxa"/>
            </w:tcMar>
          </w:tcPr>
          <w:p>
            <w:pPr>
              <w:spacing w:before="0" w:after="0" w:line="240" w:lineRule="auto"/>
            </w:pPr>
            <w:r>
              <w:rPr>
                <w:rFonts w:ascii="Noto Sans CJK SC" w:hAnsi="Noto Sans CJK SC" w:eastAsia="Noto Sans CJK SC"/>
                <w:sz w:val="15"/>
              </w:rPr>
              <w:t>事件中應變</w:t>
            </w:r>
          </w:p>
        </w:tc>
        <w:tc>
          <w:tcPr>
            <w:tcW w:type="dxa" w:w="3000"/>
            <w:vAlign w:val="center"/>
            <w:tcMar>
              <w:top w:w="80" w:type="dxa"/>
              <w:start w:w="100" w:type="dxa"/>
              <w:bottom w:w="80" w:type="dxa"/>
              <w:end w:w="100" w:type="dxa"/>
            </w:tcMar>
          </w:tcPr>
          <w:p>
            <w:pPr>
              <w:spacing w:before="0" w:after="0" w:line="240" w:lineRule="auto"/>
            </w:pPr>
            <w:r>
              <w:rPr>
                <w:rFonts w:ascii="Noto Sans CJK SC" w:hAnsi="Noto Sans CJK SC" w:eastAsia="Noto Sans CJK SC"/>
                <w:sz w:val="15"/>
              </w:rPr>
              <w:t>以歐盟政策與行政監理處理大型平台選舉風險。</w:t>
            </w:r>
          </w:p>
        </w:tc>
      </w:tr>
      <w:tr>
        <w:tc>
          <w:tcPr>
            <w:tcW w:type="dxa" w:w="1900"/>
            <w:vAlign w:val="center"/>
            <w:tcMar>
              <w:top w:w="80" w:type="dxa"/>
              <w:start w:w="100" w:type="dxa"/>
              <w:bottom w:w="80" w:type="dxa"/>
              <w:end w:w="100" w:type="dxa"/>
            </w:tcMar>
            <w:shd w:fill="F5F8FB"/>
          </w:tcPr>
          <w:p>
            <w:pPr>
              <w:spacing w:before="0" w:after="0" w:line="240" w:lineRule="auto"/>
              <w:jc w:val="center"/>
            </w:pPr>
            <w:r>
              <w:rPr>
                <w:rFonts w:ascii="Noto Sans CJK SC" w:hAnsi="Noto Sans CJK SC" w:eastAsia="Noto Sans CJK SC"/>
                <w:sz w:val="15"/>
              </w:rPr>
              <w:t>余和謙（2019）</w:t>
            </w:r>
          </w:p>
        </w:tc>
        <w:tc>
          <w:tcPr>
            <w:tcW w:type="dxa" w:w="1250"/>
            <w:vAlign w:val="center"/>
            <w:tcMar>
              <w:top w:w="80" w:type="dxa"/>
              <w:start w:w="100" w:type="dxa"/>
              <w:bottom w:w="80" w:type="dxa"/>
              <w:end w:w="100" w:type="dxa"/>
            </w:tcMar>
            <w:shd w:fill="F5F8FB"/>
          </w:tcPr>
          <w:p>
            <w:pPr>
              <w:spacing w:before="0" w:after="0" w:line="240" w:lineRule="auto"/>
            </w:pPr>
            <w:r>
              <w:rPr>
                <w:rFonts w:ascii="Noto Sans CJK SC" w:hAnsi="Noto Sans CJK SC" w:eastAsia="Noto Sans CJK SC"/>
                <w:sz w:val="15"/>
              </w:rPr>
              <w:t>3 政策體系</w:t>
            </w:r>
          </w:p>
        </w:tc>
        <w:tc>
          <w:tcPr>
            <w:tcW w:type="dxa" w:w="1100"/>
            <w:vAlign w:val="center"/>
            <w:tcMar>
              <w:top w:w="80" w:type="dxa"/>
              <w:start w:w="100" w:type="dxa"/>
              <w:bottom w:w="80" w:type="dxa"/>
              <w:end w:w="100" w:type="dxa"/>
            </w:tcMar>
            <w:shd w:fill="F5F8FB"/>
          </w:tcPr>
          <w:p>
            <w:pPr>
              <w:spacing w:before="0" w:after="0" w:line="240" w:lineRule="auto"/>
            </w:pPr>
            <w:r>
              <w:rPr>
                <w:rFonts w:ascii="Noto Sans CJK SC" w:hAnsi="Noto Sans CJK SC" w:eastAsia="Noto Sans CJK SC"/>
                <w:sz w:val="15"/>
              </w:rPr>
              <w:t>4 社會</w:t>
            </w:r>
          </w:p>
        </w:tc>
        <w:tc>
          <w:tcPr>
            <w:tcW w:type="dxa" w:w="1350"/>
            <w:vAlign w:val="center"/>
            <w:tcMar>
              <w:top w:w="80" w:type="dxa"/>
              <w:start w:w="100" w:type="dxa"/>
              <w:bottom w:w="80" w:type="dxa"/>
              <w:end w:w="100" w:type="dxa"/>
            </w:tcMar>
            <w:shd w:fill="F5F8FB"/>
          </w:tcPr>
          <w:p>
            <w:pPr>
              <w:spacing w:before="0" w:after="0" w:line="240" w:lineRule="auto"/>
            </w:pPr>
            <w:r>
              <w:rPr>
                <w:rFonts w:ascii="Noto Sans CJK SC" w:hAnsi="Noto Sans CJK SC" w:eastAsia="Noto Sans CJK SC"/>
                <w:sz w:val="15"/>
              </w:rPr>
              <w:t>事前預防</w:t>
            </w:r>
          </w:p>
        </w:tc>
        <w:tc>
          <w:tcPr>
            <w:tcW w:type="dxa" w:w="3000"/>
            <w:vAlign w:val="center"/>
            <w:tcMar>
              <w:top w:w="80" w:type="dxa"/>
              <w:start w:w="100" w:type="dxa"/>
              <w:bottom w:w="80" w:type="dxa"/>
              <w:end w:w="100" w:type="dxa"/>
            </w:tcMar>
            <w:shd w:fill="F5F8FB"/>
          </w:tcPr>
          <w:p>
            <w:pPr>
              <w:spacing w:before="0" w:after="0" w:line="240" w:lineRule="auto"/>
            </w:pPr>
            <w:r>
              <w:rPr>
                <w:rFonts w:ascii="Noto Sans CJK SC" w:hAnsi="Noto Sans CJK SC" w:eastAsia="Noto Sans CJK SC"/>
                <w:sz w:val="15"/>
              </w:rPr>
              <w:t>從科技法律與社會治理議程處理深偽風險。</w:t>
            </w:r>
          </w:p>
        </w:tc>
      </w:tr>
      <w:tr>
        <w:tc>
          <w:tcPr>
            <w:tcW w:type="dxa" w:w="1900"/>
            <w:vAlign w:val="center"/>
            <w:tcMar>
              <w:top w:w="80" w:type="dxa"/>
              <w:start w:w="100" w:type="dxa"/>
              <w:bottom w:w="80" w:type="dxa"/>
              <w:end w:w="100" w:type="dxa"/>
            </w:tcMar>
          </w:tcPr>
          <w:p>
            <w:pPr>
              <w:spacing w:before="0" w:after="0" w:line="240" w:lineRule="auto"/>
              <w:jc w:val="center"/>
            </w:pPr>
            <w:r>
              <w:rPr>
                <w:rFonts w:ascii="Noto Sans CJK SC" w:hAnsi="Noto Sans CJK SC" w:eastAsia="Noto Sans CJK SC"/>
                <w:sz w:val="15"/>
              </w:rPr>
              <w:t>蔡碧玉（2024）</w:t>
            </w:r>
          </w:p>
        </w:tc>
        <w:tc>
          <w:tcPr>
            <w:tcW w:type="dxa" w:w="1250"/>
            <w:vAlign w:val="center"/>
            <w:tcMar>
              <w:top w:w="80" w:type="dxa"/>
              <w:start w:w="100" w:type="dxa"/>
              <w:bottom w:w="80" w:type="dxa"/>
              <w:end w:w="100" w:type="dxa"/>
            </w:tcMar>
          </w:tcPr>
          <w:p>
            <w:pPr>
              <w:spacing w:before="0" w:after="0" w:line="240" w:lineRule="auto"/>
            </w:pPr>
            <w:r>
              <w:rPr>
                <w:rFonts w:ascii="Noto Sans CJK SC" w:hAnsi="Noto Sans CJK SC" w:eastAsia="Noto Sans CJK SC"/>
                <w:sz w:val="15"/>
              </w:rPr>
              <w:t>2 制度分工</w:t>
            </w:r>
          </w:p>
        </w:tc>
        <w:tc>
          <w:tcPr>
            <w:tcW w:type="dxa" w:w="1100"/>
            <w:vAlign w:val="center"/>
            <w:tcMar>
              <w:top w:w="80" w:type="dxa"/>
              <w:start w:w="100" w:type="dxa"/>
              <w:bottom w:w="80" w:type="dxa"/>
              <w:end w:w="100" w:type="dxa"/>
            </w:tcMar>
          </w:tcPr>
          <w:p>
            <w:pPr>
              <w:spacing w:before="0" w:after="0" w:line="240" w:lineRule="auto"/>
            </w:pPr>
            <w:r>
              <w:rPr>
                <w:rFonts w:ascii="Noto Sans CJK SC" w:hAnsi="Noto Sans CJK SC" w:eastAsia="Noto Sans CJK SC"/>
                <w:sz w:val="15"/>
              </w:rPr>
              <w:t>4 社會</w:t>
            </w:r>
          </w:p>
        </w:tc>
        <w:tc>
          <w:tcPr>
            <w:tcW w:type="dxa" w:w="1350"/>
            <w:vAlign w:val="center"/>
            <w:tcMar>
              <w:top w:w="80" w:type="dxa"/>
              <w:start w:w="100" w:type="dxa"/>
              <w:bottom w:w="80" w:type="dxa"/>
              <w:end w:w="100" w:type="dxa"/>
            </w:tcMar>
          </w:tcPr>
          <w:p>
            <w:pPr>
              <w:spacing w:before="0" w:after="0" w:line="240" w:lineRule="auto"/>
            </w:pPr>
            <w:r>
              <w:rPr>
                <w:rFonts w:ascii="Noto Sans CJK SC" w:hAnsi="Noto Sans CJK SC" w:eastAsia="Noto Sans CJK SC"/>
                <w:sz w:val="15"/>
              </w:rPr>
              <w:t>事後追責</w:t>
            </w:r>
          </w:p>
        </w:tc>
        <w:tc>
          <w:tcPr>
            <w:tcW w:type="dxa" w:w="3000"/>
            <w:vAlign w:val="center"/>
            <w:tcMar>
              <w:top w:w="80" w:type="dxa"/>
              <w:start w:w="100" w:type="dxa"/>
              <w:bottom w:w="80" w:type="dxa"/>
              <w:end w:w="100" w:type="dxa"/>
            </w:tcMar>
          </w:tcPr>
          <w:p>
            <w:pPr>
              <w:spacing w:before="0" w:after="0" w:line="240" w:lineRule="auto"/>
            </w:pPr>
            <w:r>
              <w:rPr>
                <w:rFonts w:ascii="Noto Sans CJK SC" w:hAnsi="Noto Sans CJK SC" w:eastAsia="Noto Sans CJK SC"/>
                <w:sz w:val="15"/>
              </w:rPr>
              <w:t>以刑事構成要件、法益及責任追訴為主要焦點。</w:t>
            </w:r>
          </w:p>
        </w:tc>
      </w:tr>
      <w:tr>
        <w:tc>
          <w:tcPr>
            <w:tcW w:type="dxa" w:w="1900"/>
            <w:vAlign w:val="center"/>
            <w:tcMar>
              <w:top w:w="80" w:type="dxa"/>
              <w:start w:w="100" w:type="dxa"/>
              <w:bottom w:w="80" w:type="dxa"/>
              <w:end w:w="100" w:type="dxa"/>
            </w:tcMar>
            <w:shd w:fill="F5F8FB"/>
          </w:tcPr>
          <w:p>
            <w:pPr>
              <w:spacing w:before="0" w:after="0" w:line="240" w:lineRule="auto"/>
              <w:jc w:val="center"/>
            </w:pPr>
            <w:r>
              <w:rPr>
                <w:rFonts w:ascii="Noto Sans CJK SC" w:hAnsi="Noto Sans CJK SC" w:eastAsia="Noto Sans CJK SC"/>
                <w:sz w:val="15"/>
              </w:rPr>
              <w:t>林彥廷（2025）</w:t>
            </w:r>
          </w:p>
        </w:tc>
        <w:tc>
          <w:tcPr>
            <w:tcW w:type="dxa" w:w="1250"/>
            <w:vAlign w:val="center"/>
            <w:tcMar>
              <w:top w:w="80" w:type="dxa"/>
              <w:start w:w="100" w:type="dxa"/>
              <w:bottom w:w="80" w:type="dxa"/>
              <w:end w:w="100" w:type="dxa"/>
            </w:tcMar>
            <w:shd w:fill="F5F8FB"/>
          </w:tcPr>
          <w:p>
            <w:pPr>
              <w:spacing w:before="0" w:after="0" w:line="240" w:lineRule="auto"/>
            </w:pPr>
            <w:r>
              <w:rPr>
                <w:rFonts w:ascii="Noto Sans CJK SC" w:hAnsi="Noto Sans CJK SC" w:eastAsia="Noto Sans CJK SC"/>
                <w:sz w:val="15"/>
              </w:rPr>
              <w:t>2 制度分工</w:t>
            </w:r>
          </w:p>
        </w:tc>
        <w:tc>
          <w:tcPr>
            <w:tcW w:type="dxa" w:w="1100"/>
            <w:vAlign w:val="center"/>
            <w:tcMar>
              <w:top w:w="80" w:type="dxa"/>
              <w:start w:w="100" w:type="dxa"/>
              <w:bottom w:w="80" w:type="dxa"/>
              <w:end w:w="100" w:type="dxa"/>
            </w:tcMar>
            <w:shd w:fill="F5F8FB"/>
          </w:tcPr>
          <w:p>
            <w:pPr>
              <w:spacing w:before="0" w:after="0" w:line="240" w:lineRule="auto"/>
            </w:pPr>
            <w:r>
              <w:rPr>
                <w:rFonts w:ascii="Noto Sans CJK SC" w:hAnsi="Noto Sans CJK SC" w:eastAsia="Noto Sans CJK SC"/>
                <w:sz w:val="15"/>
              </w:rPr>
              <w:t>4 社會</w:t>
            </w:r>
          </w:p>
        </w:tc>
        <w:tc>
          <w:tcPr>
            <w:tcW w:type="dxa" w:w="1350"/>
            <w:vAlign w:val="center"/>
            <w:tcMar>
              <w:top w:w="80" w:type="dxa"/>
              <w:start w:w="100" w:type="dxa"/>
              <w:bottom w:w="80" w:type="dxa"/>
              <w:end w:w="100" w:type="dxa"/>
            </w:tcMar>
            <w:shd w:fill="F5F8FB"/>
          </w:tcPr>
          <w:p>
            <w:pPr>
              <w:spacing w:before="0" w:after="0" w:line="240" w:lineRule="auto"/>
            </w:pPr>
            <w:r>
              <w:rPr>
                <w:rFonts w:ascii="Noto Sans CJK SC" w:hAnsi="Noto Sans CJK SC" w:eastAsia="Noto Sans CJK SC"/>
                <w:sz w:val="15"/>
              </w:rPr>
              <w:t>事件中應變</w:t>
            </w:r>
          </w:p>
        </w:tc>
        <w:tc>
          <w:tcPr>
            <w:tcW w:type="dxa" w:w="3000"/>
            <w:vAlign w:val="center"/>
            <w:tcMar>
              <w:top w:w="80" w:type="dxa"/>
              <w:start w:w="100" w:type="dxa"/>
              <w:bottom w:w="80" w:type="dxa"/>
              <w:end w:w="100" w:type="dxa"/>
            </w:tcMar>
            <w:shd w:fill="F5F8FB"/>
          </w:tcPr>
          <w:p>
            <w:pPr>
              <w:spacing w:before="0" w:after="0" w:line="240" w:lineRule="auto"/>
            </w:pPr>
            <w:r>
              <w:rPr>
                <w:rFonts w:ascii="Noto Sans CJK SC" w:hAnsi="Noto Sans CJK SC" w:eastAsia="Noto Sans CJK SC"/>
                <w:sz w:val="15"/>
              </w:rPr>
              <w:t>檢視選罷法的適用期間、請求程序與平台救濟。</w:t>
            </w:r>
          </w:p>
        </w:tc>
      </w:tr>
      <w:tr>
        <w:tc>
          <w:tcPr>
            <w:tcW w:type="dxa" w:w="1900"/>
            <w:vAlign w:val="center"/>
            <w:tcMar>
              <w:top w:w="80" w:type="dxa"/>
              <w:start w:w="100" w:type="dxa"/>
              <w:bottom w:w="80" w:type="dxa"/>
              <w:end w:w="100" w:type="dxa"/>
            </w:tcMar>
          </w:tcPr>
          <w:p>
            <w:pPr>
              <w:spacing w:before="0" w:after="0" w:line="240" w:lineRule="auto"/>
              <w:jc w:val="center"/>
            </w:pPr>
            <w:r>
              <w:rPr>
                <w:rFonts w:ascii="Noto Sans CJK SC" w:hAnsi="Noto Sans CJK SC" w:eastAsia="Noto Sans CJK SC"/>
                <w:sz w:val="15"/>
              </w:rPr>
              <w:t>Daolio（2025）</w:t>
            </w:r>
          </w:p>
        </w:tc>
        <w:tc>
          <w:tcPr>
            <w:tcW w:type="dxa" w:w="1250"/>
            <w:vAlign w:val="center"/>
            <w:tcMar>
              <w:top w:w="80" w:type="dxa"/>
              <w:start w:w="100" w:type="dxa"/>
              <w:bottom w:w="80" w:type="dxa"/>
              <w:end w:w="100" w:type="dxa"/>
            </w:tcMar>
          </w:tcPr>
          <w:p>
            <w:pPr>
              <w:spacing w:before="0" w:after="0" w:line="240" w:lineRule="auto"/>
            </w:pPr>
            <w:r>
              <w:rPr>
                <w:rFonts w:ascii="Noto Sans CJK SC" w:hAnsi="Noto Sans CJK SC" w:eastAsia="Noto Sans CJK SC"/>
                <w:sz w:val="15"/>
              </w:rPr>
              <w:t>3 政策體系</w:t>
            </w:r>
          </w:p>
        </w:tc>
        <w:tc>
          <w:tcPr>
            <w:tcW w:type="dxa" w:w="1100"/>
            <w:vAlign w:val="center"/>
            <w:tcMar>
              <w:top w:w="80" w:type="dxa"/>
              <w:start w:w="100" w:type="dxa"/>
              <w:bottom w:w="80" w:type="dxa"/>
              <w:end w:w="100" w:type="dxa"/>
            </w:tcMar>
          </w:tcPr>
          <w:p>
            <w:pPr>
              <w:spacing w:before="0" w:after="0" w:line="240" w:lineRule="auto"/>
            </w:pPr>
            <w:r>
              <w:rPr>
                <w:rFonts w:ascii="Noto Sans CJK SC" w:hAnsi="Noto Sans CJK SC" w:eastAsia="Noto Sans CJK SC"/>
                <w:sz w:val="15"/>
              </w:rPr>
              <w:t>4 社會</w:t>
            </w:r>
          </w:p>
        </w:tc>
        <w:tc>
          <w:tcPr>
            <w:tcW w:type="dxa" w:w="1350"/>
            <w:vAlign w:val="center"/>
            <w:tcMar>
              <w:top w:w="80" w:type="dxa"/>
              <w:start w:w="100" w:type="dxa"/>
              <w:bottom w:w="80" w:type="dxa"/>
              <w:end w:w="100" w:type="dxa"/>
            </w:tcMar>
          </w:tcPr>
          <w:p>
            <w:pPr>
              <w:spacing w:before="0" w:after="0" w:line="240" w:lineRule="auto"/>
            </w:pPr>
            <w:r>
              <w:rPr>
                <w:rFonts w:ascii="Noto Sans CJK SC" w:hAnsi="Noto Sans CJK SC" w:eastAsia="Noto Sans CJK SC"/>
                <w:sz w:val="15"/>
              </w:rPr>
              <w:t>事件中應變</w:t>
            </w:r>
          </w:p>
        </w:tc>
        <w:tc>
          <w:tcPr>
            <w:tcW w:type="dxa" w:w="3000"/>
            <w:vAlign w:val="center"/>
            <w:tcMar>
              <w:top w:w="80" w:type="dxa"/>
              <w:start w:w="100" w:type="dxa"/>
              <w:bottom w:w="80" w:type="dxa"/>
              <w:end w:w="100" w:type="dxa"/>
            </w:tcMar>
          </w:tcPr>
          <w:p>
            <w:pPr>
              <w:spacing w:before="0" w:after="0" w:line="240" w:lineRule="auto"/>
            </w:pPr>
            <w:r>
              <w:rPr>
                <w:rFonts w:ascii="Noto Sans CJK SC" w:hAnsi="Noto Sans CJK SC" w:eastAsia="Noto Sans CJK SC"/>
                <w:sz w:val="15"/>
              </w:rPr>
              <w:t>分析臺灣國家與公民社會吸收AI生成假訊息的制度方式。</w:t>
            </w:r>
          </w:p>
        </w:tc>
      </w:tr>
      <w:tr>
        <w:tc>
          <w:tcPr>
            <w:tcW w:type="dxa" w:w="1900"/>
            <w:vAlign w:val="center"/>
            <w:tcMar>
              <w:top w:w="80" w:type="dxa"/>
              <w:start w:w="100" w:type="dxa"/>
              <w:bottom w:w="80" w:type="dxa"/>
              <w:end w:w="100" w:type="dxa"/>
            </w:tcMar>
            <w:shd w:fill="F5F8FB"/>
          </w:tcPr>
          <w:p>
            <w:r>
              <w:rPr>
                <w:rFonts w:ascii="Noto Sans CJK SC" w:hAnsi="Noto Sans CJK SC" w:eastAsia="Noto Sans CJK SC"/>
              </w:rPr>
              <w:t>CISA（2024）生成式AI選舉風險指引</w:t>
            </w:r>
          </w:p>
        </w:tc>
        <w:tc>
          <w:tcPr>
            <w:tcW w:type="dxa" w:w="1250"/>
            <w:vAlign w:val="center"/>
            <w:tcMar>
              <w:top w:w="80" w:type="dxa"/>
              <w:start w:w="100" w:type="dxa"/>
              <w:bottom w:w="80" w:type="dxa"/>
              <w:end w:w="100" w:type="dxa"/>
            </w:tcMar>
            <w:shd w:fill="F5F8FB"/>
          </w:tcPr>
          <w:p>
            <w:pPr>
              <w:spacing w:before="0" w:after="0" w:line="240" w:lineRule="auto"/>
            </w:pPr>
            <w:r>
              <w:rPr>
                <w:rFonts w:ascii="Noto Sans CJK SC" w:hAnsi="Noto Sans CJK SC" w:eastAsia="Noto Sans CJK SC"/>
                <w:sz w:val="15"/>
              </w:rPr>
              <w:t>5 管理運作</w:t>
            </w:r>
          </w:p>
        </w:tc>
        <w:tc>
          <w:tcPr>
            <w:tcW w:type="dxa" w:w="1100"/>
            <w:vAlign w:val="center"/>
            <w:tcMar>
              <w:top w:w="80" w:type="dxa"/>
              <w:start w:w="100" w:type="dxa"/>
              <w:bottom w:w="80" w:type="dxa"/>
              <w:end w:w="100" w:type="dxa"/>
            </w:tcMar>
            <w:shd w:fill="F5F8FB"/>
          </w:tcPr>
          <w:p>
            <w:pPr>
              <w:spacing w:before="0" w:after="0" w:line="240" w:lineRule="auto"/>
            </w:pPr>
            <w:r>
              <w:rPr>
                <w:rFonts w:ascii="Noto Sans CJK SC" w:hAnsi="Noto Sans CJK SC" w:eastAsia="Noto Sans CJK SC"/>
                <w:sz w:val="15"/>
              </w:rPr>
              <w:t>3 組織</w:t>
            </w:r>
          </w:p>
        </w:tc>
        <w:tc>
          <w:tcPr>
            <w:tcW w:type="dxa" w:w="1350"/>
            <w:vAlign w:val="center"/>
            <w:tcMar>
              <w:top w:w="80" w:type="dxa"/>
              <w:start w:w="100" w:type="dxa"/>
              <w:bottom w:w="80" w:type="dxa"/>
              <w:end w:w="100" w:type="dxa"/>
            </w:tcMar>
            <w:shd w:fill="F5F8FB"/>
          </w:tcPr>
          <w:p>
            <w:pPr>
              <w:spacing w:before="0" w:after="0" w:line="240" w:lineRule="auto"/>
            </w:pPr>
            <w:r>
              <w:rPr>
                <w:rFonts w:ascii="Noto Sans CJK SC" w:hAnsi="Noto Sans CJK SC" w:eastAsia="Noto Sans CJK SC"/>
                <w:sz w:val="15"/>
              </w:rPr>
              <w:t>事件中應變</w:t>
            </w:r>
          </w:p>
        </w:tc>
        <w:tc>
          <w:tcPr>
            <w:tcW w:type="dxa" w:w="3000"/>
            <w:vAlign w:val="center"/>
            <w:tcMar>
              <w:top w:w="80" w:type="dxa"/>
              <w:start w:w="100" w:type="dxa"/>
              <w:bottom w:w="80" w:type="dxa"/>
              <w:end w:w="100" w:type="dxa"/>
            </w:tcMar>
            <w:shd w:fill="F5F8FB"/>
          </w:tcPr>
          <w:p>
            <w:pPr>
              <w:spacing w:before="0" w:after="0" w:line="240" w:lineRule="auto"/>
            </w:pPr>
            <w:r>
              <w:rPr>
                <w:rFonts w:ascii="Noto Sans CJK SC" w:hAnsi="Noto Sans CJK SC" w:eastAsia="Noto Sans CJK SC"/>
                <w:sz w:val="15"/>
              </w:rPr>
              <w:t>提供組織層次的辨識、通報與事件操作指引。</w:t>
            </w:r>
          </w:p>
        </w:tc>
      </w:tr>
      <w:tr>
        <w:tc>
          <w:tcPr>
            <w:tcW w:type="dxa" w:w="1900"/>
            <w:vAlign w:val="center"/>
            <w:tcMar>
              <w:top w:w="80" w:type="dxa"/>
              <w:start w:w="100" w:type="dxa"/>
              <w:bottom w:w="80" w:type="dxa"/>
              <w:end w:w="100" w:type="dxa"/>
            </w:tcMar>
          </w:tcPr>
          <w:p>
            <w:pPr>
              <w:spacing w:before="0" w:after="0" w:line="240" w:lineRule="auto"/>
              <w:jc w:val="center"/>
            </w:pPr>
            <w:r>
              <w:rPr>
                <w:rFonts w:ascii="Noto Sans CJK SC" w:hAnsi="Noto Sans CJK SC" w:eastAsia="Noto Sans CJK SC"/>
                <w:sz w:val="15"/>
              </w:rPr>
              <w:t>DARPA SemaFor</w:t>
            </w:r>
          </w:p>
        </w:tc>
        <w:tc>
          <w:tcPr>
            <w:tcW w:type="dxa" w:w="1250"/>
            <w:vAlign w:val="center"/>
            <w:tcMar>
              <w:top w:w="80" w:type="dxa"/>
              <w:start w:w="100" w:type="dxa"/>
              <w:bottom w:w="80" w:type="dxa"/>
              <w:end w:w="100" w:type="dxa"/>
            </w:tcMar>
          </w:tcPr>
          <w:p>
            <w:pPr>
              <w:spacing w:before="0" w:after="0" w:line="240" w:lineRule="auto"/>
            </w:pPr>
            <w:r>
              <w:rPr>
                <w:rFonts w:ascii="Noto Sans CJK SC" w:hAnsi="Noto Sans CJK SC" w:eastAsia="Noto Sans CJK SC"/>
                <w:sz w:val="15"/>
              </w:rPr>
              <w:t>5 管理運作</w:t>
            </w:r>
          </w:p>
        </w:tc>
        <w:tc>
          <w:tcPr>
            <w:tcW w:type="dxa" w:w="1100"/>
            <w:vAlign w:val="center"/>
            <w:tcMar>
              <w:top w:w="80" w:type="dxa"/>
              <w:start w:w="100" w:type="dxa"/>
              <w:bottom w:w="80" w:type="dxa"/>
              <w:end w:w="100" w:type="dxa"/>
            </w:tcMar>
          </w:tcPr>
          <w:p>
            <w:pPr>
              <w:spacing w:before="0" w:after="0" w:line="240" w:lineRule="auto"/>
            </w:pPr>
            <w:r>
              <w:rPr>
                <w:rFonts w:ascii="Noto Sans CJK SC" w:hAnsi="Noto Sans CJK SC" w:eastAsia="Noto Sans CJK SC"/>
                <w:sz w:val="15"/>
              </w:rPr>
              <w:t>3 組織</w:t>
            </w:r>
          </w:p>
        </w:tc>
        <w:tc>
          <w:tcPr>
            <w:tcW w:type="dxa" w:w="1350"/>
            <w:vAlign w:val="center"/>
            <w:tcMar>
              <w:top w:w="80" w:type="dxa"/>
              <w:start w:w="100" w:type="dxa"/>
              <w:bottom w:w="80" w:type="dxa"/>
              <w:end w:w="100" w:type="dxa"/>
            </w:tcMar>
          </w:tcPr>
          <w:p>
            <w:pPr>
              <w:spacing w:before="0" w:after="0" w:line="240" w:lineRule="auto"/>
            </w:pPr>
            <w:r>
              <w:rPr>
                <w:rFonts w:ascii="Noto Sans CJK SC" w:hAnsi="Noto Sans CJK SC" w:eastAsia="Noto Sans CJK SC"/>
                <w:sz w:val="15"/>
              </w:rPr>
              <w:t>事件中應變</w:t>
            </w:r>
          </w:p>
        </w:tc>
        <w:tc>
          <w:tcPr>
            <w:tcW w:type="dxa" w:w="3000"/>
            <w:vAlign w:val="center"/>
            <w:tcMar>
              <w:top w:w="80" w:type="dxa"/>
              <w:start w:w="100" w:type="dxa"/>
              <w:bottom w:w="80" w:type="dxa"/>
              <w:end w:w="100" w:type="dxa"/>
            </w:tcMar>
          </w:tcPr>
          <w:p>
            <w:pPr>
              <w:spacing w:before="0" w:after="0" w:line="240" w:lineRule="auto"/>
            </w:pPr>
            <w:r>
              <w:rPr>
                <w:rFonts w:ascii="Noto Sans CJK SC" w:hAnsi="Noto Sans CJK SC" w:eastAsia="Noto Sans CJK SC"/>
                <w:sz w:val="15"/>
              </w:rPr>
              <w:t>以語意鑑識與偵測能力支援組織實務運作。</w:t>
            </w:r>
          </w:p>
        </w:tc>
      </w:tr>
    </w:tbl>
    <w:p>
      <w:r>
        <w:rPr>
          <w:rFonts w:ascii="Noto Sans CJK SC" w:hAnsi="Noto Sans CJK SC" w:eastAsia="Noto Sans CJK SC"/>
        </w:rPr>
        <w:t>同一資料可能涉及多格。本文只標示主要重心，不否認其他座標。附表的作用，是讓圖2可以被檢查與重新編碼，而不是以九筆資料宣稱完成全球文獻計量。</w:t>
      </w:r>
    </w:p>
    <w:p>
      <w:pPr>
        <w:pStyle w:val="Heading1"/>
        <w:pageBreakBefore/>
      </w:pPr>
      <w:r>
        <w:rPr>
          <w:rFonts w:ascii="Noto Sans CJK SC" w:hAnsi="Noto Sans CJK SC" w:eastAsia="Noto Sans CJK SC"/>
        </w:rPr>
        <w:t>附表5　公共深偽事件座標卡（A4一頁式工作表）</w:t>
      </w:r>
    </w:p>
    <w:p>
      <w:pPr>
        <w:spacing w:after="80"/>
      </w:pPr>
      <w:r>
        <w:rPr>
          <w:rFonts w:ascii="Noto Sans CJK SC" w:hAnsi="Noto Sans CJK SC" w:eastAsia="Noto Sans CJK SC"/>
        </w:rPr>
        <w:t>用途：供情勢研判、政策分析與跨機關協調人員整理第一份處置建議；不取代鑑識、司法判斷、軍事命令認證或既有SOP。</w:t>
      </w:r>
    </w:p>
    <w:tbl>
      <w:tblPr>
        <w:tblW w:type="auto" w:w="0"/>
        <w:jc w:val="center"/>
        <w:tblLayout w:type="fixed"/>
        <w:tblLook w:firstColumn="1" w:firstRow="1" w:lastColumn="0" w:lastRow="0" w:noHBand="0" w:noVBand="1" w:val="04A0"/>
      </w:tblPr>
      <w:tblGrid>
        <w:gridCol w:w="1250"/>
        <w:gridCol w:w="2400"/>
        <w:gridCol w:w="1250"/>
        <w:gridCol w:w="2700"/>
      </w:tblGrid>
      <w:tr>
        <w:trPr>
          <w:tblHeader w:val="true"/>
        </w:trPr>
        <w:tc>
          <w:tcPr>
            <w:tcW w:type="dxa" w:w="1250"/>
            <w:vAlign w:val="center"/>
            <w:tcMar>
              <w:top w:w="80" w:type="dxa"/>
              <w:start w:w="100" w:type="dxa"/>
              <w:bottom w:w="80" w:type="dxa"/>
              <w:end w:w="100" w:type="dxa"/>
            </w:tcMar>
            <w:shd w:fill="EAF1F8"/>
          </w:tcPr>
          <w:p>
            <w:pPr>
              <w:spacing w:before="0" w:after="0" w:line="240" w:lineRule="auto"/>
            </w:pPr>
            <w:r>
              <w:rPr>
                <w:rFonts w:ascii="Noto Sans CJK SC" w:hAnsi="Noto Sans CJK SC" w:eastAsia="Noto Sans CJK SC"/>
                <w:b/>
                <w:color w:val="173A63"/>
                <w:sz w:val="16"/>
              </w:rPr>
              <w:t>事件編號</w:t>
            </w:r>
          </w:p>
        </w:tc>
        <w:tc>
          <w:tcPr>
            <w:tcW w:type="dxa" w:w="2400"/>
            <w:vAlign w:val="center"/>
            <w:tcMar>
              <w:top w:w="80" w:type="dxa"/>
              <w:start w:w="100" w:type="dxa"/>
              <w:bottom w:w="80" w:type="dxa"/>
              <w:end w:w="100" w:type="dxa"/>
            </w:tcMar>
            <w:shd w:fill="EAF1F8"/>
          </w:tcPr>
          <w:p>
            <w:pPr>
              <w:spacing w:before="0" w:after="0" w:line="240" w:lineRule="auto"/>
            </w:pPr>
            <w:r>
              <w:rPr>
                <w:rFonts w:ascii="Noto Sans CJK SC" w:hAnsi="Noto Sans CJK SC" w:eastAsia="Noto Sans CJK SC"/>
                <w:b/>
                <w:color w:val="173A63"/>
                <w:sz w:val="16"/>
              </w:rPr>
              <w:t>________________</w:t>
            </w:r>
          </w:p>
        </w:tc>
        <w:tc>
          <w:tcPr>
            <w:tcW w:type="dxa" w:w="1250"/>
            <w:vAlign w:val="center"/>
            <w:tcMar>
              <w:top w:w="80" w:type="dxa"/>
              <w:start w:w="100" w:type="dxa"/>
              <w:bottom w:w="80" w:type="dxa"/>
              <w:end w:w="100" w:type="dxa"/>
            </w:tcMar>
            <w:shd w:fill="EAF1F8"/>
          </w:tcPr>
          <w:p>
            <w:pPr>
              <w:spacing w:before="0" w:after="0" w:line="240" w:lineRule="auto"/>
            </w:pPr>
            <w:r>
              <w:rPr>
                <w:rFonts w:ascii="Noto Sans CJK SC" w:hAnsi="Noto Sans CJK SC" w:eastAsia="Noto Sans CJK SC"/>
                <w:b/>
                <w:color w:val="173A63"/>
                <w:sz w:val="16"/>
              </w:rPr>
              <w:t>填表時間</w:t>
            </w:r>
          </w:p>
        </w:tc>
        <w:tc>
          <w:tcPr>
            <w:tcW w:type="dxa" w:w="2700"/>
            <w:vAlign w:val="center"/>
            <w:tcMar>
              <w:top w:w="80" w:type="dxa"/>
              <w:start w:w="100" w:type="dxa"/>
              <w:bottom w:w="80" w:type="dxa"/>
              <w:end w:w="100" w:type="dxa"/>
            </w:tcMar>
            <w:shd w:fill="EAF1F8"/>
          </w:tcPr>
          <w:p>
            <w:pPr>
              <w:spacing w:before="0" w:after="0" w:line="240" w:lineRule="auto"/>
            </w:pPr>
            <w:r>
              <w:rPr>
                <w:rFonts w:ascii="Noto Sans CJK SC" w:hAnsi="Noto Sans CJK SC" w:eastAsia="Noto Sans CJK SC"/>
                <w:b/>
                <w:color w:val="173A63"/>
                <w:sz w:val="16"/>
              </w:rPr>
              <w:t>____年__月__日 __時__分</w:t>
            </w:r>
          </w:p>
        </w:tc>
      </w:tr>
      <w:tr>
        <w:tc>
          <w:tcPr>
            <w:tcW w:type="dxa" w:w="1250"/>
            <w:vAlign w:val="center"/>
            <w:tcMar>
              <w:top w:w="80" w:type="dxa"/>
              <w:start w:w="100" w:type="dxa"/>
              <w:bottom w:w="80" w:type="dxa"/>
              <w:end w:w="100" w:type="dxa"/>
            </w:tcMar>
          </w:tcPr>
          <w:p>
            <w:pPr>
              <w:spacing w:before="0" w:after="0" w:line="240" w:lineRule="auto"/>
              <w:jc w:val="center"/>
            </w:pPr>
            <w:r>
              <w:rPr>
                <w:rFonts w:ascii="Noto Sans CJK SC" w:hAnsi="Noto Sans CJK SC" w:eastAsia="Noto Sans CJK SC"/>
                <w:sz w:val="16"/>
              </w:rPr>
              <w:t>研判單位／人員</w:t>
            </w:r>
          </w:p>
        </w:tc>
        <w:tc>
          <w:tcPr>
            <w:tcW w:type="dxa" w:w="2400"/>
            <w:vAlign w:val="center"/>
            <w:tcMar>
              <w:top w:w="80" w:type="dxa"/>
              <w:start w:w="100" w:type="dxa"/>
              <w:bottom w:w="80" w:type="dxa"/>
              <w:end w:w="100" w:type="dxa"/>
            </w:tcMar>
          </w:tcPr>
          <w:p>
            <w:pPr>
              <w:spacing w:before="0" w:after="0" w:line="240" w:lineRule="auto"/>
            </w:pPr>
            <w:r>
              <w:rPr>
                <w:rFonts w:ascii="Noto Sans CJK SC" w:hAnsi="Noto Sans CJK SC" w:eastAsia="Noto Sans CJK SC"/>
                <w:sz w:val="16"/>
              </w:rPr>
              <w:t>________________</w:t>
            </w:r>
          </w:p>
        </w:tc>
        <w:tc>
          <w:tcPr>
            <w:tcW w:type="dxa" w:w="1250"/>
            <w:vAlign w:val="center"/>
            <w:tcMar>
              <w:top w:w="80" w:type="dxa"/>
              <w:start w:w="100" w:type="dxa"/>
              <w:bottom w:w="80" w:type="dxa"/>
              <w:end w:w="100" w:type="dxa"/>
            </w:tcMar>
          </w:tcPr>
          <w:p>
            <w:pPr>
              <w:spacing w:before="0" w:after="0" w:line="240" w:lineRule="auto"/>
            </w:pPr>
            <w:r>
              <w:rPr>
                <w:rFonts w:ascii="Noto Sans CJK SC" w:hAnsi="Noto Sans CJK SC" w:eastAsia="Noto Sans CJK SC"/>
                <w:sz w:val="16"/>
              </w:rPr>
              <w:t>下次複核</w:t>
            </w:r>
          </w:p>
        </w:tc>
        <w:tc>
          <w:tcPr>
            <w:tcW w:type="dxa" w:w="2700"/>
            <w:vAlign w:val="center"/>
            <w:tcMar>
              <w:top w:w="80" w:type="dxa"/>
              <w:start w:w="100" w:type="dxa"/>
              <w:bottom w:w="80" w:type="dxa"/>
              <w:end w:w="100" w:type="dxa"/>
            </w:tcMar>
          </w:tcPr>
          <w:p>
            <w:pPr>
              <w:spacing w:before="0" w:after="0" w:line="240" w:lineRule="auto"/>
            </w:pPr>
            <w:r>
              <w:rPr>
                <w:rFonts w:ascii="Noto Sans CJK SC" w:hAnsi="Noto Sans CJK SC" w:eastAsia="Noto Sans CJK SC"/>
                <w:sz w:val="16"/>
              </w:rPr>
              <w:t>____年__月__日 __時__分</w:t>
            </w:r>
          </w:p>
        </w:tc>
      </w:tr>
    </w:tbl>
    <w:p>
      <w:r>
        <w:rPr>
          <w:rFonts w:ascii="Noto Sans CJK SC" w:hAnsi="Noto Sans CJK SC" w:eastAsia="Noto Sans CJK SC"/>
          <w:b/>
        </w:rPr>
        <w:t>A. 事件定位與分級</w:t>
      </w:r>
    </w:p>
    <w:tbl>
      <w:tblPr>
        <w:tblW w:type="auto" w:w="0"/>
        <w:jc w:val="center"/>
        <w:tblLayout w:type="fixed"/>
        <w:tblLook w:firstColumn="1" w:firstRow="1" w:lastColumn="0" w:lastRow="0" w:noHBand="0" w:noVBand="1" w:val="04A0"/>
      </w:tblPr>
      <w:tblGrid>
        <w:gridCol w:w="1250"/>
        <w:gridCol w:w="2850"/>
        <w:gridCol w:w="1250"/>
        <w:gridCol w:w="2850"/>
      </w:tblGrid>
      <w:tr>
        <w:trPr>
          <w:tblHeader w:val="true"/>
        </w:trPr>
        <w:tc>
          <w:tcPr>
            <w:tcW w:type="dxa" w:w="1250"/>
            <w:vAlign w:val="center"/>
            <w:tcMar>
              <w:top w:w="80" w:type="dxa"/>
              <w:start w:w="100" w:type="dxa"/>
              <w:bottom w:w="80" w:type="dxa"/>
              <w:end w:w="100" w:type="dxa"/>
            </w:tcMar>
            <w:shd w:fill="EAF1F8"/>
          </w:tcPr>
          <w:p>
            <w:pPr>
              <w:spacing w:before="0" w:after="0" w:line="240" w:lineRule="auto"/>
            </w:pPr>
            <w:r>
              <w:rPr>
                <w:rFonts w:ascii="Noto Sans CJK SC" w:hAnsi="Noto Sans CJK SC" w:eastAsia="Noto Sans CJK SC"/>
                <w:b/>
                <w:color w:val="173A63"/>
                <w:sz w:val="15"/>
              </w:rPr>
              <w:t>原始內容／來源</w:t>
            </w:r>
          </w:p>
        </w:tc>
        <w:tc>
          <w:tcPr>
            <w:tcW w:type="dxa" w:w="2850"/>
            <w:vAlign w:val="center"/>
            <w:tcMar>
              <w:top w:w="80" w:type="dxa"/>
              <w:start w:w="100" w:type="dxa"/>
              <w:bottom w:w="80" w:type="dxa"/>
              <w:end w:w="100" w:type="dxa"/>
            </w:tcMar>
            <w:shd w:fill="EAF1F8"/>
          </w:tcPr>
          <w:p>
            <w:pPr>
              <w:spacing w:before="0" w:after="0" w:line="240" w:lineRule="auto"/>
            </w:pPr>
            <w:r>
              <w:rPr>
                <w:rFonts w:ascii="Noto Sans CJK SC" w:hAnsi="Noto Sans CJK SC" w:eastAsia="Noto Sans CJK SC"/>
                <w:b/>
                <w:color w:val="173A63"/>
                <w:sz w:val="15"/>
              </w:rPr>
              <w:t>____________________________</w:t>
            </w:r>
          </w:p>
        </w:tc>
        <w:tc>
          <w:tcPr>
            <w:tcW w:type="dxa" w:w="1250"/>
            <w:vAlign w:val="center"/>
            <w:tcMar>
              <w:top w:w="80" w:type="dxa"/>
              <w:start w:w="100" w:type="dxa"/>
              <w:bottom w:w="80" w:type="dxa"/>
              <w:end w:w="100" w:type="dxa"/>
            </w:tcMar>
            <w:shd w:fill="EAF1F8"/>
          </w:tcPr>
          <w:p>
            <w:pPr>
              <w:spacing w:before="0" w:after="0" w:line="240" w:lineRule="auto"/>
            </w:pPr>
            <w:r>
              <w:rPr>
                <w:rFonts w:ascii="Noto Sans CJK SC" w:hAnsi="Noto Sans CJK SC" w:eastAsia="Noto Sans CJK SC"/>
                <w:b/>
                <w:color w:val="173A63"/>
                <w:sz w:val="15"/>
              </w:rPr>
              <w:t>被冒用者</w:t>
            </w:r>
          </w:p>
        </w:tc>
        <w:tc>
          <w:tcPr>
            <w:tcW w:type="dxa" w:w="2850"/>
            <w:vAlign w:val="center"/>
            <w:tcMar>
              <w:top w:w="80" w:type="dxa"/>
              <w:start w:w="100" w:type="dxa"/>
              <w:bottom w:w="80" w:type="dxa"/>
              <w:end w:w="100" w:type="dxa"/>
            </w:tcMar>
            <w:shd w:fill="EAF1F8"/>
          </w:tcPr>
          <w:p>
            <w:pPr>
              <w:spacing w:before="0" w:after="0" w:line="240" w:lineRule="auto"/>
            </w:pPr>
            <w:r>
              <w:rPr>
                <w:rFonts w:ascii="Noto Sans CJK SC" w:hAnsi="Noto Sans CJK SC" w:eastAsia="Noto Sans CJK SC"/>
                <w:b/>
                <w:color w:val="173A63"/>
                <w:sz w:val="15"/>
              </w:rPr>
              <w:t>________________</w:t>
            </w:r>
          </w:p>
        </w:tc>
      </w:tr>
      <w:tr>
        <w:tc>
          <w:tcPr>
            <w:tcW w:type="dxa" w:w="1250"/>
            <w:vAlign w:val="center"/>
            <w:tcMar>
              <w:top w:w="80" w:type="dxa"/>
              <w:start w:w="100" w:type="dxa"/>
              <w:bottom w:w="80" w:type="dxa"/>
              <w:end w:w="100" w:type="dxa"/>
            </w:tcMar>
          </w:tcPr>
          <w:p>
            <w:pPr>
              <w:spacing w:before="0" w:after="0" w:line="240" w:lineRule="auto"/>
              <w:jc w:val="center"/>
            </w:pPr>
            <w:r>
              <w:rPr>
                <w:rFonts w:ascii="Noto Sans CJK SC" w:hAnsi="Noto Sans CJK SC" w:eastAsia="Noto Sans CJK SC"/>
                <w:sz w:val="15"/>
              </w:rPr>
              <w:t>起始座標 L×U</w:t>
            </w:r>
          </w:p>
        </w:tc>
        <w:tc>
          <w:tcPr>
            <w:tcW w:type="dxa" w:w="2850"/>
            <w:vAlign w:val="center"/>
            <w:tcMar>
              <w:top w:w="80" w:type="dxa"/>
              <w:start w:w="100" w:type="dxa"/>
              <w:bottom w:w="80" w:type="dxa"/>
              <w:end w:w="100" w:type="dxa"/>
            </w:tcMar>
          </w:tcPr>
          <w:p>
            <w:pPr>
              <w:spacing w:before="0" w:after="0" w:line="240" w:lineRule="auto"/>
            </w:pPr>
            <w:r>
              <w:rPr>
                <w:rFonts w:ascii="Noto Sans CJK SC" w:hAnsi="Noto Sans CJK SC" w:eastAsia="Noto Sans CJK SC"/>
                <w:sz w:val="15"/>
              </w:rPr>
              <w:t>____×____</w:t>
            </w:r>
          </w:p>
        </w:tc>
        <w:tc>
          <w:tcPr>
            <w:tcW w:type="dxa" w:w="1250"/>
            <w:vAlign w:val="center"/>
            <w:tcMar>
              <w:top w:w="80" w:type="dxa"/>
              <w:start w:w="100" w:type="dxa"/>
              <w:bottom w:w="80" w:type="dxa"/>
              <w:end w:w="100" w:type="dxa"/>
            </w:tcMar>
          </w:tcPr>
          <w:p>
            <w:pPr>
              <w:spacing w:before="0" w:after="0" w:line="240" w:lineRule="auto"/>
            </w:pPr>
            <w:r>
              <w:rPr>
                <w:rFonts w:ascii="Noto Sans CJK SC" w:hAnsi="Noto Sans CJK SC" w:eastAsia="Noto Sans CJK SC"/>
                <w:sz w:val="15"/>
              </w:rPr>
              <w:t>目前座標 L×U</w:t>
            </w:r>
          </w:p>
        </w:tc>
        <w:tc>
          <w:tcPr>
            <w:tcW w:type="dxa" w:w="2850"/>
            <w:vAlign w:val="center"/>
            <w:tcMar>
              <w:top w:w="80" w:type="dxa"/>
              <w:start w:w="100" w:type="dxa"/>
              <w:bottom w:w="80" w:type="dxa"/>
              <w:end w:w="100" w:type="dxa"/>
            </w:tcMar>
          </w:tcPr>
          <w:p>
            <w:pPr>
              <w:spacing w:before="0" w:after="0" w:line="240" w:lineRule="auto"/>
            </w:pPr>
            <w:r>
              <w:rPr>
                <w:rFonts w:ascii="Noto Sans CJK SC" w:hAnsi="Noto Sans CJK SC" w:eastAsia="Noto Sans CJK SC"/>
                <w:sz w:val="15"/>
              </w:rPr>
              <w:t>____×____；D＝____</w:t>
            </w:r>
          </w:p>
        </w:tc>
      </w:tr>
      <w:tr>
        <w:tc>
          <w:tcPr>
            <w:tcW w:type="dxa" w:w="1250"/>
            <w:vAlign w:val="center"/>
            <w:tcMar>
              <w:top w:w="80" w:type="dxa"/>
              <w:start w:w="100" w:type="dxa"/>
              <w:bottom w:w="80" w:type="dxa"/>
              <w:end w:w="100" w:type="dxa"/>
            </w:tcMar>
            <w:shd w:fill="F5F8FB"/>
          </w:tcPr>
          <w:p>
            <w:pPr>
              <w:spacing w:before="0" w:after="0" w:line="240" w:lineRule="auto"/>
              <w:jc w:val="center"/>
            </w:pPr>
            <w:r>
              <w:rPr>
                <w:rFonts w:ascii="Noto Sans CJK SC" w:hAnsi="Noto Sans CJK SC" w:eastAsia="Noto Sans CJK SC"/>
                <w:sz w:val="15"/>
              </w:rPr>
              <w:t>可信度</w:t>
            </w:r>
          </w:p>
        </w:tc>
        <w:tc>
          <w:tcPr>
            <w:tcW w:type="dxa" w:w="2850"/>
            <w:vAlign w:val="center"/>
            <w:tcMar>
              <w:top w:w="80" w:type="dxa"/>
              <w:start w:w="100" w:type="dxa"/>
              <w:bottom w:w="80" w:type="dxa"/>
              <w:end w:w="100" w:type="dxa"/>
            </w:tcMar>
            <w:shd w:fill="F5F8FB"/>
          </w:tcPr>
          <w:p>
            <w:pPr>
              <w:spacing w:before="0" w:after="0" w:line="240" w:lineRule="auto"/>
            </w:pPr>
            <w:r>
              <w:rPr>
                <w:rFonts w:ascii="Noto Sans CJK SC" w:hAnsi="Noto Sans CJK SC" w:eastAsia="Noto Sans CJK SC"/>
                <w:sz w:val="15"/>
              </w:rPr>
              <w:t>□低　□中　□高　依據：________</w:t>
            </w:r>
          </w:p>
        </w:tc>
        <w:tc>
          <w:tcPr>
            <w:tcW w:type="dxa" w:w="1250"/>
            <w:vAlign w:val="center"/>
            <w:tcMar>
              <w:top w:w="80" w:type="dxa"/>
              <w:start w:w="100" w:type="dxa"/>
              <w:bottom w:w="80" w:type="dxa"/>
              <w:end w:w="100" w:type="dxa"/>
            </w:tcMar>
            <w:shd w:fill="F5F8FB"/>
          </w:tcPr>
          <w:p>
            <w:pPr>
              <w:spacing w:before="0" w:after="0" w:line="240" w:lineRule="auto"/>
            </w:pPr>
            <w:r>
              <w:rPr>
                <w:rFonts w:ascii="Noto Sans CJK SC" w:hAnsi="Noto Sans CJK SC" w:eastAsia="Noto Sans CJK SC"/>
                <w:sz w:val="15"/>
              </w:rPr>
              <w:t>預期後果</w:t>
            </w:r>
          </w:p>
        </w:tc>
        <w:tc>
          <w:tcPr>
            <w:tcW w:type="dxa" w:w="2850"/>
            <w:vAlign w:val="center"/>
            <w:tcMar>
              <w:top w:w="80" w:type="dxa"/>
              <w:start w:w="100" w:type="dxa"/>
              <w:bottom w:w="80" w:type="dxa"/>
              <w:end w:w="100" w:type="dxa"/>
            </w:tcMar>
            <w:shd w:fill="F5F8FB"/>
          </w:tcPr>
          <w:p>
            <w:pPr>
              <w:spacing w:before="0" w:after="0" w:line="240" w:lineRule="auto"/>
            </w:pPr>
            <w:r>
              <w:rPr>
                <w:rFonts w:ascii="Noto Sans CJK SC" w:hAnsi="Noto Sans CJK SC" w:eastAsia="Noto Sans CJK SC"/>
                <w:sz w:val="15"/>
              </w:rPr>
              <w:t>□低　□中　□高　依據：________</w:t>
            </w:r>
          </w:p>
        </w:tc>
      </w:tr>
      <w:tr>
        <w:tc>
          <w:tcPr>
            <w:tcW w:type="dxa" w:w="1250"/>
            <w:vAlign w:val="center"/>
            <w:tcMar>
              <w:top w:w="80" w:type="dxa"/>
              <w:start w:w="100" w:type="dxa"/>
              <w:bottom w:w="80" w:type="dxa"/>
              <w:end w:w="100" w:type="dxa"/>
            </w:tcMar>
          </w:tcPr>
          <w:p>
            <w:pPr>
              <w:spacing w:before="0" w:after="0" w:line="240" w:lineRule="auto"/>
              <w:jc w:val="center"/>
            </w:pPr>
            <w:r>
              <w:rPr>
                <w:rFonts w:ascii="Noto Sans CJK SC" w:hAnsi="Noto Sans CJK SC" w:eastAsia="Noto Sans CJK SC"/>
                <w:sz w:val="15"/>
              </w:rPr>
              <w:t>制度穿透</w:t>
            </w:r>
          </w:p>
        </w:tc>
        <w:tc>
          <w:tcPr>
            <w:tcW w:type="dxa" w:w="2850"/>
            <w:vAlign w:val="center"/>
            <w:tcMar>
              <w:top w:w="80" w:type="dxa"/>
              <w:start w:w="100" w:type="dxa"/>
              <w:bottom w:w="80" w:type="dxa"/>
              <w:end w:w="100" w:type="dxa"/>
            </w:tcMar>
          </w:tcPr>
          <w:p>
            <w:pPr>
              <w:spacing w:before="0" w:after="0" w:line="240" w:lineRule="auto"/>
            </w:pPr>
            <w:r>
              <w:rPr>
                <w:rFonts w:ascii="Noto Sans CJK SC" w:hAnsi="Noto Sans CJK SC" w:eastAsia="Noto Sans CJK SC"/>
                <w:sz w:val="15"/>
              </w:rPr>
              <w:t>□僅內容　□平台擴散　□政府系統　□正式指揮／法定程序</w:t>
            </w:r>
          </w:p>
        </w:tc>
        <w:tc>
          <w:tcPr>
            <w:tcW w:type="dxa" w:w="1250"/>
            <w:vAlign w:val="center"/>
            <w:tcMar>
              <w:top w:w="80" w:type="dxa"/>
              <w:start w:w="100" w:type="dxa"/>
              <w:bottom w:w="80" w:type="dxa"/>
              <w:end w:w="100" w:type="dxa"/>
            </w:tcMar>
          </w:tcPr>
          <w:p>
            <w:pPr>
              <w:spacing w:before="0" w:after="0" w:line="240" w:lineRule="auto"/>
            </w:pPr>
            <w:r>
              <w:rPr>
                <w:rFonts w:ascii="Noto Sans CJK SC" w:hAnsi="Noto Sans CJK SC" w:eastAsia="Noto Sans CJK SC"/>
                <w:sz w:val="15"/>
              </w:rPr>
              <w:t>主要危害</w:t>
            </w:r>
          </w:p>
        </w:tc>
        <w:tc>
          <w:tcPr>
            <w:tcW w:type="dxa" w:w="2850"/>
            <w:vAlign w:val="center"/>
            <w:tcMar>
              <w:top w:w="80" w:type="dxa"/>
              <w:start w:w="100" w:type="dxa"/>
              <w:bottom w:w="80" w:type="dxa"/>
              <w:end w:w="100" w:type="dxa"/>
            </w:tcMar>
          </w:tcPr>
          <w:p>
            <w:pPr>
              <w:spacing w:before="0" w:after="0" w:line="240" w:lineRule="auto"/>
            </w:pPr>
            <w:r>
              <w:rPr>
                <w:rFonts w:ascii="Noto Sans CJK SC" w:hAnsi="Noto Sans CJK SC" w:eastAsia="Noto Sans CJK SC"/>
                <w:sz w:val="15"/>
              </w:rPr>
              <w:t>□詐欺　□選舉　□資安　□境外操弄　□國安／國防</w:t>
            </w:r>
          </w:p>
        </w:tc>
      </w:tr>
    </w:tbl>
    <w:p>
      <w:r>
        <w:rPr>
          <w:rFonts w:ascii="Noto Sans CJK SC" w:hAnsi="Noto Sans CJK SC" w:eastAsia="Noto Sans CJK SC"/>
          <w:b/>
        </w:rPr>
        <w:t>B. 四條治理鏈快速判讀</w:t>
      </w:r>
    </w:p>
    <w:tbl>
      <w:tblPr>
        <w:tblW w:type="auto" w:w="0"/>
        <w:jc w:val="center"/>
        <w:tblLayout w:type="fixed"/>
        <w:tblLook w:firstColumn="1" w:firstRow="1" w:lastColumn="0" w:lastRow="0" w:noHBand="0" w:noVBand="1" w:val="04A0"/>
      </w:tblPr>
      <w:tblGrid>
        <w:gridCol w:w="1450"/>
        <w:gridCol w:w="3650"/>
        <w:gridCol w:w="3100"/>
      </w:tblGrid>
      <w:tr>
        <w:trPr>
          <w:tblHeader w:val="true"/>
        </w:trPr>
        <w:tc>
          <w:tcPr>
            <w:tcW w:type="dxa" w:w="1450"/>
            <w:vAlign w:val="center"/>
            <w:tcMar>
              <w:top w:w="80" w:type="dxa"/>
              <w:start w:w="100" w:type="dxa"/>
              <w:bottom w:w="80" w:type="dxa"/>
              <w:end w:w="100" w:type="dxa"/>
            </w:tcMar>
            <w:shd w:fill="D8E7F4"/>
          </w:tcPr>
          <w:p>
            <w:pPr>
              <w:spacing w:before="0" w:after="0" w:line="240" w:lineRule="auto"/>
            </w:pPr>
            <w:r>
              <w:rPr>
                <w:rFonts w:ascii="Noto Sans CJK SC" w:hAnsi="Noto Sans CJK SC" w:eastAsia="Noto Sans CJK SC"/>
                <w:b/>
                <w:color w:val="173A63"/>
                <w:sz w:val="15"/>
              </w:rPr>
              <w:t>治理鏈</w:t>
            </w:r>
          </w:p>
        </w:tc>
        <w:tc>
          <w:tcPr>
            <w:tcW w:type="dxa" w:w="3650"/>
            <w:vAlign w:val="center"/>
            <w:tcMar>
              <w:top w:w="80" w:type="dxa"/>
              <w:start w:w="100" w:type="dxa"/>
              <w:bottom w:w="80" w:type="dxa"/>
              <w:end w:w="100" w:type="dxa"/>
            </w:tcMar>
            <w:shd w:fill="D8E7F4"/>
          </w:tcPr>
          <w:p>
            <w:pPr>
              <w:spacing w:before="0" w:after="0" w:line="240" w:lineRule="auto"/>
            </w:pPr>
            <w:r>
              <w:rPr>
                <w:rFonts w:ascii="Noto Sans CJK SC" w:hAnsi="Noto Sans CJK SC" w:eastAsia="Noto Sans CJK SC"/>
                <w:b/>
                <w:color w:val="173A63"/>
                <w:sz w:val="15"/>
              </w:rPr>
              <w:t>本次必答問題</w:t>
            </w:r>
          </w:p>
        </w:tc>
        <w:tc>
          <w:tcPr>
            <w:tcW w:type="dxa" w:w="3100"/>
            <w:vAlign w:val="center"/>
            <w:tcMar>
              <w:top w:w="80" w:type="dxa"/>
              <w:start w:w="100" w:type="dxa"/>
              <w:bottom w:w="80" w:type="dxa"/>
              <w:end w:w="100" w:type="dxa"/>
            </w:tcMar>
            <w:shd w:fill="D8E7F4"/>
          </w:tcPr>
          <w:p>
            <w:pPr>
              <w:spacing w:before="0" w:after="0" w:line="240" w:lineRule="auto"/>
            </w:pPr>
            <w:r>
              <w:rPr>
                <w:rFonts w:ascii="Noto Sans CJK SC" w:hAnsi="Noto Sans CJK SC" w:eastAsia="Noto Sans CJK SC"/>
                <w:b/>
                <w:color w:val="173A63"/>
                <w:sz w:val="15"/>
              </w:rPr>
              <w:t>目前判斷／證據缺口</w:t>
            </w:r>
          </w:p>
        </w:tc>
      </w:tr>
      <w:tr>
        <w:tc>
          <w:tcPr>
            <w:tcW w:type="dxa" w:w="1450"/>
            <w:vAlign w:val="center"/>
            <w:tcMar>
              <w:top w:w="80" w:type="dxa"/>
              <w:start w:w="100" w:type="dxa"/>
              <w:bottom w:w="80" w:type="dxa"/>
              <w:end w:w="100" w:type="dxa"/>
            </w:tcMar>
          </w:tcPr>
          <w:p>
            <w:pPr>
              <w:spacing w:before="0" w:after="0" w:line="240" w:lineRule="auto"/>
              <w:jc w:val="center"/>
            </w:pPr>
            <w:r>
              <w:rPr>
                <w:rFonts w:ascii="Noto Sans CJK SC" w:hAnsi="Noto Sans CJK SC" w:eastAsia="Noto Sans CJK SC"/>
                <w:sz w:val="15"/>
              </w:rPr>
              <w:t>情境建構鏈</w:t>
            </w:r>
          </w:p>
        </w:tc>
        <w:tc>
          <w:tcPr>
            <w:tcW w:type="dxa" w:w="3650"/>
            <w:vAlign w:val="center"/>
            <w:tcMar>
              <w:top w:w="80" w:type="dxa"/>
              <w:start w:w="100" w:type="dxa"/>
              <w:bottom w:w="80" w:type="dxa"/>
              <w:end w:w="100" w:type="dxa"/>
            </w:tcMar>
          </w:tcPr>
          <w:p>
            <w:pPr>
              <w:spacing w:before="0" w:after="0" w:line="240" w:lineRule="auto"/>
            </w:pPr>
            <w:r>
              <w:rPr>
                <w:rFonts w:ascii="Noto Sans CJK SC" w:hAnsi="Noto Sans CJK SC" w:eastAsia="Noto Sans CJK SC"/>
                <w:sz w:val="15"/>
              </w:rPr>
              <w:t>事情目前被界定為何種危害？還有哪些替代解釋？</w:t>
            </w:r>
          </w:p>
        </w:tc>
        <w:tc>
          <w:tcPr>
            <w:tcW w:type="dxa" w:w="3100"/>
            <w:vAlign w:val="center"/>
            <w:tcMar>
              <w:top w:w="80" w:type="dxa"/>
              <w:start w:w="100" w:type="dxa"/>
              <w:bottom w:w="80" w:type="dxa"/>
              <w:end w:w="100" w:type="dxa"/>
            </w:tcMar>
          </w:tcPr>
          <w:p>
            <w:pPr>
              <w:spacing w:before="0" w:after="0" w:line="240" w:lineRule="auto"/>
            </w:pPr>
            <w:r>
              <w:rPr>
                <w:rFonts w:ascii="Noto Sans CJK SC" w:hAnsi="Noto Sans CJK SC" w:eastAsia="Noto Sans CJK SC"/>
                <w:sz w:val="15"/>
              </w:rPr>
              <w:t>____________________________</w:t>
            </w:r>
          </w:p>
        </w:tc>
      </w:tr>
      <w:tr>
        <w:tc>
          <w:tcPr>
            <w:tcW w:type="dxa" w:w="1450"/>
            <w:vAlign w:val="center"/>
            <w:tcMar>
              <w:top w:w="80" w:type="dxa"/>
              <w:start w:w="100" w:type="dxa"/>
              <w:bottom w:w="80" w:type="dxa"/>
              <w:end w:w="100" w:type="dxa"/>
            </w:tcMar>
            <w:shd w:fill="F5F8FB"/>
          </w:tcPr>
          <w:p>
            <w:pPr>
              <w:spacing w:before="0" w:after="0" w:line="240" w:lineRule="auto"/>
              <w:jc w:val="center"/>
            </w:pPr>
            <w:r>
              <w:rPr>
                <w:rFonts w:ascii="Noto Sans CJK SC" w:hAnsi="Noto Sans CJK SC" w:eastAsia="Noto Sans CJK SC"/>
                <w:sz w:val="15"/>
              </w:rPr>
              <w:t>權威鏈</w:t>
            </w:r>
          </w:p>
        </w:tc>
        <w:tc>
          <w:tcPr>
            <w:tcW w:type="dxa" w:w="3650"/>
            <w:vAlign w:val="center"/>
            <w:tcMar>
              <w:top w:w="80" w:type="dxa"/>
              <w:start w:w="100" w:type="dxa"/>
              <w:bottom w:w="80" w:type="dxa"/>
              <w:end w:w="100" w:type="dxa"/>
            </w:tcMar>
            <w:shd w:fill="F5F8FB"/>
          </w:tcPr>
          <w:p>
            <w:pPr>
              <w:spacing w:before="0" w:after="0" w:line="240" w:lineRule="auto"/>
            </w:pPr>
            <w:r>
              <w:rPr>
                <w:rFonts w:ascii="Noto Sans CJK SC" w:hAnsi="Noto Sans CJK SC" w:eastAsia="Noto Sans CJK SC"/>
                <w:sz w:val="15"/>
              </w:rPr>
              <w:t>誰可先澄清、暫時接手與決定升級？</w:t>
            </w:r>
          </w:p>
        </w:tc>
        <w:tc>
          <w:tcPr>
            <w:tcW w:type="dxa" w:w="3100"/>
            <w:vAlign w:val="center"/>
            <w:tcMar>
              <w:top w:w="80" w:type="dxa"/>
              <w:start w:w="100" w:type="dxa"/>
              <w:bottom w:w="80" w:type="dxa"/>
              <w:end w:w="100" w:type="dxa"/>
            </w:tcMar>
            <w:shd w:fill="F5F8FB"/>
          </w:tcPr>
          <w:p>
            <w:pPr>
              <w:spacing w:before="0" w:after="0" w:line="240" w:lineRule="auto"/>
            </w:pPr>
            <w:r>
              <w:rPr>
                <w:rFonts w:ascii="Noto Sans CJK SC" w:hAnsi="Noto Sans CJK SC" w:eastAsia="Noto Sans CJK SC"/>
                <w:sz w:val="15"/>
              </w:rPr>
              <w:t>____________________________</w:t>
            </w:r>
          </w:p>
        </w:tc>
      </w:tr>
      <w:tr>
        <w:tc>
          <w:tcPr>
            <w:tcW w:type="dxa" w:w="1450"/>
            <w:vAlign w:val="center"/>
            <w:tcMar>
              <w:top w:w="80" w:type="dxa"/>
              <w:start w:w="100" w:type="dxa"/>
              <w:bottom w:w="80" w:type="dxa"/>
              <w:end w:w="100" w:type="dxa"/>
            </w:tcMar>
          </w:tcPr>
          <w:p>
            <w:pPr>
              <w:spacing w:before="0" w:after="0" w:line="240" w:lineRule="auto"/>
              <w:jc w:val="center"/>
            </w:pPr>
            <w:r>
              <w:rPr>
                <w:rFonts w:ascii="Noto Sans CJK SC" w:hAnsi="Noto Sans CJK SC" w:eastAsia="Noto Sans CJK SC"/>
                <w:sz w:val="15"/>
              </w:rPr>
              <w:t>理由鏈</w:t>
            </w:r>
          </w:p>
        </w:tc>
        <w:tc>
          <w:tcPr>
            <w:tcW w:type="dxa" w:w="3650"/>
            <w:vAlign w:val="center"/>
            <w:tcMar>
              <w:top w:w="80" w:type="dxa"/>
              <w:start w:w="100" w:type="dxa"/>
              <w:bottom w:w="80" w:type="dxa"/>
              <w:end w:w="100" w:type="dxa"/>
            </w:tcMar>
          </w:tcPr>
          <w:p>
            <w:pPr>
              <w:spacing w:before="0" w:after="0" w:line="240" w:lineRule="auto"/>
            </w:pPr>
            <w:r>
              <w:rPr>
                <w:rFonts w:ascii="Noto Sans CJK SC" w:hAnsi="Noto Sans CJK SC" w:eastAsia="Noto Sans CJK SC"/>
                <w:sz w:val="15"/>
              </w:rPr>
              <w:t>採取或不採取措施的證據、法源與比例理由為何？</w:t>
            </w:r>
          </w:p>
        </w:tc>
        <w:tc>
          <w:tcPr>
            <w:tcW w:type="dxa" w:w="3100"/>
            <w:vAlign w:val="center"/>
            <w:tcMar>
              <w:top w:w="80" w:type="dxa"/>
              <w:start w:w="100" w:type="dxa"/>
              <w:bottom w:w="80" w:type="dxa"/>
              <w:end w:w="100" w:type="dxa"/>
            </w:tcMar>
          </w:tcPr>
          <w:p>
            <w:pPr>
              <w:spacing w:before="0" w:after="0" w:line="240" w:lineRule="auto"/>
            </w:pPr>
            <w:r>
              <w:rPr>
                <w:rFonts w:ascii="Noto Sans CJK SC" w:hAnsi="Noto Sans CJK SC" w:eastAsia="Noto Sans CJK SC"/>
                <w:sz w:val="15"/>
              </w:rPr>
              <w:t>____________________________</w:t>
            </w:r>
          </w:p>
        </w:tc>
      </w:tr>
      <w:tr>
        <w:tc>
          <w:tcPr>
            <w:tcW w:type="dxa" w:w="1450"/>
            <w:vAlign w:val="center"/>
            <w:tcMar>
              <w:top w:w="80" w:type="dxa"/>
              <w:start w:w="100" w:type="dxa"/>
              <w:bottom w:w="80" w:type="dxa"/>
              <w:end w:w="100" w:type="dxa"/>
            </w:tcMar>
            <w:shd w:fill="F5F8FB"/>
          </w:tcPr>
          <w:p>
            <w:pPr>
              <w:spacing w:before="0" w:after="0" w:line="240" w:lineRule="auto"/>
              <w:jc w:val="center"/>
            </w:pPr>
            <w:r>
              <w:rPr>
                <w:rFonts w:ascii="Noto Sans CJK SC" w:hAnsi="Noto Sans CJK SC" w:eastAsia="Noto Sans CJK SC"/>
                <w:sz w:val="15"/>
              </w:rPr>
              <w:t>責任鏈</w:t>
            </w:r>
          </w:p>
        </w:tc>
        <w:tc>
          <w:tcPr>
            <w:tcW w:type="dxa" w:w="3650"/>
            <w:vAlign w:val="center"/>
            <w:tcMar>
              <w:top w:w="80" w:type="dxa"/>
              <w:start w:w="100" w:type="dxa"/>
              <w:bottom w:w="80" w:type="dxa"/>
              <w:end w:w="100" w:type="dxa"/>
            </w:tcMar>
            <w:shd w:fill="F5F8FB"/>
          </w:tcPr>
          <w:p>
            <w:pPr>
              <w:spacing w:before="0" w:after="0" w:line="240" w:lineRule="auto"/>
            </w:pPr>
            <w:r>
              <w:rPr>
                <w:rFonts w:ascii="Noto Sans CJK SC" w:hAnsi="Noto Sans CJK SC" w:eastAsia="Noto Sans CJK SC"/>
                <w:sz w:val="15"/>
              </w:rPr>
              <w:t>若誤判、延誤或過度限制，誰負責說明與補救？</w:t>
            </w:r>
          </w:p>
        </w:tc>
        <w:tc>
          <w:tcPr>
            <w:tcW w:type="dxa" w:w="3100"/>
            <w:vAlign w:val="center"/>
            <w:tcMar>
              <w:top w:w="80" w:type="dxa"/>
              <w:start w:w="100" w:type="dxa"/>
              <w:bottom w:w="80" w:type="dxa"/>
              <w:end w:w="100" w:type="dxa"/>
            </w:tcMar>
            <w:shd w:fill="F5F8FB"/>
          </w:tcPr>
          <w:p>
            <w:pPr>
              <w:spacing w:before="0" w:after="0" w:line="240" w:lineRule="auto"/>
            </w:pPr>
            <w:r>
              <w:rPr>
                <w:rFonts w:ascii="Noto Sans CJK SC" w:hAnsi="Noto Sans CJK SC" w:eastAsia="Noto Sans CJK SC"/>
                <w:sz w:val="15"/>
              </w:rPr>
              <w:t>____________________________</w:t>
            </w:r>
          </w:p>
        </w:tc>
      </w:tr>
    </w:tbl>
    <w:p>
      <w:r>
        <w:rPr>
          <w:rFonts w:ascii="Noto Sans CJK SC" w:hAnsi="Noto Sans CJK SC" w:eastAsia="Noto Sans CJK SC"/>
          <w:b/>
        </w:rPr>
        <w:t>C. 暫時接手與升降級決定</w:t>
      </w:r>
    </w:p>
    <w:tbl>
      <w:tblPr>
        <w:tblW w:type="auto" w:w="0"/>
        <w:jc w:val="center"/>
        <w:tblLayout w:type="fixed"/>
        <w:tblLook w:firstColumn="1" w:firstRow="1" w:lastColumn="0" w:lastRow="0" w:noHBand="0" w:noVBand="1" w:val="04A0"/>
      </w:tblPr>
      <w:tblGrid>
        <w:gridCol w:w="1250"/>
        <w:gridCol w:w="3000"/>
        <w:gridCol w:w="1250"/>
        <w:gridCol w:w="2600"/>
      </w:tblGrid>
      <w:tr>
        <w:trPr>
          <w:tblHeader w:val="true"/>
        </w:trPr>
        <w:tc>
          <w:tcPr>
            <w:tcW w:type="dxa" w:w="1250"/>
            <w:vAlign w:val="center"/>
            <w:tcMar>
              <w:top w:w="80" w:type="dxa"/>
              <w:start w:w="100" w:type="dxa"/>
              <w:bottom w:w="80" w:type="dxa"/>
              <w:end w:w="100" w:type="dxa"/>
            </w:tcMar>
            <w:shd w:fill="EAF1F8"/>
          </w:tcPr>
          <w:p>
            <w:pPr>
              <w:spacing w:before="0" w:after="0" w:line="240" w:lineRule="auto"/>
            </w:pPr>
            <w:r>
              <w:rPr>
                <w:rFonts w:ascii="Noto Sans CJK SC" w:hAnsi="Noto Sans CJK SC" w:eastAsia="Noto Sans CJK SC"/>
                <w:b/>
                <w:color w:val="173A63"/>
                <w:sz w:val="15"/>
              </w:rPr>
              <w:t>暫時主責</w:t>
            </w:r>
          </w:p>
        </w:tc>
        <w:tc>
          <w:tcPr>
            <w:tcW w:type="dxa" w:w="3000"/>
            <w:vAlign w:val="center"/>
            <w:tcMar>
              <w:top w:w="80" w:type="dxa"/>
              <w:start w:w="100" w:type="dxa"/>
              <w:bottom w:w="80" w:type="dxa"/>
              <w:end w:w="100" w:type="dxa"/>
            </w:tcMar>
            <w:shd w:fill="EAF1F8"/>
          </w:tcPr>
          <w:p>
            <w:pPr>
              <w:spacing w:before="0" w:after="0" w:line="240" w:lineRule="auto"/>
            </w:pPr>
            <w:r>
              <w:rPr>
                <w:rFonts w:ascii="Noto Sans CJK SC" w:hAnsi="Noto Sans CJK SC" w:eastAsia="Noto Sans CJK SC"/>
                <w:b/>
                <w:color w:val="173A63"/>
                <w:sz w:val="15"/>
              </w:rPr>
              <w:t>________________</w:t>
            </w:r>
          </w:p>
        </w:tc>
        <w:tc>
          <w:tcPr>
            <w:tcW w:type="dxa" w:w="1250"/>
            <w:vAlign w:val="center"/>
            <w:tcMar>
              <w:top w:w="80" w:type="dxa"/>
              <w:start w:w="100" w:type="dxa"/>
              <w:bottom w:w="80" w:type="dxa"/>
              <w:end w:w="100" w:type="dxa"/>
            </w:tcMar>
            <w:shd w:fill="EAF1F8"/>
          </w:tcPr>
          <w:p>
            <w:pPr>
              <w:spacing w:before="0" w:after="0" w:line="240" w:lineRule="auto"/>
            </w:pPr>
            <w:r>
              <w:rPr>
                <w:rFonts w:ascii="Noto Sans CJK SC" w:hAnsi="Noto Sans CJK SC" w:eastAsia="Noto Sans CJK SC"/>
                <w:b/>
                <w:color w:val="173A63"/>
                <w:sz w:val="15"/>
              </w:rPr>
              <w:t>協力機關</w:t>
            </w:r>
          </w:p>
        </w:tc>
        <w:tc>
          <w:tcPr>
            <w:tcW w:type="dxa" w:w="2600"/>
            <w:vAlign w:val="center"/>
            <w:tcMar>
              <w:top w:w="80" w:type="dxa"/>
              <w:start w:w="100" w:type="dxa"/>
              <w:bottom w:w="80" w:type="dxa"/>
              <w:end w:w="100" w:type="dxa"/>
            </w:tcMar>
            <w:shd w:fill="EAF1F8"/>
          </w:tcPr>
          <w:p>
            <w:pPr>
              <w:spacing w:before="0" w:after="0" w:line="240" w:lineRule="auto"/>
            </w:pPr>
            <w:r>
              <w:rPr>
                <w:rFonts w:ascii="Noto Sans CJK SC" w:hAnsi="Noto Sans CJK SC" w:eastAsia="Noto Sans CJK SC"/>
                <w:b/>
                <w:color w:val="173A63"/>
                <w:sz w:val="15"/>
              </w:rPr>
              <w:t>____________________________</w:t>
            </w:r>
          </w:p>
        </w:tc>
      </w:tr>
      <w:tr>
        <w:tc>
          <w:tcPr>
            <w:tcW w:type="dxa" w:w="1250"/>
            <w:vAlign w:val="center"/>
            <w:tcMar>
              <w:top w:w="80" w:type="dxa"/>
              <w:start w:w="100" w:type="dxa"/>
              <w:bottom w:w="80" w:type="dxa"/>
              <w:end w:w="100" w:type="dxa"/>
            </w:tcMar>
          </w:tcPr>
          <w:p>
            <w:pPr>
              <w:spacing w:before="0" w:after="0" w:line="240" w:lineRule="auto"/>
              <w:jc w:val="center"/>
            </w:pPr>
            <w:r>
              <w:rPr>
                <w:rFonts w:ascii="Noto Sans CJK SC" w:hAnsi="Noto Sans CJK SC" w:eastAsia="Noto Sans CJK SC"/>
                <w:sz w:val="15"/>
              </w:rPr>
              <w:t>立即措施</w:t>
            </w:r>
          </w:p>
        </w:tc>
        <w:tc>
          <w:tcPr>
            <w:tcW w:type="dxa" w:w="3000"/>
            <w:vAlign w:val="center"/>
            <w:tcMar>
              <w:top w:w="80" w:type="dxa"/>
              <w:start w:w="100" w:type="dxa"/>
              <w:bottom w:w="80" w:type="dxa"/>
              <w:end w:w="100" w:type="dxa"/>
            </w:tcMar>
          </w:tcPr>
          <w:p>
            <w:pPr>
              <w:spacing w:before="0" w:after="0" w:line="240" w:lineRule="auto"/>
            </w:pPr>
            <w:r>
              <w:rPr>
                <w:rFonts w:ascii="Noto Sans CJK SC" w:hAnsi="Noto Sans CJK SC" w:eastAsia="Noto Sans CJK SC"/>
                <w:sz w:val="15"/>
              </w:rPr>
              <w:t>□保存證據　□權威澄清　□快速驗證　□依法通報</w:t>
            </w:r>
          </w:p>
        </w:tc>
        <w:tc>
          <w:tcPr>
            <w:tcW w:type="dxa" w:w="1250"/>
            <w:vAlign w:val="center"/>
            <w:tcMar>
              <w:top w:w="80" w:type="dxa"/>
              <w:start w:w="100" w:type="dxa"/>
              <w:bottom w:w="80" w:type="dxa"/>
              <w:end w:w="100" w:type="dxa"/>
            </w:tcMar>
          </w:tcPr>
          <w:p>
            <w:pPr>
              <w:spacing w:before="0" w:after="0" w:line="240" w:lineRule="auto"/>
            </w:pPr>
            <w:r>
              <w:rPr>
                <w:rFonts w:ascii="Noto Sans CJK SC" w:hAnsi="Noto Sans CJK SC" w:eastAsia="Noto Sans CJK SC"/>
                <w:sz w:val="15"/>
              </w:rPr>
              <w:t>權限／依據</w:t>
            </w:r>
          </w:p>
        </w:tc>
        <w:tc>
          <w:tcPr>
            <w:tcW w:type="dxa" w:w="2600"/>
            <w:vAlign w:val="center"/>
            <w:tcMar>
              <w:top w:w="80" w:type="dxa"/>
              <w:start w:w="100" w:type="dxa"/>
              <w:bottom w:w="80" w:type="dxa"/>
              <w:end w:w="100" w:type="dxa"/>
            </w:tcMar>
          </w:tcPr>
          <w:p>
            <w:pPr>
              <w:spacing w:before="0" w:after="0" w:line="240" w:lineRule="auto"/>
            </w:pPr>
            <w:r>
              <w:rPr>
                <w:rFonts w:ascii="Noto Sans CJK SC" w:hAnsi="Noto Sans CJK SC" w:eastAsia="Noto Sans CJK SC"/>
                <w:sz w:val="15"/>
              </w:rPr>
              <w:t>____________________________</w:t>
            </w:r>
          </w:p>
        </w:tc>
      </w:tr>
      <w:tr>
        <w:tc>
          <w:tcPr>
            <w:tcW w:type="dxa" w:w="1250"/>
            <w:vAlign w:val="center"/>
            <w:tcMar>
              <w:top w:w="80" w:type="dxa"/>
              <w:start w:w="100" w:type="dxa"/>
              <w:bottom w:w="80" w:type="dxa"/>
              <w:end w:w="100" w:type="dxa"/>
            </w:tcMar>
            <w:shd w:fill="F5F8FB"/>
          </w:tcPr>
          <w:p>
            <w:pPr>
              <w:spacing w:before="0" w:after="0" w:line="240" w:lineRule="auto"/>
              <w:jc w:val="center"/>
            </w:pPr>
            <w:r>
              <w:rPr>
                <w:rFonts w:ascii="Noto Sans CJK SC" w:hAnsi="Noto Sans CJK SC" w:eastAsia="Noto Sans CJK SC"/>
                <w:sz w:val="15"/>
              </w:rPr>
              <w:t>升級條件</w:t>
            </w:r>
          </w:p>
        </w:tc>
        <w:tc>
          <w:tcPr>
            <w:tcW w:type="dxa" w:w="3000"/>
            <w:vAlign w:val="center"/>
            <w:tcMar>
              <w:top w:w="80" w:type="dxa"/>
              <w:start w:w="100" w:type="dxa"/>
              <w:bottom w:w="80" w:type="dxa"/>
              <w:end w:w="100" w:type="dxa"/>
            </w:tcMar>
            <w:shd w:fill="F5F8FB"/>
          </w:tcPr>
          <w:p>
            <w:pPr>
              <w:spacing w:before="0" w:after="0" w:line="240" w:lineRule="auto"/>
            </w:pPr>
            <w:r>
              <w:rPr>
                <w:rFonts w:ascii="Noto Sans CJK SC" w:hAnsi="Noto Sans CJK SC" w:eastAsia="Noto Sans CJK SC"/>
                <w:sz w:val="15"/>
              </w:rPr>
              <w:t>____________________________</w:t>
            </w:r>
          </w:p>
        </w:tc>
        <w:tc>
          <w:tcPr>
            <w:tcW w:type="dxa" w:w="1250"/>
            <w:vAlign w:val="center"/>
            <w:tcMar>
              <w:top w:w="80" w:type="dxa"/>
              <w:start w:w="100" w:type="dxa"/>
              <w:bottom w:w="80" w:type="dxa"/>
              <w:end w:w="100" w:type="dxa"/>
            </w:tcMar>
            <w:shd w:fill="F5F8FB"/>
          </w:tcPr>
          <w:p>
            <w:pPr>
              <w:spacing w:before="0" w:after="0" w:line="240" w:lineRule="auto"/>
            </w:pPr>
            <w:r>
              <w:rPr>
                <w:rFonts w:ascii="Noto Sans CJK SC" w:hAnsi="Noto Sans CJK SC" w:eastAsia="Noto Sans CJK SC"/>
                <w:sz w:val="15"/>
              </w:rPr>
              <w:t>解除／降級條件</w:t>
            </w:r>
          </w:p>
        </w:tc>
        <w:tc>
          <w:tcPr>
            <w:tcW w:type="dxa" w:w="2600"/>
            <w:vAlign w:val="center"/>
            <w:tcMar>
              <w:top w:w="80" w:type="dxa"/>
              <w:start w:w="100" w:type="dxa"/>
              <w:bottom w:w="80" w:type="dxa"/>
              <w:end w:w="100" w:type="dxa"/>
            </w:tcMar>
            <w:shd w:fill="F5F8FB"/>
          </w:tcPr>
          <w:p>
            <w:pPr>
              <w:spacing w:before="0" w:after="0" w:line="240" w:lineRule="auto"/>
            </w:pPr>
            <w:r>
              <w:rPr>
                <w:rFonts w:ascii="Noto Sans CJK SC" w:hAnsi="Noto Sans CJK SC" w:eastAsia="Noto Sans CJK SC"/>
                <w:sz w:val="15"/>
              </w:rPr>
              <w:t>____________________________</w:t>
            </w:r>
          </w:p>
        </w:tc>
      </w:tr>
      <w:tr>
        <w:tc>
          <w:tcPr>
            <w:tcW w:type="dxa" w:w="1250"/>
            <w:vAlign w:val="center"/>
            <w:tcMar>
              <w:top w:w="80" w:type="dxa"/>
              <w:start w:w="100" w:type="dxa"/>
              <w:bottom w:w="80" w:type="dxa"/>
              <w:end w:w="100" w:type="dxa"/>
            </w:tcMar>
          </w:tcPr>
          <w:p>
            <w:pPr>
              <w:spacing w:before="0" w:after="0" w:line="240" w:lineRule="auto"/>
              <w:jc w:val="center"/>
            </w:pPr>
            <w:r>
              <w:rPr>
                <w:rFonts w:ascii="Noto Sans CJK SC" w:hAnsi="Noto Sans CJK SC" w:eastAsia="Noto Sans CJK SC"/>
                <w:sz w:val="15"/>
              </w:rPr>
              <w:t>一行建議</w:t>
            </w:r>
          </w:p>
        </w:tc>
        <w:tc>
          <w:tcPr>
            <w:tcW w:type="dxa" w:w="3000"/>
            <w:vAlign w:val="center"/>
            <w:tcMar>
              <w:top w:w="80" w:type="dxa"/>
              <w:start w:w="100" w:type="dxa"/>
              <w:bottom w:w="80" w:type="dxa"/>
              <w:end w:w="100" w:type="dxa"/>
            </w:tcMar>
          </w:tcPr>
          <w:p>
            <w:pPr>
              <w:spacing w:before="0" w:after="0" w:line="240" w:lineRule="auto"/>
            </w:pPr>
            <w:r>
              <w:rPr>
                <w:rFonts w:ascii="Noto Sans CJK SC" w:hAnsi="Noto Sans CJK SC" w:eastAsia="Noto Sans CJK SC"/>
                <w:sz w:val="15"/>
              </w:rPr>
              <w:t>已知：________；未知：________；建議於____前由________採取________。</w:t>
            </w:r>
          </w:p>
        </w:tc>
        <w:tc>
          <w:tcPr>
            <w:tcW w:type="dxa" w:w="1250"/>
            <w:vAlign w:val="center"/>
            <w:tcMar>
              <w:top w:w="80" w:type="dxa"/>
              <w:start w:w="100" w:type="dxa"/>
              <w:bottom w:w="80" w:type="dxa"/>
              <w:end w:w="100" w:type="dxa"/>
            </w:tcMar>
          </w:tcPr>
          <w:p>
            <w:pPr>
              <w:spacing w:before="0" w:after="0" w:line="240" w:lineRule="auto"/>
            </w:pPr>
            <w:r>
              <w:rPr>
                <w:rFonts w:ascii="Noto Sans CJK SC" w:hAnsi="Noto Sans CJK SC" w:eastAsia="Noto Sans CJK SC"/>
                <w:sz w:val="15"/>
              </w:rPr>
              <w:t>核定／複核</w:t>
            </w:r>
          </w:p>
        </w:tc>
        <w:tc>
          <w:tcPr>
            <w:tcW w:type="dxa" w:w="2600"/>
            <w:vAlign w:val="center"/>
            <w:tcMar>
              <w:top w:w="80" w:type="dxa"/>
              <w:start w:w="100" w:type="dxa"/>
              <w:bottom w:w="80" w:type="dxa"/>
              <w:end w:w="100" w:type="dxa"/>
            </w:tcMar>
          </w:tcPr>
          <w:p>
            <w:pPr>
              <w:spacing w:before="0" w:after="0" w:line="240" w:lineRule="auto"/>
            </w:pPr>
            <w:r>
              <w:rPr>
                <w:rFonts w:ascii="Noto Sans CJK SC" w:hAnsi="Noto Sans CJK SC" w:eastAsia="Noto Sans CJK SC"/>
                <w:sz w:val="15"/>
              </w:rPr>
              <w:t>________________</w:t>
            </w:r>
          </w:p>
        </w:tc>
      </w:tr>
    </w:tbl>
    <w:p>
      <w:pPr>
        <w:spacing w:before="60" w:after="0"/>
      </w:pPr>
      <w:r>
        <w:rPr>
          <w:rFonts w:ascii="Noto Sans CJK SC" w:hAnsi="Noto Sans CJK SC" w:eastAsia="Noto Sans CJK SC"/>
          <w:i/>
          <w:sz w:val="16"/>
        </w:rPr>
        <w:t>使用界線：先採暫時、可逆、符合比例且保留證據的措施；要求平台下架、屏蔽或其他具拘束力的限制，仍須另有明確法律依據及救濟程序。</w:t>
      </w:r>
    </w:p>
    <w:p>
      <w:pPr>
        <w:pStyle w:val="Heading1"/>
        <w:pageBreakBefore/>
      </w:pPr>
      <w:r>
        <w:rPr>
          <w:rFonts w:ascii="Noto Sans CJK SC" w:hAnsi="Noto Sans CJK SC" w:eastAsia="Noto Sans CJK SC"/>
        </w:rPr>
        <w:t>附表6　可信度×預期後果分級表（含權限與法源欄）</w:t>
      </w:r>
    </w:p>
    <w:p>
      <w:pPr>
        <w:spacing w:after="80"/>
      </w:pPr>
      <w:r>
        <w:rPr>
          <w:rFonts w:ascii="Noto Sans CJK SC" w:hAnsi="Noto Sans CJK SC" w:eastAsia="Noto Sans CJK SC"/>
          <w:sz w:val="16"/>
        </w:rPr>
        <w:t>用途：協助第一份情勢研判決定「先做什麼」，不是認定犯罪、國安事件或直接下架的法律授權。證據可信度與預期後果應分開判斷，並設定複核時間。</w:t>
      </w:r>
    </w:p>
    <w:tbl>
      <w:tblPr>
        <w:tblW w:type="auto" w:w="0"/>
        <w:jc w:val="center"/>
        <w:tblLayout w:type="fixed"/>
        <w:tblLook w:firstColumn="1" w:firstRow="1" w:lastColumn="0" w:lastRow="0" w:noHBand="0" w:noVBand="1" w:val="04A0"/>
      </w:tblPr>
      <w:tblGrid>
        <w:gridCol w:w="1200"/>
        <w:gridCol w:w="1850"/>
        <w:gridCol w:w="2350"/>
        <w:gridCol w:w="1500"/>
        <w:gridCol w:w="1850"/>
        <w:gridCol w:w="1450"/>
      </w:tblGrid>
      <w:tr>
        <w:trPr>
          <w:tblHeader w:val="true"/>
        </w:trPr>
        <w:tc>
          <w:tcPr>
            <w:tcW w:type="dxa" w:w="1200"/>
            <w:tcMar>
              <w:top w:w="75" w:type="dxa"/>
              <w:start w:w="90" w:type="dxa"/>
              <w:bottom w:w="75" w:type="dxa"/>
              <w:end w:w="90" w:type="dxa"/>
            </w:tcMar>
            <w:vAlign w:val="center"/>
            <w:shd w:fill="D8E7F4"/>
          </w:tcPr>
          <w:p>
            <w:pPr>
              <w:spacing w:before="0" w:after="0" w:line="240" w:lineRule="auto"/>
            </w:pPr>
            <w:r>
              <w:rPr>
                <w:rFonts w:ascii="Noto Sans CJK SC" w:hAnsi="Noto Sans CJK SC" w:eastAsia="Noto Sans CJK SC"/>
                <w:b/>
                <w:color w:val="173A63"/>
                <w:sz w:val="14"/>
              </w:rPr>
              <w:t>事件狀態</w:t>
            </w:r>
          </w:p>
        </w:tc>
        <w:tc>
          <w:tcPr>
            <w:tcW w:type="dxa" w:w="1850"/>
            <w:tcMar>
              <w:top w:w="75" w:type="dxa"/>
              <w:start w:w="90" w:type="dxa"/>
              <w:bottom w:w="75" w:type="dxa"/>
              <w:end w:w="90" w:type="dxa"/>
            </w:tcMar>
            <w:vAlign w:val="center"/>
            <w:shd w:fill="D8E7F4"/>
          </w:tcPr>
          <w:p>
            <w:pPr>
              <w:spacing w:before="0" w:after="0" w:line="240" w:lineRule="auto"/>
            </w:pPr>
            <w:r>
              <w:rPr>
                <w:rFonts w:ascii="Noto Sans CJK SC" w:hAnsi="Noto Sans CJK SC" w:eastAsia="Noto Sans CJK SC"/>
                <w:b/>
                <w:color w:val="173A63"/>
                <w:sz w:val="14"/>
              </w:rPr>
              <w:t>第一時間措施</w:t>
            </w:r>
          </w:p>
        </w:tc>
        <w:tc>
          <w:tcPr>
            <w:tcW w:type="dxa" w:w="2350"/>
            <w:tcMar>
              <w:top w:w="75" w:type="dxa"/>
              <w:start w:w="90" w:type="dxa"/>
              <w:bottom w:w="75" w:type="dxa"/>
              <w:end w:w="90" w:type="dxa"/>
            </w:tcMar>
            <w:vAlign w:val="center"/>
            <w:shd w:fill="D8E7F4"/>
          </w:tcPr>
          <w:p>
            <w:pPr>
              <w:spacing w:before="0" w:after="0" w:line="240" w:lineRule="auto"/>
            </w:pPr>
            <w:r>
              <w:rPr>
                <w:rFonts w:ascii="Noto Sans CJK SC" w:hAnsi="Noto Sans CJK SC" w:eastAsia="Noto Sans CJK SC"/>
                <w:b/>
                <w:color w:val="173A63"/>
                <w:sz w:val="14"/>
              </w:rPr>
              <w:t>權限／規範依據類型</w:t>
            </w:r>
          </w:p>
        </w:tc>
        <w:tc>
          <w:tcPr>
            <w:tcW w:type="dxa" w:w="1500"/>
            <w:tcMar>
              <w:top w:w="75" w:type="dxa"/>
              <w:start w:w="90" w:type="dxa"/>
              <w:bottom w:w="75" w:type="dxa"/>
              <w:end w:w="90" w:type="dxa"/>
            </w:tcMar>
            <w:vAlign w:val="center"/>
            <w:shd w:fill="D8E7F4"/>
          </w:tcPr>
          <w:p>
            <w:pPr>
              <w:spacing w:before="0" w:after="0" w:line="240" w:lineRule="auto"/>
            </w:pPr>
            <w:r>
              <w:rPr>
                <w:rFonts w:ascii="Noto Sans CJK SC" w:hAnsi="Noto Sans CJK SC" w:eastAsia="Noto Sans CJK SC"/>
                <w:b/>
                <w:color w:val="173A63"/>
                <w:sz w:val="14"/>
              </w:rPr>
              <w:t>暫時主責</w:t>
            </w:r>
          </w:p>
        </w:tc>
        <w:tc>
          <w:tcPr>
            <w:tcW w:type="dxa" w:w="1850"/>
            <w:tcMar>
              <w:top w:w="75" w:type="dxa"/>
              <w:start w:w="90" w:type="dxa"/>
              <w:bottom w:w="75" w:type="dxa"/>
              <w:end w:w="90" w:type="dxa"/>
            </w:tcMar>
            <w:vAlign w:val="center"/>
            <w:shd w:fill="D8E7F4"/>
          </w:tcPr>
          <w:p>
            <w:pPr>
              <w:spacing w:before="0" w:after="0" w:line="240" w:lineRule="auto"/>
            </w:pPr>
            <w:r>
              <w:rPr>
                <w:rFonts w:ascii="Noto Sans CJK SC" w:hAnsi="Noto Sans CJK SC" w:eastAsia="Noto Sans CJK SC"/>
                <w:b/>
                <w:color w:val="173A63"/>
                <w:sz w:val="14"/>
              </w:rPr>
              <w:t>升級條件</w:t>
            </w:r>
          </w:p>
        </w:tc>
        <w:tc>
          <w:tcPr>
            <w:tcW w:type="dxa" w:w="1450"/>
            <w:tcMar>
              <w:top w:w="75" w:type="dxa"/>
              <w:start w:w="90" w:type="dxa"/>
              <w:bottom w:w="75" w:type="dxa"/>
              <w:end w:w="90" w:type="dxa"/>
            </w:tcMar>
            <w:vAlign w:val="center"/>
            <w:shd w:fill="D8E7F4"/>
          </w:tcPr>
          <w:p>
            <w:pPr>
              <w:spacing w:before="0" w:after="0" w:line="240" w:lineRule="auto"/>
            </w:pPr>
            <w:r>
              <w:rPr>
                <w:rFonts w:ascii="Noto Sans CJK SC" w:hAnsi="Noto Sans CJK SC" w:eastAsia="Noto Sans CJK SC"/>
                <w:b/>
                <w:color w:val="173A63"/>
                <w:sz w:val="14"/>
              </w:rPr>
              <w:t>解除／複核</w:t>
            </w:r>
          </w:p>
        </w:tc>
      </w:tr>
      <w:tr>
        <w:tc>
          <w:tcPr>
            <w:tcW w:type="dxa" w:w="120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4"/>
              </w:rPr>
              <w:t>低可信度／低後果</w:t>
            </w:r>
          </w:p>
        </w:tc>
        <w:tc>
          <w:tcPr>
            <w:tcW w:type="dxa" w:w="185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4"/>
              </w:rPr>
              <w:t>保存原始資料、監測、一般查核</w:t>
            </w:r>
          </w:p>
        </w:tc>
        <w:tc>
          <w:tcPr>
            <w:tcW w:type="dxa" w:w="235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4"/>
              </w:rPr>
              <w:t>一般資訊蒐集、紀錄保存；不採強制限制</w:t>
            </w:r>
          </w:p>
        </w:tc>
        <w:tc>
          <w:tcPr>
            <w:tcW w:type="dxa" w:w="150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4"/>
              </w:rPr>
              <w:t>被冒用機關或目的事業窗口</w:t>
            </w:r>
          </w:p>
        </w:tc>
        <w:tc>
          <w:tcPr>
            <w:tcW w:type="dxa" w:w="185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4"/>
              </w:rPr>
              <w:t>可信度、觸及或行為誘發上升</w:t>
            </w:r>
          </w:p>
        </w:tc>
        <w:tc>
          <w:tcPr>
            <w:tcW w:type="dxa" w:w="145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4"/>
              </w:rPr>
              <w:t>定時複核；無擴散則結案</w:t>
            </w:r>
          </w:p>
        </w:tc>
      </w:tr>
      <w:tr>
        <w:tc>
          <w:tcPr>
            <w:tcW w:type="dxa" w:w="120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4"/>
              </w:rPr>
              <w:t>高可信度／低後果</w:t>
            </w:r>
          </w:p>
        </w:tc>
        <w:tc>
          <w:tcPr>
            <w:tcW w:type="dxa" w:w="185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4"/>
              </w:rPr>
              <w:t>依普通行政、民事或刑事程序處理</w:t>
            </w:r>
          </w:p>
        </w:tc>
        <w:tc>
          <w:tcPr>
            <w:tcW w:type="dxa" w:w="235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4"/>
              </w:rPr>
              <w:t>依冒名、詐欺、名譽或其他具體危害之既有法制</w:t>
            </w:r>
          </w:p>
        </w:tc>
        <w:tc>
          <w:tcPr>
            <w:tcW w:type="dxa" w:w="150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4"/>
              </w:rPr>
              <w:t>具體危害主管機關</w:t>
            </w:r>
          </w:p>
        </w:tc>
        <w:tc>
          <w:tcPr>
            <w:tcW w:type="dxa" w:w="185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4"/>
              </w:rPr>
              <w:t>產生廣泛傳播或制度效果</w:t>
            </w:r>
          </w:p>
        </w:tc>
        <w:tc>
          <w:tcPr>
            <w:tcW w:type="dxa" w:w="145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4"/>
              </w:rPr>
              <w:t>依普通程序解除或移送</w:t>
            </w:r>
          </w:p>
        </w:tc>
      </w:tr>
      <w:tr>
        <w:tc>
          <w:tcPr>
            <w:tcW w:type="dxa" w:w="120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4"/>
              </w:rPr>
              <w:t>低可信度／高後果</w:t>
            </w:r>
          </w:p>
        </w:tc>
        <w:tc>
          <w:tcPr>
            <w:tcW w:type="dxa" w:w="185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4"/>
              </w:rPr>
              <w:t>保存證據、權威澄清、公布查核狀態、快速驗證</w:t>
            </w:r>
          </w:p>
        </w:tc>
        <w:tc>
          <w:tcPr>
            <w:tcW w:type="dxa" w:w="235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4"/>
              </w:rPr>
              <w:t>機關依職權澄清；平台依服務條款標示／降低放大；公權力限制須另有法源</w:t>
            </w:r>
          </w:p>
        </w:tc>
        <w:tc>
          <w:tcPr>
            <w:tcW w:type="dxa" w:w="150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4"/>
              </w:rPr>
              <w:t>指定暫時主責及協力窗口</w:t>
            </w:r>
          </w:p>
        </w:tc>
        <w:tc>
          <w:tcPr>
            <w:tcW w:type="dxa" w:w="185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4"/>
              </w:rPr>
              <w:t>境外指揮、駭侵、協同操弄或不可逆後果具體化</w:t>
            </w:r>
          </w:p>
        </w:tc>
        <w:tc>
          <w:tcPr>
            <w:tcW w:type="dxa" w:w="145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4"/>
              </w:rPr>
              <w:t>設定短期複核；證據不足即降級</w:t>
            </w:r>
          </w:p>
        </w:tc>
      </w:tr>
      <w:tr>
        <w:tc>
          <w:tcPr>
            <w:tcW w:type="dxa" w:w="120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4"/>
              </w:rPr>
              <w:t>高可信度／高後果</w:t>
            </w:r>
          </w:p>
        </w:tc>
        <w:tc>
          <w:tcPr>
            <w:tcW w:type="dxa" w:w="185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4"/>
              </w:rPr>
              <w:t>跨機關應變、統一說明、依法處置與追責</w:t>
            </w:r>
          </w:p>
        </w:tc>
        <w:tc>
          <w:tcPr>
            <w:tcW w:type="dxa" w:w="235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4"/>
              </w:rPr>
              <w:t>選罷法侵害排除、資安通報，或依犯罪、國安、國防法制辦理</w:t>
            </w:r>
          </w:p>
        </w:tc>
        <w:tc>
          <w:tcPr>
            <w:tcW w:type="dxa" w:w="150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4"/>
              </w:rPr>
              <w:t>危害主管＋行政院／國安體系統合</w:t>
            </w:r>
          </w:p>
        </w:tc>
        <w:tc>
          <w:tcPr>
            <w:tcW w:type="dxa" w:w="185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4"/>
              </w:rPr>
              <w:t>依危害進入重大資安、犯罪、國安或國防程序</w:t>
            </w:r>
          </w:p>
        </w:tc>
        <w:tc>
          <w:tcPr>
            <w:tcW w:type="dxa" w:w="145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4"/>
              </w:rPr>
              <w:t>由指揮／統合層級決定降級與復原</w:t>
            </w:r>
          </w:p>
        </w:tc>
      </w:tr>
    </w:tbl>
    <w:tbl>
      <w:tblPr>
        <w:tblW w:type="auto" w:w="0"/>
        <w:jc w:val="center"/>
        <w:tblLayout w:type="fixed"/>
        <w:tblLook w:firstColumn="1" w:firstRow="1" w:lastColumn="0" w:lastRow="0" w:noHBand="0" w:noVBand="1" w:val="04A0"/>
      </w:tblPr>
      <w:tblGrid>
        <w:gridCol w:w="1250"/>
        <w:gridCol w:w="3100"/>
        <w:gridCol w:w="1250"/>
        <w:gridCol w:w="2900"/>
      </w:tblGrid>
      <w:tr>
        <w:trPr>
          <w:tblHeader w:val="true"/>
        </w:trPr>
        <w:tc>
          <w:tcPr>
            <w:tcW w:type="dxa" w:w="125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5"/>
              </w:rPr>
              <w:t>本案判定</w:t>
            </w:r>
          </w:p>
        </w:tc>
        <w:tc>
          <w:tcPr>
            <w:tcW w:type="dxa" w:w="310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5"/>
              </w:rPr>
              <w:t>□低／低　□高／低　□低／高　□高／高</w:t>
            </w:r>
          </w:p>
        </w:tc>
        <w:tc>
          <w:tcPr>
            <w:tcW w:type="dxa" w:w="125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5"/>
              </w:rPr>
              <w:t>判定時間</w:t>
            </w:r>
          </w:p>
        </w:tc>
        <w:tc>
          <w:tcPr>
            <w:tcW w:type="dxa" w:w="290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5"/>
              </w:rPr>
              <w:t>____年__月__日 __時__分</w:t>
            </w:r>
          </w:p>
        </w:tc>
      </w:tr>
      <w:tr>
        <w:tc>
          <w:tcPr>
            <w:tcW w:type="dxa" w:w="125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5"/>
              </w:rPr>
              <w:t>核心證據</w:t>
            </w:r>
          </w:p>
        </w:tc>
        <w:tc>
          <w:tcPr>
            <w:tcW w:type="dxa" w:w="310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5"/>
              </w:rPr>
              <w:t>________________________________</w:t>
            </w:r>
          </w:p>
        </w:tc>
        <w:tc>
          <w:tcPr>
            <w:tcW w:type="dxa" w:w="125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5"/>
              </w:rPr>
              <w:t>主要不確定性</w:t>
            </w:r>
          </w:p>
        </w:tc>
        <w:tc>
          <w:tcPr>
            <w:tcW w:type="dxa" w:w="290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5"/>
              </w:rPr>
              <w:t>________________________________</w:t>
            </w:r>
          </w:p>
        </w:tc>
      </w:tr>
      <w:tr>
        <w:tc>
          <w:tcPr>
            <w:tcW w:type="dxa" w:w="125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5"/>
              </w:rPr>
              <w:t>下次複核</w:t>
            </w:r>
          </w:p>
        </w:tc>
        <w:tc>
          <w:tcPr>
            <w:tcW w:type="dxa" w:w="310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5"/>
              </w:rPr>
              <w:t>____年__月__日 __時__分</w:t>
            </w:r>
          </w:p>
        </w:tc>
        <w:tc>
          <w:tcPr>
            <w:tcW w:type="dxa" w:w="125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5"/>
              </w:rPr>
              <w:t>研判／核定人員</w:t>
            </w:r>
          </w:p>
        </w:tc>
        <w:tc>
          <w:tcPr>
            <w:tcW w:type="dxa" w:w="290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5"/>
              </w:rPr>
              <w:t>________________________________</w:t>
            </w:r>
          </w:p>
        </w:tc>
      </w:tr>
    </w:tbl>
    <w:p>
      <w:pPr>
        <w:spacing w:after="80"/>
      </w:pPr>
      <w:r>
        <w:rPr>
          <w:rFonts w:ascii="Noto Sans CJK SC" w:hAnsi="Noto Sans CJK SC" w:eastAsia="Noto Sans CJK SC"/>
          <w:sz w:val="16"/>
        </w:rPr>
        <w:t>法律界線：權威性澄清與事實資訊提供可優先進行；要求平台下架、屏蔽或其他具拘束力的限制，仍須具備明確法律依據、比例性、正當程序及救濟。</w:t>
      </w:r>
    </w:p>
    <w:p>
      <w:pPr>
        <w:pStyle w:val="Heading1"/>
        <w:pageBreakBefore/>
      </w:pPr>
      <w:r>
        <w:rPr>
          <w:rFonts w:ascii="Noto Sans CJK SC" w:hAnsi="Noto Sans CJK SC" w:eastAsia="Noto Sans CJK SC"/>
        </w:rPr>
        <w:t>附表7　跨機關權責與升級矩陣（行政院協調參考稿）</w:t>
      </w:r>
    </w:p>
    <w:p>
      <w:pPr>
        <w:spacing w:after="80"/>
      </w:pPr>
      <w:r>
        <w:rPr>
          <w:rFonts w:ascii="Noto Sans CJK SC" w:hAnsi="Noto Sans CJK SC" w:eastAsia="Noto Sans CJK SC"/>
          <w:sz w:val="16"/>
        </w:rPr>
        <w:t>定位：本表是研究型協調工具，不是法定權責表或正式指揮命令。各列所稱「暫時主責」是事件定性完成前的建議接手窗口；法定主管機關、通報鏈與指揮體系仍依現行法規及個案授權。</w:t>
      </w:r>
    </w:p>
    <w:tbl>
      <w:tblPr>
        <w:tblW w:type="auto" w:w="0"/>
        <w:jc w:val="center"/>
        <w:tblLayout w:type="fixed"/>
        <w:tblLook w:firstColumn="1" w:firstRow="1" w:lastColumn="0" w:lastRow="0" w:noHBand="0" w:noVBand="1" w:val="04A0"/>
      </w:tblPr>
      <w:tblGrid>
        <w:gridCol w:w="1750"/>
        <w:gridCol w:w="1700"/>
        <w:gridCol w:w="1900"/>
        <w:gridCol w:w="2050"/>
        <w:gridCol w:w="1900"/>
        <w:gridCol w:w="1500"/>
      </w:tblGrid>
      <w:tr>
        <w:trPr>
          <w:tblHeader w:val="true"/>
        </w:trPr>
        <w:tc>
          <w:tcPr>
            <w:tcW w:type="dxa" w:w="1750"/>
            <w:tcMar>
              <w:top w:w="75" w:type="dxa"/>
              <w:start w:w="90" w:type="dxa"/>
              <w:bottom w:w="75" w:type="dxa"/>
              <w:end w:w="90" w:type="dxa"/>
            </w:tcMar>
            <w:vAlign w:val="center"/>
            <w:shd w:fill="D8E7F4"/>
          </w:tcPr>
          <w:p>
            <w:pPr>
              <w:spacing w:before="0" w:after="0" w:line="240" w:lineRule="auto"/>
            </w:pPr>
            <w:r>
              <w:rPr>
                <w:rFonts w:ascii="Noto Sans CJK SC" w:hAnsi="Noto Sans CJK SC" w:eastAsia="Noto Sans CJK SC"/>
                <w:b/>
                <w:color w:val="173A63"/>
                <w:sz w:val="13"/>
              </w:rPr>
              <w:t>主要危害／觸發情境</w:t>
            </w:r>
          </w:p>
        </w:tc>
        <w:tc>
          <w:tcPr>
            <w:tcW w:type="dxa" w:w="1700"/>
            <w:tcMar>
              <w:top w:w="75" w:type="dxa"/>
              <w:start w:w="90" w:type="dxa"/>
              <w:bottom w:w="75" w:type="dxa"/>
              <w:end w:w="90" w:type="dxa"/>
            </w:tcMar>
            <w:vAlign w:val="center"/>
            <w:shd w:fill="D8E7F4"/>
          </w:tcPr>
          <w:p>
            <w:pPr>
              <w:spacing w:before="0" w:after="0" w:line="240" w:lineRule="auto"/>
            </w:pPr>
            <w:r>
              <w:rPr>
                <w:rFonts w:ascii="Noto Sans CJK SC" w:hAnsi="Noto Sans CJK SC" w:eastAsia="Noto Sans CJK SC"/>
                <w:b/>
                <w:color w:val="173A63"/>
                <w:sz w:val="13"/>
              </w:rPr>
              <w:t>建議暫時主責</w:t>
            </w:r>
          </w:p>
        </w:tc>
        <w:tc>
          <w:tcPr>
            <w:tcW w:type="dxa" w:w="1900"/>
            <w:tcMar>
              <w:top w:w="75" w:type="dxa"/>
              <w:start w:w="90" w:type="dxa"/>
              <w:bottom w:w="75" w:type="dxa"/>
              <w:end w:w="90" w:type="dxa"/>
            </w:tcMar>
            <w:vAlign w:val="center"/>
            <w:shd w:fill="D8E7F4"/>
          </w:tcPr>
          <w:p>
            <w:pPr>
              <w:spacing w:before="0" w:after="0" w:line="240" w:lineRule="auto"/>
            </w:pPr>
            <w:r>
              <w:rPr>
                <w:rFonts w:ascii="Noto Sans CJK SC" w:hAnsi="Noto Sans CJK SC" w:eastAsia="Noto Sans CJK SC"/>
                <w:b/>
                <w:color w:val="173A63"/>
                <w:sz w:val="13"/>
              </w:rPr>
              <w:t>主要協力單位</w:t>
            </w:r>
          </w:p>
        </w:tc>
        <w:tc>
          <w:tcPr>
            <w:tcW w:type="dxa" w:w="2050"/>
            <w:tcMar>
              <w:top w:w="75" w:type="dxa"/>
              <w:start w:w="90" w:type="dxa"/>
              <w:bottom w:w="75" w:type="dxa"/>
              <w:end w:w="90" w:type="dxa"/>
            </w:tcMar>
            <w:vAlign w:val="center"/>
            <w:shd w:fill="D8E7F4"/>
          </w:tcPr>
          <w:p>
            <w:pPr>
              <w:spacing w:before="0" w:after="0" w:line="240" w:lineRule="auto"/>
            </w:pPr>
            <w:r>
              <w:rPr>
                <w:rFonts w:ascii="Noto Sans CJK SC" w:hAnsi="Noto Sans CJK SC" w:eastAsia="Noto Sans CJK SC"/>
                <w:b/>
                <w:color w:val="173A63"/>
                <w:sz w:val="13"/>
              </w:rPr>
              <w:t>第一份行政產出</w:t>
            </w:r>
          </w:p>
        </w:tc>
        <w:tc>
          <w:tcPr>
            <w:tcW w:type="dxa" w:w="1900"/>
            <w:tcMar>
              <w:top w:w="75" w:type="dxa"/>
              <w:start w:w="90" w:type="dxa"/>
              <w:bottom w:w="75" w:type="dxa"/>
              <w:end w:w="90" w:type="dxa"/>
            </w:tcMar>
            <w:vAlign w:val="center"/>
            <w:shd w:fill="D8E7F4"/>
          </w:tcPr>
          <w:p>
            <w:pPr>
              <w:spacing w:before="0" w:after="0" w:line="240" w:lineRule="auto"/>
            </w:pPr>
            <w:r>
              <w:rPr>
                <w:rFonts w:ascii="Noto Sans CJK SC" w:hAnsi="Noto Sans CJK SC" w:eastAsia="Noto Sans CJK SC"/>
                <w:b/>
                <w:color w:val="173A63"/>
                <w:sz w:val="13"/>
              </w:rPr>
              <w:t>升級條件</w:t>
            </w:r>
          </w:p>
        </w:tc>
        <w:tc>
          <w:tcPr>
            <w:tcW w:type="dxa" w:w="1500"/>
            <w:tcMar>
              <w:top w:w="75" w:type="dxa"/>
              <w:start w:w="90" w:type="dxa"/>
              <w:bottom w:w="75" w:type="dxa"/>
              <w:end w:w="90" w:type="dxa"/>
            </w:tcMar>
            <w:vAlign w:val="center"/>
            <w:shd w:fill="D8E7F4"/>
          </w:tcPr>
          <w:p>
            <w:pPr>
              <w:spacing w:before="0" w:after="0" w:line="240" w:lineRule="auto"/>
            </w:pPr>
            <w:r>
              <w:rPr>
                <w:rFonts w:ascii="Noto Sans CJK SC" w:hAnsi="Noto Sans CJK SC" w:eastAsia="Noto Sans CJK SC"/>
                <w:b/>
                <w:color w:val="173A63"/>
                <w:sz w:val="13"/>
              </w:rPr>
              <w:t>統合層級／複核</w:t>
            </w:r>
          </w:p>
        </w:tc>
      </w:tr>
      <w:tr>
        <w:tc>
          <w:tcPr>
            <w:tcW w:type="dxa" w:w="175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3"/>
              </w:rPr>
              <w:t>公共人物或機關遭冒用；尚無犯罪、資安或國安證據</w:t>
            </w:r>
          </w:p>
        </w:tc>
        <w:tc>
          <w:tcPr>
            <w:tcW w:type="dxa" w:w="170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3"/>
              </w:rPr>
              <w:t>被冒用機關之發言／業務窗口</w:t>
            </w:r>
          </w:p>
        </w:tc>
        <w:tc>
          <w:tcPr>
            <w:tcW w:type="dxa" w:w="190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3"/>
              </w:rPr>
              <w:t>平台聯繫、警察鑑識或目的事業機關</w:t>
            </w:r>
          </w:p>
        </w:tc>
        <w:tc>
          <w:tcPr>
            <w:tcW w:type="dxa" w:w="205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3"/>
              </w:rPr>
              <w:t>權威澄清、查核狀態、證據保存清單</w:t>
            </w:r>
          </w:p>
        </w:tc>
        <w:tc>
          <w:tcPr>
            <w:tcW w:type="dxa" w:w="190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3"/>
              </w:rPr>
              <w:t>廣泛誤信、行為誘發或跨域危害</w:t>
            </w:r>
          </w:p>
        </w:tc>
        <w:tc>
          <w:tcPr>
            <w:tcW w:type="dxa" w:w="150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3"/>
              </w:rPr>
              <w:t>部會內處理；定時複核</w:t>
            </w:r>
          </w:p>
        </w:tc>
      </w:tr>
      <w:tr>
        <w:tc>
          <w:tcPr>
            <w:tcW w:type="dxa" w:w="175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3"/>
              </w:rPr>
              <w:t>候選人、被罷免人或選舉資訊遭深偽侵害</w:t>
            </w:r>
          </w:p>
        </w:tc>
        <w:tc>
          <w:tcPr>
            <w:tcW w:type="dxa" w:w="170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3"/>
              </w:rPr>
              <w:t>依法定選務程序之當事人與主辦選委會窗口</w:t>
            </w:r>
          </w:p>
        </w:tc>
        <w:tc>
          <w:tcPr>
            <w:tcW w:type="dxa" w:w="190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3"/>
              </w:rPr>
              <w:t>警察鑑識、平台、檢警調</w:t>
            </w:r>
          </w:p>
        </w:tc>
        <w:tc>
          <w:tcPr>
            <w:tcW w:type="dxa" w:w="205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3"/>
              </w:rPr>
              <w:t>鑑識／請求狀態及選務影響研判</w:t>
            </w:r>
          </w:p>
        </w:tc>
        <w:tc>
          <w:tcPr>
            <w:tcW w:type="dxa" w:w="190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3"/>
              </w:rPr>
              <w:t>跨縣市、協同操弄、境外介入或重大選務影響</w:t>
            </w:r>
          </w:p>
        </w:tc>
        <w:tc>
          <w:tcPr>
            <w:tcW w:type="dxa" w:w="150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3"/>
              </w:rPr>
              <w:t>中選會／行政院依職權協調</w:t>
            </w:r>
          </w:p>
        </w:tc>
      </w:tr>
      <w:tr>
        <w:tc>
          <w:tcPr>
            <w:tcW w:type="dxa" w:w="175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3"/>
              </w:rPr>
              <w:t>詐欺、恐嚇、偽造或其他犯罪疑義</w:t>
            </w:r>
          </w:p>
        </w:tc>
        <w:tc>
          <w:tcPr>
            <w:tcW w:type="dxa" w:w="170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3"/>
              </w:rPr>
              <w:t>檢警調之案件受理或偵辦窗口</w:t>
            </w:r>
          </w:p>
        </w:tc>
        <w:tc>
          <w:tcPr>
            <w:tcW w:type="dxa" w:w="190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3"/>
              </w:rPr>
              <w:t>被冒用機關、金融／通訊主管機關、平台</w:t>
            </w:r>
          </w:p>
        </w:tc>
        <w:tc>
          <w:tcPr>
            <w:tcW w:type="dxa" w:w="205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3"/>
              </w:rPr>
              <w:t>犯罪構成與證據缺口摘要</w:t>
            </w:r>
          </w:p>
        </w:tc>
        <w:tc>
          <w:tcPr>
            <w:tcW w:type="dxa" w:w="190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3"/>
              </w:rPr>
              <w:t>組織犯罪、跨境來源或公共安全重大化</w:t>
            </w:r>
          </w:p>
        </w:tc>
        <w:tc>
          <w:tcPr>
            <w:tcW w:type="dxa" w:w="150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3"/>
              </w:rPr>
              <w:t>法務／警政體系；必要時跨部會</w:t>
            </w:r>
          </w:p>
        </w:tc>
      </w:tr>
      <w:tr>
        <w:tc>
          <w:tcPr>
            <w:tcW w:type="dxa" w:w="175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3"/>
              </w:rPr>
              <w:t>政府系統入侵、資料變造或關鍵基礎設施受影響</w:t>
            </w:r>
          </w:p>
        </w:tc>
        <w:tc>
          <w:tcPr>
            <w:tcW w:type="dxa" w:w="170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3"/>
              </w:rPr>
              <w:t>受影響機關資安事件通報應變小組</w:t>
            </w:r>
          </w:p>
        </w:tc>
        <w:tc>
          <w:tcPr>
            <w:tcW w:type="dxa" w:w="190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3"/>
              </w:rPr>
              <w:t>資安署、資安院、上級或目的事業主管機關</w:t>
            </w:r>
          </w:p>
        </w:tc>
        <w:tc>
          <w:tcPr>
            <w:tcW w:type="dxa" w:w="205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3"/>
              </w:rPr>
              <w:t>一小時內依法通報、損害控制與跡證保存</w:t>
            </w:r>
          </w:p>
        </w:tc>
        <w:tc>
          <w:tcPr>
            <w:tcW w:type="dxa" w:w="190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3"/>
              </w:rPr>
              <w:t>重大資安事件、跨機關擴散或核心服務中斷</w:t>
            </w:r>
          </w:p>
        </w:tc>
        <w:tc>
          <w:tcPr>
            <w:tcW w:type="dxa" w:w="150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3"/>
              </w:rPr>
              <w:t>資安體系及行政院層級統合</w:t>
            </w:r>
          </w:p>
        </w:tc>
      </w:tr>
      <w:tr>
        <w:tc>
          <w:tcPr>
            <w:tcW w:type="dxa" w:w="175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3"/>
              </w:rPr>
              <w:t>境外協同操弄、外交誤判或重大國安影響</w:t>
            </w:r>
          </w:p>
        </w:tc>
        <w:tc>
          <w:tcPr>
            <w:tcW w:type="dxa" w:w="170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3"/>
              </w:rPr>
              <w:t>國安／調查體系研判窗口</w:t>
            </w:r>
          </w:p>
        </w:tc>
        <w:tc>
          <w:tcPr>
            <w:tcW w:type="dxa" w:w="190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3"/>
              </w:rPr>
              <w:t>外交、國防、資安、警政、數位與受影響部會</w:t>
            </w:r>
          </w:p>
        </w:tc>
        <w:tc>
          <w:tcPr>
            <w:tcW w:type="dxa" w:w="205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3"/>
              </w:rPr>
              <w:t>來源可信度、意圖、能力及影響評估</w:t>
            </w:r>
          </w:p>
        </w:tc>
        <w:tc>
          <w:tcPr>
            <w:tcW w:type="dxa" w:w="190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3"/>
              </w:rPr>
              <w:t>境外指揮證據、不可逆後果或跨領域連鎖</w:t>
            </w:r>
          </w:p>
        </w:tc>
        <w:tc>
          <w:tcPr>
            <w:tcW w:type="dxa" w:w="150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3"/>
              </w:rPr>
              <w:t>行政院／國安體系統合</w:t>
            </w:r>
          </w:p>
        </w:tc>
      </w:tr>
      <w:tr>
        <w:tc>
          <w:tcPr>
            <w:tcW w:type="dxa" w:w="175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3"/>
              </w:rPr>
              <w:t>軍事通信、戰備或正式指揮認證受到影響</w:t>
            </w:r>
          </w:p>
        </w:tc>
        <w:tc>
          <w:tcPr>
            <w:tcW w:type="dxa" w:w="170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3"/>
              </w:rPr>
              <w:t>國防部及依法定軍事指揮體系</w:t>
            </w:r>
          </w:p>
        </w:tc>
        <w:tc>
          <w:tcPr>
            <w:tcW w:type="dxa" w:w="190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3"/>
              </w:rPr>
              <w:t>國安、資安、通訊及相關部會</w:t>
            </w:r>
          </w:p>
        </w:tc>
        <w:tc>
          <w:tcPr>
            <w:tcW w:type="dxa" w:w="205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3"/>
              </w:rPr>
              <w:t>命令認證、通信完整性與戰備影響研判</w:t>
            </w:r>
          </w:p>
        </w:tc>
        <w:tc>
          <w:tcPr>
            <w:tcW w:type="dxa" w:w="190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3"/>
              </w:rPr>
              <w:t>正式通道遭穿透或作戰效果具體化</w:t>
            </w:r>
          </w:p>
        </w:tc>
        <w:tc>
          <w:tcPr>
            <w:tcW w:type="dxa" w:w="150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3"/>
              </w:rPr>
              <w:t>國防指揮體系；依授權升級</w:t>
            </w:r>
          </w:p>
        </w:tc>
      </w:tr>
    </w:tbl>
    <w:tbl>
      <w:tblPr>
        <w:tblW w:type="auto" w:w="0"/>
        <w:jc w:val="center"/>
        <w:tblLayout w:type="fixed"/>
        <w:tblLook w:firstColumn="1" w:firstRow="1" w:lastColumn="0" w:lastRow="0" w:noHBand="0" w:noVBand="1" w:val="04A0"/>
      </w:tblPr>
      <w:tblGrid>
        <w:gridCol w:w="1400"/>
        <w:gridCol w:w="2900"/>
        <w:gridCol w:w="1400"/>
        <w:gridCol w:w="2800"/>
      </w:tblGrid>
      <w:tr>
        <w:trPr>
          <w:tblHeader w:val="true"/>
        </w:trPr>
        <w:tc>
          <w:tcPr>
            <w:tcW w:type="dxa" w:w="140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5"/>
              </w:rPr>
              <w:t>本案暫時主責</w:t>
            </w:r>
          </w:p>
        </w:tc>
        <w:tc>
          <w:tcPr>
            <w:tcW w:type="dxa" w:w="290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5"/>
              </w:rPr>
              <w:t>________________________</w:t>
            </w:r>
          </w:p>
        </w:tc>
        <w:tc>
          <w:tcPr>
            <w:tcW w:type="dxa" w:w="140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5"/>
              </w:rPr>
              <w:t>協力機關</w:t>
            </w:r>
          </w:p>
        </w:tc>
        <w:tc>
          <w:tcPr>
            <w:tcW w:type="dxa" w:w="280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5"/>
              </w:rPr>
              <w:t>________________________</w:t>
            </w:r>
          </w:p>
        </w:tc>
      </w:tr>
      <w:tr>
        <w:tc>
          <w:tcPr>
            <w:tcW w:type="dxa" w:w="140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5"/>
              </w:rPr>
              <w:t>升級門檻</w:t>
            </w:r>
          </w:p>
        </w:tc>
        <w:tc>
          <w:tcPr>
            <w:tcW w:type="dxa" w:w="290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5"/>
              </w:rPr>
              <w:t>________________________</w:t>
            </w:r>
          </w:p>
        </w:tc>
        <w:tc>
          <w:tcPr>
            <w:tcW w:type="dxa" w:w="140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5"/>
              </w:rPr>
              <w:t>解除條件</w:t>
            </w:r>
          </w:p>
        </w:tc>
        <w:tc>
          <w:tcPr>
            <w:tcW w:type="dxa" w:w="280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5"/>
              </w:rPr>
              <w:t>________________________</w:t>
            </w:r>
          </w:p>
        </w:tc>
      </w:tr>
      <w:tr>
        <w:tc>
          <w:tcPr>
            <w:tcW w:type="dxa" w:w="140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5"/>
              </w:rPr>
              <w:t>下一次會報／複核</w:t>
            </w:r>
          </w:p>
        </w:tc>
        <w:tc>
          <w:tcPr>
            <w:tcW w:type="dxa" w:w="290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5"/>
              </w:rPr>
              <w:t>____年__月__日 __時__分</w:t>
            </w:r>
          </w:p>
        </w:tc>
        <w:tc>
          <w:tcPr>
            <w:tcW w:type="dxa" w:w="140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5"/>
              </w:rPr>
              <w:t>核定層級</w:t>
            </w:r>
          </w:p>
        </w:tc>
        <w:tc>
          <w:tcPr>
            <w:tcW w:type="dxa" w:w="280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5"/>
              </w:rPr>
              <w:t>________________________</w:t>
            </w:r>
          </w:p>
        </w:tc>
      </w:tr>
    </w:tbl>
    <w:p>
      <w:pPr>
        <w:pStyle w:val="Heading1"/>
        <w:pageBreakBefore/>
      </w:pPr>
      <w:r>
        <w:rPr>
          <w:rFonts w:ascii="Noto Sans CJK SC" w:hAnsi="Noto Sans CJK SC" w:eastAsia="Noto Sans CJK SC"/>
        </w:rPr>
        <w:t>附表8　事件後七項治理審計檢核表</w:t>
      </w:r>
    </w:p>
    <w:p>
      <w:pPr>
        <w:spacing w:after="80"/>
      </w:pPr>
      <w:r>
        <w:rPr>
          <w:rFonts w:ascii="Noto Sans CJK SC" w:hAnsi="Noto Sans CJK SC" w:eastAsia="Noto Sans CJK SC"/>
          <w:sz w:val="16"/>
        </w:rPr>
        <w:t>用途：事件解除或降級後，由主責及協力機關共同留下制度紀錄。理由審計與責任審計必須分開：前者檢查「為何可如此決定」，後者檢查「若錯誤或延誤由誰承擔」。</w:t>
      </w:r>
    </w:p>
    <w:tbl>
      <w:tblPr>
        <w:tblW w:type="auto" w:w="0"/>
        <w:jc w:val="center"/>
        <w:tblLayout w:type="fixed"/>
        <w:tblLook w:firstColumn="1" w:firstRow="1" w:lastColumn="0" w:lastRow="0" w:noHBand="0" w:noVBand="1" w:val="04A0"/>
      </w:tblPr>
      <w:tblGrid>
        <w:gridCol w:w="1400"/>
        <w:gridCol w:w="2850"/>
        <w:gridCol w:w="2750"/>
        <w:gridCol w:w="1450"/>
        <w:gridCol w:w="1100"/>
        <w:gridCol w:w="1200"/>
      </w:tblGrid>
      <w:tr>
        <w:trPr>
          <w:tblHeader w:val="true"/>
        </w:trPr>
        <w:tc>
          <w:tcPr>
            <w:tcW w:type="dxa" w:w="1400"/>
            <w:tcMar>
              <w:top w:w="75" w:type="dxa"/>
              <w:start w:w="90" w:type="dxa"/>
              <w:bottom w:w="75" w:type="dxa"/>
              <w:end w:w="90" w:type="dxa"/>
            </w:tcMar>
            <w:vAlign w:val="center"/>
            <w:shd w:fill="D8E7F4"/>
          </w:tcPr>
          <w:p>
            <w:pPr>
              <w:spacing w:before="0" w:after="0" w:line="240" w:lineRule="auto"/>
            </w:pPr>
            <w:r>
              <w:t>治理審計</w:t>
            </w:r>
          </w:p>
        </w:tc>
        <w:tc>
          <w:tcPr>
            <w:tcW w:type="dxa" w:w="2850"/>
            <w:tcMar>
              <w:top w:w="75" w:type="dxa"/>
              <w:start w:w="90" w:type="dxa"/>
              <w:bottom w:w="75" w:type="dxa"/>
              <w:end w:w="90" w:type="dxa"/>
            </w:tcMar>
            <w:vAlign w:val="center"/>
            <w:shd w:fill="D8E7F4"/>
          </w:tcPr>
          <w:p>
            <w:pPr>
              <w:spacing w:before="0" w:after="0" w:line="240" w:lineRule="auto"/>
            </w:pPr>
            <w:r>
              <w:rPr>
                <w:rFonts w:ascii="Noto Sans CJK SC" w:hAnsi="Noto Sans CJK SC" w:eastAsia="Noto Sans CJK SC"/>
                <w:b/>
                <w:color w:val="173A63"/>
                <w:sz w:val="14"/>
              </w:rPr>
              <w:t>事後核心問題</w:t>
            </w:r>
          </w:p>
        </w:tc>
        <w:tc>
          <w:tcPr>
            <w:tcW w:type="dxa" w:w="2750"/>
            <w:tcMar>
              <w:top w:w="75" w:type="dxa"/>
              <w:start w:w="90" w:type="dxa"/>
              <w:bottom w:w="75" w:type="dxa"/>
              <w:end w:w="90" w:type="dxa"/>
            </w:tcMar>
            <w:vAlign w:val="center"/>
            <w:shd w:fill="D8E7F4"/>
          </w:tcPr>
          <w:p>
            <w:pPr>
              <w:spacing w:before="0" w:after="0" w:line="240" w:lineRule="auto"/>
            </w:pPr>
            <w:r>
              <w:rPr>
                <w:rFonts w:ascii="Noto Sans CJK SC" w:hAnsi="Noto Sans CJK SC" w:eastAsia="Noto Sans CJK SC"/>
                <w:b/>
                <w:color w:val="173A63"/>
                <w:sz w:val="14"/>
              </w:rPr>
              <w:t>最低應留證據</w:t>
            </w:r>
          </w:p>
        </w:tc>
        <w:tc>
          <w:tcPr>
            <w:tcW w:type="dxa" w:w="1450"/>
            <w:tcMar>
              <w:top w:w="75" w:type="dxa"/>
              <w:start w:w="90" w:type="dxa"/>
              <w:bottom w:w="75" w:type="dxa"/>
              <w:end w:w="90" w:type="dxa"/>
            </w:tcMar>
            <w:vAlign w:val="center"/>
            <w:shd w:fill="D8E7F4"/>
          </w:tcPr>
          <w:p>
            <w:pPr>
              <w:spacing w:before="0" w:after="0" w:line="240" w:lineRule="auto"/>
            </w:pPr>
            <w:r>
              <w:rPr>
                <w:rFonts w:ascii="Noto Sans CJK SC" w:hAnsi="Noto Sans CJK SC" w:eastAsia="Noto Sans CJK SC"/>
                <w:b/>
                <w:color w:val="173A63"/>
                <w:sz w:val="14"/>
              </w:rPr>
              <w:t>結果</w:t>
            </w:r>
          </w:p>
        </w:tc>
        <w:tc>
          <w:tcPr>
            <w:tcW w:type="dxa" w:w="1100"/>
            <w:tcMar>
              <w:top w:w="75" w:type="dxa"/>
              <w:start w:w="90" w:type="dxa"/>
              <w:bottom w:w="75" w:type="dxa"/>
              <w:end w:w="90" w:type="dxa"/>
            </w:tcMar>
            <w:vAlign w:val="center"/>
            <w:shd w:fill="D8E7F4"/>
          </w:tcPr>
          <w:p>
            <w:pPr>
              <w:spacing w:before="0" w:after="0" w:line="240" w:lineRule="auto"/>
            </w:pPr>
            <w:r>
              <w:rPr>
                <w:rFonts w:ascii="Noto Sans CJK SC" w:hAnsi="Noto Sans CJK SC" w:eastAsia="Noto Sans CJK SC"/>
                <w:b/>
                <w:color w:val="173A63"/>
                <w:sz w:val="14"/>
              </w:rPr>
              <w:t>改善主責</w:t>
            </w:r>
          </w:p>
        </w:tc>
        <w:tc>
          <w:tcPr>
            <w:tcW w:type="dxa" w:w="1200"/>
            <w:tcMar>
              <w:top w:w="75" w:type="dxa"/>
              <w:start w:w="90" w:type="dxa"/>
              <w:bottom w:w="75" w:type="dxa"/>
              <w:end w:w="90" w:type="dxa"/>
            </w:tcMar>
            <w:vAlign w:val="center"/>
            <w:shd w:fill="D8E7F4"/>
          </w:tcPr>
          <w:p>
            <w:pPr>
              <w:spacing w:before="0" w:after="0" w:line="240" w:lineRule="auto"/>
            </w:pPr>
            <w:r>
              <w:rPr>
                <w:rFonts w:ascii="Noto Sans CJK SC" w:hAnsi="Noto Sans CJK SC" w:eastAsia="Noto Sans CJK SC"/>
                <w:b/>
                <w:color w:val="173A63"/>
                <w:sz w:val="14"/>
              </w:rPr>
              <w:t>期限／追蹤</w:t>
            </w:r>
          </w:p>
        </w:tc>
      </w:tr>
      <w:tr>
        <w:tc>
          <w:tcPr>
            <w:tcW w:type="dxa" w:w="140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4"/>
              </w:rPr>
              <w:t>1 資料代表性</w:t>
            </w:r>
          </w:p>
        </w:tc>
        <w:tc>
          <w:tcPr>
            <w:tcW w:type="dxa" w:w="285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4"/>
              </w:rPr>
              <w:t>研判資料是否涵蓋來源、傳播、受影響群體與反證？</w:t>
            </w:r>
          </w:p>
        </w:tc>
        <w:tc>
          <w:tcPr>
            <w:tcW w:type="dxa" w:w="275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4"/>
              </w:rPr>
              <w:t>原始檔、網址、時間軸、來源與資料缺口</w:t>
            </w:r>
          </w:p>
        </w:tc>
        <w:tc>
          <w:tcPr>
            <w:tcW w:type="dxa" w:w="145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4"/>
              </w:rPr>
              <w:t>□通過 □改善 □不明</w:t>
            </w:r>
          </w:p>
        </w:tc>
        <w:tc>
          <w:tcPr>
            <w:tcW w:type="dxa" w:w="110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4"/>
              </w:rPr>
              <w:t>________</w:t>
            </w:r>
          </w:p>
        </w:tc>
        <w:tc>
          <w:tcPr>
            <w:tcW w:type="dxa" w:w="120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4"/>
              </w:rPr>
              <w:t>________</w:t>
            </w:r>
          </w:p>
        </w:tc>
      </w:tr>
      <w:tr>
        <w:tc>
          <w:tcPr>
            <w:tcW w:type="dxa" w:w="140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4"/>
              </w:rPr>
              <w:t>2 理由說明</w:t>
            </w:r>
          </w:p>
        </w:tc>
        <w:tc>
          <w:tcPr>
            <w:tcW w:type="dxa" w:w="285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4"/>
              </w:rPr>
              <w:t>採取、維持、升級或解除措施的理由能否追溯？</w:t>
            </w:r>
          </w:p>
        </w:tc>
        <w:tc>
          <w:tcPr>
            <w:tcW w:type="dxa" w:w="275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4"/>
              </w:rPr>
              <w:t>決策摘要、法源、比例判斷、替代方案</w:t>
            </w:r>
          </w:p>
        </w:tc>
        <w:tc>
          <w:tcPr>
            <w:tcW w:type="dxa" w:w="145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4"/>
              </w:rPr>
              <w:t>□通過 □改善 □不明</w:t>
            </w:r>
          </w:p>
        </w:tc>
        <w:tc>
          <w:tcPr>
            <w:tcW w:type="dxa" w:w="110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4"/>
              </w:rPr>
              <w:t>________</w:t>
            </w:r>
          </w:p>
        </w:tc>
        <w:tc>
          <w:tcPr>
            <w:tcW w:type="dxa" w:w="120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4"/>
              </w:rPr>
              <w:t>________</w:t>
            </w:r>
          </w:p>
        </w:tc>
      </w:tr>
      <w:tr>
        <w:tc>
          <w:tcPr>
            <w:tcW w:type="dxa" w:w="140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4"/>
              </w:rPr>
              <w:t>3 責任歸屬</w:t>
            </w:r>
          </w:p>
        </w:tc>
        <w:tc>
          <w:tcPr>
            <w:tcW w:type="dxa" w:w="285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4"/>
              </w:rPr>
              <w:t>誤判、延誤、過度限制或復原失敗由誰說明與補救？</w:t>
            </w:r>
          </w:p>
        </w:tc>
        <w:tc>
          <w:tcPr>
            <w:tcW w:type="dxa" w:w="275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4"/>
              </w:rPr>
              <w:t>權責紀錄、核定層級、補救與通知資料</w:t>
            </w:r>
          </w:p>
        </w:tc>
        <w:tc>
          <w:tcPr>
            <w:tcW w:type="dxa" w:w="145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4"/>
              </w:rPr>
              <w:t>□通過 □改善 □不明</w:t>
            </w:r>
          </w:p>
        </w:tc>
        <w:tc>
          <w:tcPr>
            <w:tcW w:type="dxa" w:w="110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4"/>
              </w:rPr>
              <w:t>________</w:t>
            </w:r>
          </w:p>
        </w:tc>
        <w:tc>
          <w:tcPr>
            <w:tcW w:type="dxa" w:w="120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4"/>
              </w:rPr>
              <w:t>________</w:t>
            </w:r>
          </w:p>
        </w:tc>
      </w:tr>
      <w:tr>
        <w:tc>
          <w:tcPr>
            <w:tcW w:type="dxa" w:w="140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4"/>
              </w:rPr>
              <w:t>4 隱私與資安</w:t>
            </w:r>
          </w:p>
        </w:tc>
        <w:tc>
          <w:tcPr>
            <w:tcW w:type="dxa" w:w="285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4"/>
              </w:rPr>
              <w:t>蒐集、交換、保存及揭露是否必要且受到保護？</w:t>
            </w:r>
          </w:p>
        </w:tc>
        <w:tc>
          <w:tcPr>
            <w:tcW w:type="dxa" w:w="275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4"/>
              </w:rPr>
              <w:t>存取紀錄、保存期限、資安與個資處理依據</w:t>
            </w:r>
          </w:p>
        </w:tc>
        <w:tc>
          <w:tcPr>
            <w:tcW w:type="dxa" w:w="145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4"/>
              </w:rPr>
              <w:t>□通過 □改善 □不明</w:t>
            </w:r>
          </w:p>
        </w:tc>
        <w:tc>
          <w:tcPr>
            <w:tcW w:type="dxa" w:w="110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4"/>
              </w:rPr>
              <w:t>________</w:t>
            </w:r>
          </w:p>
        </w:tc>
        <w:tc>
          <w:tcPr>
            <w:tcW w:type="dxa" w:w="120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4"/>
              </w:rPr>
              <w:t>________</w:t>
            </w:r>
          </w:p>
        </w:tc>
      </w:tr>
      <w:tr>
        <w:tc>
          <w:tcPr>
            <w:tcW w:type="dxa" w:w="140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4"/>
              </w:rPr>
              <w:t>5 裁量邊界</w:t>
            </w:r>
          </w:p>
        </w:tc>
        <w:tc>
          <w:tcPr>
            <w:tcW w:type="dxa" w:w="285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4"/>
              </w:rPr>
              <w:t>暫時措施是否有期限、解除條件、申訴與救濟？</w:t>
            </w:r>
          </w:p>
        </w:tc>
        <w:tc>
          <w:tcPr>
            <w:tcW w:type="dxa" w:w="275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4"/>
              </w:rPr>
              <w:t>授權依據、期限、複核、解除及救濟紀錄</w:t>
            </w:r>
          </w:p>
        </w:tc>
        <w:tc>
          <w:tcPr>
            <w:tcW w:type="dxa" w:w="145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4"/>
              </w:rPr>
              <w:t>□通過 □改善 □不明</w:t>
            </w:r>
          </w:p>
        </w:tc>
        <w:tc>
          <w:tcPr>
            <w:tcW w:type="dxa" w:w="110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4"/>
              </w:rPr>
              <w:t>________</w:t>
            </w:r>
          </w:p>
        </w:tc>
        <w:tc>
          <w:tcPr>
            <w:tcW w:type="dxa" w:w="120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4"/>
              </w:rPr>
              <w:t>________</w:t>
            </w:r>
          </w:p>
        </w:tc>
      </w:tr>
      <w:tr>
        <w:tc>
          <w:tcPr>
            <w:tcW w:type="dxa" w:w="140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4"/>
              </w:rPr>
              <w:t>6 組織能力</w:t>
            </w:r>
          </w:p>
        </w:tc>
        <w:tc>
          <w:tcPr>
            <w:tcW w:type="dxa" w:w="285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4"/>
              </w:rPr>
              <w:t>人力、技術、通報、鑑識及跨機關協作是否足夠？</w:t>
            </w:r>
          </w:p>
        </w:tc>
        <w:tc>
          <w:tcPr>
            <w:tcW w:type="dxa" w:w="275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4"/>
              </w:rPr>
              <w:t>處理時序、資源缺口、演練與支援紀錄</w:t>
            </w:r>
          </w:p>
        </w:tc>
        <w:tc>
          <w:tcPr>
            <w:tcW w:type="dxa" w:w="145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4"/>
              </w:rPr>
              <w:t>□通過 □改善 □不明</w:t>
            </w:r>
          </w:p>
        </w:tc>
        <w:tc>
          <w:tcPr>
            <w:tcW w:type="dxa" w:w="110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4"/>
              </w:rPr>
              <w:t>________</w:t>
            </w:r>
          </w:p>
        </w:tc>
        <w:tc>
          <w:tcPr>
            <w:tcW w:type="dxa" w:w="120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4"/>
              </w:rPr>
              <w:t>________</w:t>
            </w:r>
          </w:p>
        </w:tc>
      </w:tr>
      <w:tr>
        <w:tc>
          <w:tcPr>
            <w:tcW w:type="dxa" w:w="140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4"/>
              </w:rPr>
              <w:t>7 民主課責</w:t>
            </w:r>
          </w:p>
        </w:tc>
        <w:tc>
          <w:tcPr>
            <w:tcW w:type="dxa" w:w="285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4"/>
              </w:rPr>
              <w:t>對外說明是否兼顧真實、權利、公共利益與可問責性？</w:t>
            </w:r>
          </w:p>
        </w:tc>
        <w:tc>
          <w:tcPr>
            <w:tcW w:type="dxa" w:w="275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4"/>
              </w:rPr>
              <w:t>公開說明、利害關係人回應、監督與復盤紀錄</w:t>
            </w:r>
          </w:p>
        </w:tc>
        <w:tc>
          <w:tcPr>
            <w:tcW w:type="dxa" w:w="145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4"/>
              </w:rPr>
              <w:t>□通過 □改善 □不明</w:t>
            </w:r>
          </w:p>
        </w:tc>
        <w:tc>
          <w:tcPr>
            <w:tcW w:type="dxa" w:w="110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4"/>
              </w:rPr>
              <w:t>________</w:t>
            </w:r>
          </w:p>
        </w:tc>
        <w:tc>
          <w:tcPr>
            <w:tcW w:type="dxa" w:w="120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4"/>
              </w:rPr>
              <w:t>________</w:t>
            </w:r>
          </w:p>
        </w:tc>
      </w:tr>
    </w:tbl>
    <w:tbl>
      <w:tblPr>
        <w:tblW w:type="auto" w:w="0"/>
        <w:jc w:val="center"/>
        <w:tblLayout w:type="fixed"/>
        <w:tblLook w:firstColumn="1" w:firstRow="1" w:lastColumn="0" w:lastRow="0" w:noHBand="0" w:noVBand="1" w:val="04A0"/>
      </w:tblPr>
      <w:tblGrid>
        <w:gridCol w:w="1250"/>
        <w:gridCol w:w="3500"/>
        <w:gridCol w:w="1250"/>
        <w:gridCol w:w="2500"/>
      </w:tblGrid>
      <w:tr>
        <w:trPr>
          <w:tblHeader w:val="true"/>
        </w:trPr>
        <w:tc>
          <w:tcPr>
            <w:tcW w:type="dxa" w:w="125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5"/>
              </w:rPr>
              <w:t>事件結果</w:t>
            </w:r>
          </w:p>
        </w:tc>
        <w:tc>
          <w:tcPr>
            <w:tcW w:type="dxa" w:w="350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5"/>
              </w:rPr>
              <w:t>□解除　□降級　□移送　□持續監測</w:t>
            </w:r>
          </w:p>
        </w:tc>
        <w:tc>
          <w:tcPr>
            <w:tcW w:type="dxa" w:w="125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5"/>
              </w:rPr>
              <w:t>復盤日期</w:t>
            </w:r>
          </w:p>
        </w:tc>
        <w:tc>
          <w:tcPr>
            <w:tcW w:type="dxa" w:w="250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5"/>
              </w:rPr>
              <w:t>____年__月__日</w:t>
            </w:r>
          </w:p>
        </w:tc>
      </w:tr>
      <w:tr>
        <w:tc>
          <w:tcPr>
            <w:tcW w:type="dxa" w:w="125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5"/>
              </w:rPr>
              <w:t>主要制度缺口</w:t>
            </w:r>
          </w:p>
        </w:tc>
        <w:tc>
          <w:tcPr>
            <w:tcW w:type="dxa" w:w="350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5"/>
              </w:rPr>
              <w:t>________________________________</w:t>
            </w:r>
          </w:p>
        </w:tc>
        <w:tc>
          <w:tcPr>
            <w:tcW w:type="dxa" w:w="125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5"/>
              </w:rPr>
              <w:t>改善主責</w:t>
            </w:r>
          </w:p>
        </w:tc>
        <w:tc>
          <w:tcPr>
            <w:tcW w:type="dxa" w:w="250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5"/>
              </w:rPr>
              <w:t>________________</w:t>
            </w:r>
          </w:p>
        </w:tc>
      </w:tr>
      <w:tr>
        <w:tc>
          <w:tcPr>
            <w:tcW w:type="dxa" w:w="125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5"/>
              </w:rPr>
              <w:t>改善措施</w:t>
            </w:r>
          </w:p>
        </w:tc>
        <w:tc>
          <w:tcPr>
            <w:tcW w:type="dxa" w:w="350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5"/>
              </w:rPr>
              <w:t>________________________________</w:t>
            </w:r>
          </w:p>
        </w:tc>
        <w:tc>
          <w:tcPr>
            <w:tcW w:type="dxa" w:w="125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5"/>
              </w:rPr>
              <w:t>完成期限</w:t>
            </w:r>
          </w:p>
        </w:tc>
        <w:tc>
          <w:tcPr>
            <w:tcW w:type="dxa" w:w="2500"/>
            <w:tcMar>
              <w:top w:w="75" w:type="dxa"/>
              <w:start w:w="90" w:type="dxa"/>
              <w:bottom w:w="75" w:type="dxa"/>
              <w:end w:w="90" w:type="dxa"/>
            </w:tcMar>
            <w:vAlign w:val="center"/>
            <w:shd w:fill="F5F8FB"/>
          </w:tcPr>
          <w:p>
            <w:pPr>
              <w:spacing w:before="0" w:after="0" w:line="240" w:lineRule="auto"/>
            </w:pPr>
            <w:r>
              <w:rPr>
                <w:rFonts w:ascii="Noto Sans CJK SC" w:hAnsi="Noto Sans CJK SC" w:eastAsia="Noto Sans CJK SC"/>
                <w:sz w:val="15"/>
              </w:rPr>
              <w:t>____年__月__日</w:t>
            </w:r>
          </w:p>
        </w:tc>
      </w:tr>
      <w:tr>
        <w:tc>
          <w:tcPr>
            <w:tcW w:type="dxa" w:w="125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5"/>
              </w:rPr>
              <w:t>公開程度</w:t>
            </w:r>
          </w:p>
        </w:tc>
        <w:tc>
          <w:tcPr>
            <w:tcW w:type="dxa" w:w="350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5"/>
              </w:rPr>
              <w:t>□公開摘要　□部分公開　□依法不公開；理由：________</w:t>
            </w:r>
          </w:p>
        </w:tc>
        <w:tc>
          <w:tcPr>
            <w:tcW w:type="dxa" w:w="125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5"/>
              </w:rPr>
              <w:t>追蹤會議</w:t>
            </w:r>
          </w:p>
        </w:tc>
        <w:tc>
          <w:tcPr>
            <w:tcW w:type="dxa" w:w="2500"/>
            <w:tcMar>
              <w:top w:w="75" w:type="dxa"/>
              <w:start w:w="90" w:type="dxa"/>
              <w:bottom w:w="75" w:type="dxa"/>
              <w:end w:w="90" w:type="dxa"/>
            </w:tcMar>
            <w:vAlign w:val="center"/>
          </w:tcPr>
          <w:p>
            <w:pPr>
              <w:spacing w:before="0" w:after="0" w:line="240" w:lineRule="auto"/>
            </w:pPr>
            <w:r>
              <w:rPr>
                <w:rFonts w:ascii="Noto Sans CJK SC" w:hAnsi="Noto Sans CJK SC" w:eastAsia="Noto Sans CJK SC"/>
                <w:sz w:val="15"/>
              </w:rPr>
              <w:t>____年__月__日</w:t>
            </w:r>
          </w:p>
        </w:tc>
      </w:tr>
    </w:tbl>
    <w:p>
      <w:pPr>
        <w:spacing w:after="80"/>
      </w:pPr>
      <w:r>
        <w:rPr>
          <w:rFonts w:ascii="Noto Sans CJK SC" w:hAnsi="Noto Sans CJK SC" w:eastAsia="Noto Sans CJK SC"/>
          <w:sz w:val="16"/>
        </w:rPr>
        <w:t>評分方式：可另依附表2的0—4級判準評分；不適用（N/A）不得記為零分。單一事件的檢核結果不代表機關整體治理績效。</w:t>
      </w:r>
    </w:p>
    <w:p>
      <w:pPr>
        <w:pStyle w:val="Heading1"/>
        <w:pageBreakBefore/>
        <w:spacing w:before="0" w:after="120"/>
      </w:pPr>
      <w:r>
        <w:rPr>
          <w:rFonts w:ascii="Noto Sans CJK SC" w:hAnsi="Noto Sans CJK SC" w:eastAsia="Noto Sans CJK SC"/>
        </w:rPr>
        <w:t>參考文獻</w:t>
      </w:r>
    </w:p>
    <w:p>
      <w:pPr>
        <w:keepLines/>
        <w:spacing w:before="0" w:after="100" w:line="276" w:lineRule="auto"/>
        <w:ind w:left="432" w:hanging="432"/>
        <w:jc w:val="left"/>
      </w:pPr>
      <w:r>
        <w:rPr>
          <w:rFonts w:ascii="Noto Sans CJK SC" w:hAnsi="Noto Sans CJK SC" w:eastAsia="Noto Sans CJK SC"/>
        </w:rPr>
        <w:t>中央選舉委員會。（無日期）。《深度偽造聲音影像侵害排除請求書》。https://web.cec.gov.tw/api/file/ec7387b1-caea-4788-b472-6864986b6ae6.pdf</w:t>
      </w:r>
    </w:p>
    <w:p>
      <w:pPr>
        <w:keepLines/>
        <w:spacing w:after="100" w:line="276" w:lineRule="auto"/>
        <w:ind w:left="432" w:hanging="432"/>
      </w:pPr>
      <w:r>
        <w:rPr>
          <w:rFonts w:ascii="Noto Sans CJK SC" w:hAnsi="Noto Sans CJK SC" w:eastAsia="Noto Sans CJK SC"/>
        </w:rPr>
        <w:t>中央通訊社。（2026年7月26日）。AI冒用總統聲音：法律專家指恐涉偽造文書等刑責。https://www.cna.com.tw/news/aipl/202607260088.aspx</w:t>
      </w:r>
    </w:p>
    <w:p>
      <w:pPr>
        <w:keepLines/>
        <w:spacing w:after="100" w:line="276" w:lineRule="auto"/>
        <w:ind w:left="432" w:hanging="432"/>
      </w:pPr>
      <w:r>
        <w:rPr>
          <w:rFonts w:ascii="Noto Sans CJK SC" w:hAnsi="Noto Sans CJK SC" w:eastAsia="Noto Sans CJK SC"/>
        </w:rPr>
        <w:t>台灣事實查核中心。（2023年11月29日）。賴清德說藍白合是對的組合？AI變造影片現身台灣總統選戰。https://tfc-taiwan.org.tw/migration_article_105106_9949/</w:t>
      </w:r>
    </w:p>
    <w:p>
      <w:pPr>
        <w:keepLines/>
        <w:spacing w:after="100" w:line="276" w:lineRule="auto"/>
        <w:ind w:left="432" w:hanging="432"/>
      </w:pPr>
      <w:r>
        <w:rPr>
          <w:rFonts w:ascii="Noto Sans CJK SC" w:hAnsi="Noto Sans CJK SC" w:eastAsia="Noto Sans CJK SC"/>
        </w:rPr>
        <w:t>行政院國土安全辦公室。（2025）。《國家關鍵基礎設施應用人工智慧參考指引》。https://ohs.ey.gov.tw/File/C5E29BFB9E72EAB9</w:t>
      </w:r>
    </w:p>
    <w:p>
      <w:pPr>
        <w:keepLines/>
        <w:spacing w:after="100" w:line="276" w:lineRule="auto"/>
        <w:ind w:left="432" w:hanging="432"/>
      </w:pPr>
      <w:r>
        <w:rPr>
          <w:rFonts w:ascii="Noto Sans CJK SC" w:hAnsi="Noto Sans CJK SC" w:eastAsia="Noto Sans CJK SC"/>
        </w:rPr>
        <w:t>余和謙。（2019）。人工智慧之治理——以深度偽造為例。《科技法律透析》，31（8），52–72。</w:t>
      </w:r>
    </w:p>
    <w:p>
      <w:pPr>
        <w:keepLines/>
        <w:spacing w:after="100" w:line="276" w:lineRule="auto"/>
        <w:ind w:left="432" w:hanging="432"/>
      </w:pPr>
      <w:r>
        <w:rPr>
          <w:rFonts w:ascii="Noto Sans CJK SC" w:hAnsi="Noto Sans CJK SC" w:eastAsia="Noto Sans CJK SC"/>
        </w:rPr>
        <w:t>林彥廷。（2025）。深度偽造聲音影像妨害選舉公正性之立法評析。《月旦律評》，45，95–104。https://doi.org/10.53106/279069734508</w:t>
      </w:r>
    </w:p>
    <w:p>
      <w:pPr>
        <w:keepLines/>
        <w:spacing w:after="100" w:line="276" w:lineRule="auto"/>
        <w:ind w:left="432" w:hanging="432"/>
      </w:pPr>
      <w:r>
        <w:rPr>
          <w:rFonts w:ascii="Noto Sans CJK SC" w:hAnsi="Noto Sans CJK SC" w:eastAsia="Noto Sans CJK SC"/>
        </w:rPr>
        <w:t>國防部。（無日期）。國防組織：國防體制與權責。https://www.mnd.gov.tw/publication/71861</w:t>
      </w:r>
    </w:p>
    <w:p>
      <w:pPr>
        <w:keepLines/>
        <w:spacing w:after="100" w:line="276" w:lineRule="auto"/>
        <w:ind w:left="432" w:hanging="432"/>
      </w:pPr>
      <w:r>
        <w:rPr>
          <w:rFonts w:ascii="Noto Sans CJK SC" w:hAnsi="Noto Sans CJK SC" w:eastAsia="Noto Sans CJK SC"/>
        </w:rPr>
        <w:t>國家通訊傳播委員會。（2025）。《網際網路內容管理基本規範及分工原則》。https://api.ncc.gov.tw/fckdowndoc?file=5603_51498_250626_1.pdf&amp;flag=doc</w:t>
      </w:r>
    </w:p>
    <w:p>
      <w:pPr>
        <w:keepLines/>
        <w:spacing w:after="100" w:line="276" w:lineRule="auto"/>
        <w:ind w:left="432" w:hanging="432"/>
      </w:pPr>
      <w:r>
        <w:rPr>
          <w:rFonts w:ascii="Noto Sans CJK SC" w:hAnsi="Noto Sans CJK SC" w:eastAsia="Noto Sans CJK SC"/>
        </w:rPr>
        <w:t>數位發展部。（無日期）。《資通安全事件通報應變及演練辦法》（第6、8、11條）。https://law.moda.gov.tw/LawContent.aspx?id=FL089967</w:t>
      </w:r>
    </w:p>
    <w:p>
      <w:pPr>
        <w:keepLines/>
        <w:spacing w:after="100" w:line="276" w:lineRule="auto"/>
        <w:ind w:left="432" w:hanging="432"/>
      </w:pPr>
      <w:r>
        <w:rPr>
          <w:rFonts w:ascii="Noto Sans CJK SC" w:hAnsi="Noto Sans CJK SC" w:eastAsia="Noto Sans CJK SC"/>
        </w:rPr>
        <w:t>數位發展部資通安全署。（無日期a）。資通安全事件通報及應變。https://moda.gov.tw/ACS/operations/notification-and-response/656</w:t>
      </w:r>
    </w:p>
    <w:p>
      <w:pPr>
        <w:keepLines/>
        <w:spacing w:after="100" w:line="276" w:lineRule="auto"/>
        <w:ind w:left="432" w:hanging="432"/>
      </w:pPr>
      <w:r>
        <w:rPr>
          <w:rFonts w:ascii="Noto Sans CJK SC" w:hAnsi="Noto Sans CJK SC" w:eastAsia="Noto Sans CJK SC"/>
        </w:rPr>
        <w:t>數位發展部資通安全署。（無日期b）。《各機關資通安全事件通報及應變處理作業程序》。https://law.moda.gov.tw/LawContent.aspx?id=FL095461</w:t>
      </w:r>
    </w:p>
    <w:p>
      <w:pPr>
        <w:keepLines/>
        <w:spacing w:after="100" w:line="276" w:lineRule="auto"/>
        <w:ind w:left="432" w:hanging="432"/>
      </w:pPr>
      <w:r>
        <w:rPr>
          <w:rFonts w:ascii="Noto Sans CJK SC" w:hAnsi="Noto Sans CJK SC" w:eastAsia="Noto Sans CJK SC"/>
        </w:rPr>
        <w:t>蔡碧玉。（2024）。利用深度偽造（Deepfake）犯罪在我國的刑事規制。《月旦裁判時報》，144，77–85。https://doi.org/10.53106/207798362024060144009</w:t>
      </w:r>
    </w:p>
    <w:p>
      <w:pPr>
        <w:keepLines/>
        <w:spacing w:after="100" w:line="276" w:lineRule="auto"/>
        <w:ind w:left="432" w:hanging="432"/>
      </w:pPr>
      <w:r>
        <w:rPr>
          <w:rFonts w:ascii="Noto Sans CJK SC" w:hAnsi="Noto Sans CJK SC" w:eastAsia="Noto Sans CJK SC"/>
        </w:rPr>
        <w:t>盧建旭（1996a）。公共行政學的文獻回顧架構。《空大行政學報》，5，177–210。</w:t>
      </w:r>
    </w:p>
    <w:p>
      <w:pPr>
        <w:keepLines/>
        <w:spacing w:after="100" w:line="276" w:lineRule="auto"/>
        <w:ind w:left="432" w:hanging="432"/>
      </w:pPr>
      <w:r>
        <w:rPr>
          <w:rFonts w:ascii="Noto Sans CJK SC" w:hAnsi="Noto Sans CJK SC" w:eastAsia="Noto Sans CJK SC"/>
        </w:rPr>
        <w:t>盧建旭（2026）。重新概念化人工智慧治理：公共行政理論視角下的二十五治理座標、三種行政權力功能性移轉、三項結構效應、四條治理鏈與七項治理審計。個人學術網站研究稿。</w:t>
      </w:r>
    </w:p>
    <w:p>
      <w:pPr>
        <w:keepLines/>
        <w:spacing w:after="100" w:line="276" w:lineRule="auto"/>
        <w:ind w:left="432" w:hanging="432"/>
      </w:pPr>
      <w:r>
        <w:rPr>
          <w:rFonts w:ascii="Noto Sans CJK SC" w:hAnsi="Noto Sans CJK SC" w:eastAsia="Noto Sans CJK SC"/>
        </w:rPr>
        <w:t>Cybersecurity and Infrastructure Security Agency. (2024). Risk in focus: Generative AI and the 2024 election cycle. https://www.cisa.gov/sites/default/files/2024-01/Consolidated_Risk_in_Focus_Gen_AI_Elections_508c.pdf</w:t>
      </w:r>
    </w:p>
    <w:p>
      <w:pPr>
        <w:keepLines/>
        <w:spacing w:after="100" w:line="276" w:lineRule="auto"/>
        <w:ind w:left="432" w:hanging="432"/>
      </w:pPr>
      <w:r>
        <w:rPr>
          <w:rFonts w:ascii="Noto Sans CJK SC" w:hAnsi="Noto Sans CJK SC" w:eastAsia="Noto Sans CJK SC"/>
        </w:rPr>
        <w:t>Daolio, A. (2025). 從威脅到日常？台灣的公民社會、國家與AI生成假訊息的吸收 [Master’s thesis, National Taiwan University]. National Digital Library of Theses and Dissertations in Taiwan.</w:t>
      </w:r>
    </w:p>
    <w:p>
      <w:pPr>
        <w:keepLines/>
        <w:spacing w:after="100" w:line="276" w:lineRule="auto"/>
        <w:ind w:left="432" w:hanging="432"/>
      </w:pPr>
      <w:r>
        <w:rPr>
          <w:rFonts w:ascii="Noto Sans CJK SC" w:hAnsi="Noto Sans CJK SC" w:eastAsia="Noto Sans CJK SC"/>
        </w:rPr>
        <w:t>Defense Advanced Research Projects Agency. (n.d.). Semantic Forensics (SemaFor). https://www.darpa.mil/research/programs/semantic-forensics</w:t>
      </w:r>
    </w:p>
    <w:p>
      <w:pPr>
        <w:keepLines/>
        <w:spacing w:after="100" w:line="276" w:lineRule="auto"/>
        <w:ind w:left="432" w:hanging="432"/>
      </w:pPr>
      <w:r>
        <w:rPr>
          <w:rFonts w:ascii="Noto Sans CJK SC" w:hAnsi="Noto Sans CJK SC" w:eastAsia="Noto Sans CJK SC"/>
        </w:rPr>
        <w:t>European Commission. (2024a, December 5). Commission, online platforms and civil society increase monitoring during Romanian elections. https://digital-strategy.ec.europa.eu/en/news/commission-online-platforms-and-civil-society-increase-monitoring-during-romanian-elections</w:t>
      </w:r>
    </w:p>
    <w:p>
      <w:pPr>
        <w:keepLines/>
        <w:spacing w:after="100" w:line="276" w:lineRule="auto"/>
        <w:ind w:left="432" w:hanging="432"/>
      </w:pPr>
      <w:r>
        <w:rPr>
          <w:rFonts w:ascii="Noto Sans CJK SC" w:hAnsi="Noto Sans CJK SC" w:eastAsia="Noto Sans CJK SC"/>
        </w:rPr>
        <w:t>European Commission. (2024b, December 17). Commission opens formal proceedings against TikTok on election risks under the Digital Services Act. https://digital-strategy.ec.europa.eu/en/news/commission-opens-formal-proceedings-against-tiktok-election-risks-under-digital-services-act</w:t>
      </w:r>
    </w:p>
    <w:p>
      <w:pPr>
        <w:keepLines/>
        <w:spacing w:after="100" w:line="276" w:lineRule="auto"/>
        <w:ind w:left="432" w:hanging="432"/>
      </w:pPr>
      <w:r>
        <w:rPr>
          <w:rFonts w:ascii="Noto Sans CJK SC" w:hAnsi="Noto Sans CJK SC" w:eastAsia="Noto Sans CJK SC"/>
        </w:rPr>
        <w:t>European Commission. (2026). AI Act: Shaping Europe’s digital future. https://digital-strategy.ec.europa.eu/en/policies/regulatory-framework-ai</w:t>
      </w:r>
    </w:p>
    <w:p>
      <w:pPr>
        <w:keepLines/>
        <w:spacing w:before="0" w:after="100" w:line="276" w:lineRule="auto"/>
        <w:ind w:left="432" w:hanging="432"/>
        <w:jc w:val="left"/>
      </w:pPr>
      <w:r>
        <w:rPr>
          <w:rFonts w:ascii="Noto Sans CJK SC" w:hAnsi="Noto Sans CJK SC" w:eastAsia="Noto Sans CJK SC"/>
        </w:rPr>
        <w:t>European Commission for Democracy through Law (Venice Commission). (2025). Urgent report on the cancellation of election results by constitutional courts (CDL-AD(2025)003). Council of Europe. https://www.venice.coe.int/webforms/documents/default.aspx?pdffile=CDL-AD(2025)003-e</w:t>
      </w:r>
    </w:p>
    <w:p>
      <w:pPr>
        <w:keepLines/>
        <w:spacing w:before="0" w:after="100" w:line="276" w:lineRule="auto"/>
        <w:ind w:left="432" w:hanging="432"/>
        <w:jc w:val="left"/>
      </w:pPr>
      <w:r>
        <w:rPr>
          <w:rFonts w:ascii="Noto Sans CJK SC" w:hAnsi="Noto Sans CJK SC" w:eastAsia="Noto Sans CJK SC"/>
        </w:rPr>
        <w:t>Minnesota Revisor of Statutes. (2025). Minn. Stat. § 609.771: Use of deep fake technology to influence election. https://www.revisor.mn.gov/statutes/cite/609.771</w:t>
      </w:r>
    </w:p>
    <w:p>
      <w:pPr>
        <w:keepLines/>
        <w:spacing w:before="0" w:after="100" w:line="276" w:lineRule="auto"/>
        <w:ind w:left="432" w:hanging="432"/>
        <w:jc w:val="left"/>
      </w:pPr>
      <w:r>
        <w:rPr>
          <w:rFonts w:ascii="Noto Sans CJK SC" w:hAnsi="Noto Sans CJK SC" w:eastAsia="Noto Sans CJK SC"/>
        </w:rPr>
        <w:t>Office of the Director of National Intelligence. (2024, September 23). Election security update as of mid-September 2024: Foreign actors boosting influence operations with generated and manipulated media. https://www.odni.gov/files/FMIC/documents/ODNI-Election-Security-Update-20240923.pdf</w:t>
      </w:r>
    </w:p>
    <w:p>
      <w:pPr>
        <w:keepLines/>
        <w:spacing w:before="0" w:after="100" w:line="276" w:lineRule="auto"/>
        <w:ind w:left="432" w:hanging="432"/>
        <w:jc w:val="left"/>
      </w:pPr>
      <w:r>
        <w:rPr>
          <w:rFonts w:ascii="Noto Sans CJK SC" w:hAnsi="Noto Sans CJK SC" w:eastAsia="Noto Sans CJK SC"/>
        </w:rPr>
        <w:t>Romanian Constitutional Court. (2024, December 6). Ruling No. 32 of 6 December 2024. https://www.ccr.ro/wp-content/uploads/2025/02/RULING-No-32-2024.pdf</w:t>
      </w:r>
    </w:p>
    <w:p>
      <w:pPr>
        <w:keepLines/>
        <w:spacing w:before="0" w:after="100" w:line="276" w:lineRule="auto"/>
        <w:ind w:left="432" w:hanging="432"/>
        <w:jc w:val="left"/>
      </w:pPr>
      <w:r>
        <w:rPr>
          <w:rFonts w:ascii="Noto Sans CJK SC" w:hAnsi="Noto Sans CJK SC" w:eastAsia="Noto Sans CJK SC"/>
        </w:rPr>
        <w:t>UNESCO. (2021). Recommendation on the ethics of artificial intelligence. https://unesdoc.unesco.org/ark:/48223/pf0000381137</w:t>
      </w:r>
    </w:p>
    <w:p>
      <w:pPr>
        <w:keepLines/>
        <w:spacing w:before="0" w:after="100" w:line="276" w:lineRule="auto"/>
        <w:ind w:left="432" w:hanging="432"/>
        <w:jc w:val="left"/>
      </w:pPr>
      <w:r>
        <w:rPr>
          <w:rFonts w:ascii="Noto Sans CJK SC" w:hAnsi="Noto Sans CJK SC" w:eastAsia="Noto Sans CJK SC"/>
        </w:rPr>
        <w:t>U.S. Department of the Treasury. (2024, December 31). Treasury sanctions entities in Iran and Russia that attempted to interfere in the U.S. 2024 election. https://home.treasury.gov/news/press-releases/jy2766</w:t>
      </w:r>
    </w:p>
    <w:p>
      <w:pPr>
        <w:keepLines/>
        <w:spacing w:before="0" w:after="100" w:line="276" w:lineRule="auto"/>
        <w:ind w:left="432" w:hanging="432"/>
        <w:jc w:val="left"/>
      </w:pPr>
      <w:r>
        <w:rPr>
          <w:rFonts w:ascii="Noto Sans CJK SC" w:hAnsi="Noto Sans CJK SC" w:eastAsia="Noto Sans CJK SC"/>
        </w:rPr>
        <w:t>United States Senate. (2025, July 1). Roll call vote 363, 119th Congress, 1st session: Blackburn Amendment No. 2814. https://www.senate.gov/legislative/LIS/roll_call_votes/vote1191/vote_119_1_00363.htm</w:t>
      </w:r>
    </w:p>
    <w:p>
      <w:pPr>
        <w:keepLines/>
        <w:spacing w:before="0" w:after="100" w:line="276" w:lineRule="auto"/>
        <w:ind w:left="432" w:hanging="432"/>
        <w:jc w:val="left"/>
      </w:pPr>
      <w:r>
        <w:rPr>
          <w:rFonts w:ascii="Noto Sans CJK SC" w:hAnsi="Noto Sans CJK SC" w:eastAsia="Noto Sans CJK SC"/>
        </w:rPr>
        <w:t>X Corp. v. Ellison, No. 0:25-cv-01649 (D. Minn. Dec. 2, 2025). https://law.justia.com/cases/federal/district-courts/minnesota/mndce/0%3A2025cv01649/224575/47/</w:t>
      </w:r>
    </w:p>
    <w:sectPr w:rsidR="00FC693F" w:rsidRPr="0006063C" w:rsidSect="00034616">
      <w:headerReference w:type="default" r:id="rId10"/>
      <w:footerReference w:type="default" r:id="rId11"/>
      <w:pgSz w:w="11906" w:h="16838"/>
      <w:pgMar w:top="1247" w:right="1417" w:bottom="124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盧建旭｜2026年8月公共深偽應變版</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t>深偽何時成為國家治理事件？｜公共行政事件壓力測試</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24" w:lineRule="auto" w:after="0"/>
      <w:jc w:val="both"/>
    </w:pPr>
    <w:rPr>
      <w:rFonts w:ascii="Noto Sans CJK SC" w:hAnsi="Noto Sans CJK SC" w:eastAsia="Noto Sans CJK S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Noto Sans CJK SC" w:hAnsi="Noto Sans CJK SC" w:eastAsia="Noto Sans CJK SC"/>
    </w:rPr>
  </w:style>
  <w:style w:type="character" w:customStyle="1" w:styleId="HeaderChar">
    <w:name w:val="Header Char"/>
    <w:basedOn w:val="DefaultParagraphFont"/>
    <w:link w:val="Header"/>
    <w:uiPriority w:val="99"/>
    <w:rsid w:val="00E618BF"/>
    <w:rPr>
      <w:rFonts w:ascii="Noto Sans CJK SC" w:hAnsi="Noto Sans CJK SC" w:eastAsia="Noto Sans CJK SC"/>
    </w:rPr>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Noto Sans CJK SC" w:hAnsi="Noto Sans CJK SC" w:eastAsia="Noto Sans CJK SC"/>
    </w:rPr>
  </w:style>
  <w:style w:type="character" w:customStyle="1" w:styleId="FooterChar">
    <w:name w:val="Footer Char"/>
    <w:basedOn w:val="DefaultParagraphFont"/>
    <w:link w:val="Footer"/>
    <w:uiPriority w:val="99"/>
    <w:rsid w:val="00E618BF"/>
    <w:rPr>
      <w:rFonts w:ascii="Noto Sans CJK SC" w:hAnsi="Noto Sans CJK SC" w:eastAsia="Noto Sans CJK SC"/>
    </w:rPr>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ascii="Noto Sans CJK SC" w:hAnsi="Noto Sans CJK SC" w:eastAsia="Noto Sans CJK SC"/>
      <w:b/>
      <w:bCs/>
      <w:color w:val="17365D"/>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Noto Sans CJK SC" w:hAnsi="Noto Sans CJK SC" w:eastAsia="Noto Sans CJK SC"/>
      <w:b/>
      <w:bCs/>
      <w:color w:val="1F4E79"/>
      <w:sz w:val="27"/>
      <w:szCs w:val="26"/>
    </w:rPr>
  </w:style>
  <w:style w:type="paragraph" w:styleId="Heading3">
    <w:name w:val="heading 3"/>
    <w:basedOn w:val="Normal"/>
    <w:next w:val="Normal"/>
    <w:link w:val="Heading3Char"/>
    <w:uiPriority w:val="9"/>
    <w:unhideWhenUsed/>
    <w:qFormat/>
    <w:rsid w:val="00FC693F"/>
    <w:pPr>
      <w:keepNext/>
      <w:keepLines/>
      <w:spacing w:before="240" w:after="120"/>
      <w:outlineLvl w:val="2"/>
    </w:pPr>
    <w:rPr>
      <w:rFonts w:asciiTheme="majorHAnsi" w:eastAsiaTheme="majorEastAsia" w:hAnsiTheme="majorHAnsi" w:cstheme="majorBidi" w:ascii="Noto Sans CJK SC" w:hAnsi="Noto Sans CJK SC" w:eastAsia="Noto Sans CJK SC"/>
      <w:b/>
      <w:bCs/>
      <w:color w:val="2F5597"/>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ascii="Noto Sans CJK SC" w:hAnsi="Noto Sans CJK SC" w:eastAsia="Noto Sans CJK SC"/>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ascii="Noto Sans CJK SC" w:hAnsi="Noto Sans CJK SC" w:eastAsia="Noto Sans CJK SC"/>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ascii="Noto Sans CJK SC" w:hAnsi="Noto Sans CJK SC" w:eastAsia="Noto Sans CJK SC"/>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ascii="Noto Sans CJK SC" w:hAnsi="Noto Sans CJK SC" w:eastAsia="Noto Sans CJK SC"/>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ascii="Noto Sans CJK SC" w:hAnsi="Noto Sans CJK SC" w:eastAsia="Noto Sans CJK SC"/>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ascii="Noto Sans CJK SC" w:hAnsi="Noto Sans CJK SC" w:eastAsia="Noto Sans CJK SC"/>
      <w:i/>
      <w:iCs/>
      <w:color w:val="404040" w:themeColor="text1" w:themeTint="BF"/>
      <w:sz w:val="20"/>
      <w:szCs w:val="20"/>
    </w:rPr>
  </w:style>
  <w:style w:type="character" w:default="1" w:styleId="DefaultParagraphFont">
    <w:name w:val="Default Paragraph Font"/>
    <w:uiPriority w:val="1"/>
    <w:semiHidden/>
    <w:unhideWhenUsed/>
    <w:rPr>
      <w:rFonts w:ascii="Noto Sans CJK SC" w:hAnsi="Noto Sans CJK SC" w:eastAsia="Noto Sans CJK SC"/>
    </w:rPr>
  </w:style>
  <w:style w:type="table" w:default="1" w:styleId="TableNormal">
    <w:name w:val="Normal Table"/>
    <w:uiPriority w:val="99"/>
    <w:semiHidden/>
    <w:unhideWhenUsed/>
    <w:rPr>
      <w:rFonts w:ascii="Noto Sans CJK SC" w:hAnsi="Noto Sans CJK SC" w:eastAsia="Noto Sans CJK SC"/>
    </w:rPr>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rPr>
      <w:rFonts w:ascii="Noto Sans CJK SC" w:hAnsi="Noto Sans CJK SC" w:eastAsia="Noto Sans CJK SC"/>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ascii="Noto Sans CJK SC" w:hAnsi="Noto Sans CJK SC" w:eastAsia="Noto Sans CJK SC"/>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ascii="Noto Sans CJK SC" w:hAnsi="Noto Sans CJK SC" w:eastAsia="Noto Sans CJK SC"/>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ascii="Noto Sans CJK SC" w:hAnsi="Noto Sans CJK SC" w:eastAsia="Noto Sans CJK SC"/>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20" w:line="240" w:lineRule="auto" w:before="0"/>
      <w:contextualSpacing/>
    </w:pPr>
    <w:rPr>
      <w:rFonts w:asciiTheme="majorHAnsi" w:eastAsiaTheme="majorEastAsia" w:hAnsiTheme="majorHAnsi" w:cstheme="majorBidi" w:ascii="Noto Sans CJK SC" w:hAnsi="Noto Sans CJK SC" w:eastAsia="Noto Sans CJK SC"/>
      <w:b/>
      <w:color w:val="17365D"/>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ascii="Noto Sans CJK SC" w:hAnsi="Noto Sans CJK SC" w:eastAsia="Noto Sans CJK SC"/>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Noto Sans CJK SC" w:hAnsi="Noto Sans CJK SC" w:eastAsia="Noto Sans CJK SC"/>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ascii="Noto Sans CJK SC" w:hAnsi="Noto Sans CJK SC" w:eastAsia="Noto Sans CJK SC"/>
      <w:i/>
      <w:iCs/>
      <w:color w:val="4F81BD" w:themeColor="accent1"/>
      <w:spacing w:val="15"/>
      <w:sz w:val="24"/>
      <w:szCs w:val="24"/>
    </w:rPr>
  </w:style>
  <w:style w:type="paragraph" w:styleId="ListParagraph">
    <w:name w:val="List Paragraph"/>
    <w:basedOn w:val="Normal"/>
    <w:uiPriority w:val="34"/>
    <w:qFormat/>
    <w:rsid w:val="00FC693F"/>
    <w:pPr>
      <w:ind w:left="720"/>
      <w:contextualSpacing/>
    </w:pPr>
    <w:rPr>
      <w:rFonts w:ascii="Noto Sans CJK SC" w:hAnsi="Noto Sans CJK SC" w:eastAsia="Noto Sans CJK SC"/>
    </w:rPr>
  </w:style>
  <w:style w:type="paragraph" w:styleId="BodyText">
    <w:name w:val="Body Text"/>
    <w:basedOn w:val="Normal"/>
    <w:link w:val="BodyTextChar"/>
    <w:uiPriority w:val="99"/>
    <w:unhideWhenUsed/>
    <w:rsid w:val="00AA1D8D"/>
    <w:pPr>
      <w:spacing w:after="120"/>
    </w:pPr>
    <w:rPr>
      <w:rFonts w:ascii="Noto Sans CJK SC" w:hAnsi="Noto Sans CJK SC" w:eastAsia="Noto Sans CJK SC"/>
    </w:rPr>
  </w:style>
  <w:style w:type="character" w:customStyle="1" w:styleId="BodyTextChar">
    <w:name w:val="Body Text Char"/>
    <w:basedOn w:val="DefaultParagraphFont"/>
    <w:link w:val="BodyText"/>
    <w:uiPriority w:val="99"/>
    <w:rsid w:val="00AA1D8D"/>
    <w:rPr>
      <w:rFonts w:ascii="Noto Sans CJK SC" w:hAnsi="Noto Sans CJK SC" w:eastAsia="Noto Sans CJK SC"/>
    </w:rPr>
  </w:style>
  <w:style w:type="paragraph" w:styleId="BodyText2">
    <w:name w:val="Body Text 2"/>
    <w:basedOn w:val="Normal"/>
    <w:link w:val="BodyText2Char"/>
    <w:uiPriority w:val="99"/>
    <w:unhideWhenUsed/>
    <w:rsid w:val="00AA1D8D"/>
    <w:pPr>
      <w:spacing w:after="120" w:line="480" w:lineRule="auto"/>
    </w:pPr>
    <w:rPr>
      <w:rFonts w:ascii="Noto Sans CJK SC" w:hAnsi="Noto Sans CJK SC" w:eastAsia="Noto Sans CJK SC"/>
    </w:rPr>
  </w:style>
  <w:style w:type="character" w:customStyle="1" w:styleId="BodyText2Char">
    <w:name w:val="Body Text 2 Char"/>
    <w:basedOn w:val="DefaultParagraphFont"/>
    <w:link w:val="BodyText2"/>
    <w:uiPriority w:val="99"/>
    <w:rsid w:val="00AA1D8D"/>
    <w:rPr>
      <w:rFonts w:ascii="Noto Sans CJK SC" w:hAnsi="Noto Sans CJK SC" w:eastAsia="Noto Sans CJK SC"/>
    </w:rPr>
  </w:style>
  <w:style w:type="paragraph" w:styleId="BodyText3">
    <w:name w:val="Body Text 3"/>
    <w:basedOn w:val="Normal"/>
    <w:link w:val="BodyText3Char"/>
    <w:uiPriority w:val="99"/>
    <w:unhideWhenUsed/>
    <w:rsid w:val="00AA1D8D"/>
    <w:pPr>
      <w:spacing w:after="120"/>
    </w:pPr>
    <w:rPr>
      <w:rFonts w:ascii="Noto Sans CJK SC" w:hAnsi="Noto Sans CJK SC" w:eastAsia="Noto Sans CJK SC"/>
      <w:sz w:val="16"/>
      <w:szCs w:val="16"/>
    </w:rPr>
  </w:style>
  <w:style w:type="character" w:customStyle="1" w:styleId="BodyText3Char">
    <w:name w:val="Body Text 3 Char"/>
    <w:basedOn w:val="DefaultParagraphFont"/>
    <w:link w:val="BodyText3"/>
    <w:uiPriority w:val="99"/>
    <w:rsid w:val="00AA1D8D"/>
    <w:rPr>
      <w:rFonts w:ascii="Noto Sans CJK SC" w:hAnsi="Noto Sans CJK SC" w:eastAsia="Noto Sans CJK SC"/>
      <w:sz w:val="16"/>
      <w:szCs w:val="16"/>
    </w:rPr>
  </w:style>
  <w:style w:type="paragraph" w:styleId="List">
    <w:name w:val="List"/>
    <w:basedOn w:val="Normal"/>
    <w:uiPriority w:val="99"/>
    <w:unhideWhenUsed/>
    <w:rsid w:val="00AA1D8D"/>
    <w:pPr>
      <w:ind w:left="360" w:hanging="360"/>
      <w:contextualSpacing/>
    </w:pPr>
    <w:rPr>
      <w:rFonts w:ascii="Noto Sans CJK SC" w:hAnsi="Noto Sans CJK SC" w:eastAsia="Noto Sans CJK SC"/>
    </w:rPr>
  </w:style>
  <w:style w:type="paragraph" w:styleId="List2">
    <w:name w:val="List 2"/>
    <w:basedOn w:val="Normal"/>
    <w:uiPriority w:val="99"/>
    <w:unhideWhenUsed/>
    <w:rsid w:val="00326F90"/>
    <w:pPr>
      <w:ind w:left="720" w:hanging="360"/>
      <w:contextualSpacing/>
    </w:pPr>
    <w:rPr>
      <w:rFonts w:ascii="Noto Sans CJK SC" w:hAnsi="Noto Sans CJK SC" w:eastAsia="Noto Sans CJK SC"/>
    </w:rPr>
  </w:style>
  <w:style w:type="paragraph" w:styleId="List3">
    <w:name w:val="List 3"/>
    <w:basedOn w:val="Normal"/>
    <w:uiPriority w:val="99"/>
    <w:unhideWhenUsed/>
    <w:rsid w:val="00326F90"/>
    <w:pPr>
      <w:ind w:left="1080" w:hanging="360"/>
      <w:contextualSpacing/>
    </w:pPr>
    <w:rPr>
      <w:rFonts w:ascii="Noto Sans CJK SC" w:hAnsi="Noto Sans CJK SC" w:eastAsia="Noto Sans CJK SC"/>
    </w:rPr>
  </w:style>
  <w:style w:type="paragraph" w:styleId="ListBullet">
    <w:name w:val="List Bullet"/>
    <w:basedOn w:val="Normal"/>
    <w:uiPriority w:val="99"/>
    <w:unhideWhenUsed/>
    <w:rsid w:val="00326F90"/>
    <w:pPr>
      <w:numPr>
        <w:numId w:val="1"/>
      </w:numPr>
      <w:contextualSpacing/>
    </w:pPr>
    <w:rPr>
      <w:rFonts w:ascii="Noto Sans CJK SC" w:hAnsi="Noto Sans CJK SC" w:eastAsia="Noto Sans CJK SC"/>
    </w:rPr>
  </w:style>
  <w:style w:type="paragraph" w:styleId="ListBullet2">
    <w:name w:val="List Bullet 2"/>
    <w:basedOn w:val="Normal"/>
    <w:uiPriority w:val="99"/>
    <w:unhideWhenUsed/>
    <w:rsid w:val="00326F90"/>
    <w:pPr>
      <w:numPr>
        <w:numId w:val="2"/>
      </w:numPr>
      <w:contextualSpacing/>
    </w:pPr>
    <w:rPr>
      <w:rFonts w:ascii="Noto Sans CJK SC" w:hAnsi="Noto Sans CJK SC" w:eastAsia="Noto Sans CJK SC"/>
    </w:rPr>
  </w:style>
  <w:style w:type="paragraph" w:styleId="ListBullet3">
    <w:name w:val="List Bullet 3"/>
    <w:basedOn w:val="Normal"/>
    <w:uiPriority w:val="99"/>
    <w:unhideWhenUsed/>
    <w:rsid w:val="00326F90"/>
    <w:pPr>
      <w:numPr>
        <w:numId w:val="3"/>
      </w:numPr>
      <w:contextualSpacing/>
    </w:pPr>
    <w:rPr>
      <w:rFonts w:ascii="Noto Sans CJK SC" w:hAnsi="Noto Sans CJK SC" w:eastAsia="Noto Sans CJK SC"/>
    </w:rPr>
  </w:style>
  <w:style w:type="paragraph" w:styleId="ListNumber">
    <w:name w:val="List Number"/>
    <w:basedOn w:val="Normal"/>
    <w:uiPriority w:val="99"/>
    <w:unhideWhenUsed/>
    <w:rsid w:val="00326F90"/>
    <w:pPr>
      <w:numPr>
        <w:numId w:val="5"/>
      </w:numPr>
      <w:contextualSpacing/>
    </w:pPr>
    <w:rPr>
      <w:rFonts w:ascii="Noto Sans CJK SC" w:hAnsi="Noto Sans CJK SC" w:eastAsia="Noto Sans CJK SC"/>
    </w:rPr>
  </w:style>
  <w:style w:type="paragraph" w:styleId="ListNumber2">
    <w:name w:val="List Number 2"/>
    <w:basedOn w:val="Normal"/>
    <w:uiPriority w:val="99"/>
    <w:unhideWhenUsed/>
    <w:rsid w:val="0029639D"/>
    <w:pPr>
      <w:numPr>
        <w:numId w:val="6"/>
      </w:numPr>
      <w:contextualSpacing/>
    </w:pPr>
    <w:rPr>
      <w:rFonts w:ascii="Noto Sans CJK SC" w:hAnsi="Noto Sans CJK SC" w:eastAsia="Noto Sans CJK SC"/>
    </w:rPr>
  </w:style>
  <w:style w:type="paragraph" w:styleId="ListNumber3">
    <w:name w:val="List Number 3"/>
    <w:basedOn w:val="Normal"/>
    <w:uiPriority w:val="99"/>
    <w:unhideWhenUsed/>
    <w:rsid w:val="0029639D"/>
    <w:pPr>
      <w:numPr>
        <w:numId w:val="7"/>
      </w:numPr>
      <w:contextualSpacing/>
    </w:pPr>
    <w:rPr>
      <w:rFonts w:ascii="Noto Sans CJK SC" w:hAnsi="Noto Sans CJK SC" w:eastAsia="Noto Sans CJK SC"/>
    </w:rPr>
  </w:style>
  <w:style w:type="paragraph" w:styleId="ListContinue">
    <w:name w:val="List Continue"/>
    <w:basedOn w:val="Normal"/>
    <w:uiPriority w:val="99"/>
    <w:unhideWhenUsed/>
    <w:rsid w:val="0029639D"/>
    <w:pPr>
      <w:spacing w:after="120"/>
      <w:ind w:left="360"/>
      <w:contextualSpacing/>
    </w:pPr>
    <w:rPr>
      <w:rFonts w:ascii="Noto Sans CJK SC" w:hAnsi="Noto Sans CJK SC" w:eastAsia="Noto Sans CJK SC"/>
    </w:rPr>
  </w:style>
  <w:style w:type="paragraph" w:styleId="ListContinue2">
    <w:name w:val="List Continue 2"/>
    <w:basedOn w:val="Normal"/>
    <w:uiPriority w:val="99"/>
    <w:unhideWhenUsed/>
    <w:rsid w:val="0029639D"/>
    <w:pPr>
      <w:spacing w:after="120"/>
      <w:ind w:left="720"/>
      <w:contextualSpacing/>
    </w:pPr>
    <w:rPr>
      <w:rFonts w:ascii="Noto Sans CJK SC" w:hAnsi="Noto Sans CJK SC" w:eastAsia="Noto Sans CJK SC"/>
    </w:rPr>
  </w:style>
  <w:style w:type="paragraph" w:styleId="ListContinue3">
    <w:name w:val="List Continue 3"/>
    <w:basedOn w:val="Normal"/>
    <w:uiPriority w:val="99"/>
    <w:unhideWhenUsed/>
    <w:rsid w:val="0029639D"/>
    <w:pPr>
      <w:spacing w:after="120"/>
      <w:ind w:left="1080"/>
      <w:contextualSpacing/>
    </w:pPr>
    <w:rPr>
      <w:rFonts w:ascii="Noto Sans CJK SC" w:hAnsi="Noto Sans CJK SC" w:eastAsia="Noto Sans CJK SC"/>
    </w:r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Noto Sans CJK SC" w:hAnsi="Noto Sans CJK SC" w:eastAsia="Noto Sans CJK SC"/>
      <w:sz w:val="20"/>
      <w:szCs w:val="20"/>
    </w:rPr>
  </w:style>
  <w:style w:type="character" w:customStyle="1" w:styleId="MacroTextChar">
    <w:name w:val="Macro Text Char"/>
    <w:basedOn w:val="DefaultParagraphFont"/>
    <w:link w:val="MacroText"/>
    <w:uiPriority w:val="99"/>
    <w:rsid w:val="0029639D"/>
    <w:rPr>
      <w:rFonts w:ascii="Noto Sans CJK SC" w:hAnsi="Noto Sans CJK SC" w:eastAsia="Noto Sans CJK SC"/>
      <w:sz w:val="20"/>
      <w:szCs w:val="20"/>
    </w:rPr>
  </w:style>
  <w:style w:type="paragraph" w:styleId="Quote">
    <w:name w:val="Quote"/>
    <w:basedOn w:val="Normal"/>
    <w:next w:val="Normal"/>
    <w:link w:val="QuoteChar"/>
    <w:uiPriority w:val="29"/>
    <w:qFormat/>
    <w:rsid w:val="00FC693F"/>
    <w:rPr>
      <w:rFonts w:ascii="Noto Sans CJK SC" w:hAnsi="Noto Sans CJK SC" w:eastAsia="Noto Sans CJK SC"/>
      <w:i/>
      <w:iCs/>
      <w:color w:val="000000" w:themeColor="text1"/>
    </w:rPr>
  </w:style>
  <w:style w:type="character" w:customStyle="1" w:styleId="QuoteChar">
    <w:name w:val="Quote Char"/>
    <w:basedOn w:val="DefaultParagraphFont"/>
    <w:link w:val="Quote"/>
    <w:uiPriority w:val="29"/>
    <w:rsid w:val="00FC693F"/>
    <w:rPr>
      <w:rFonts w:ascii="Noto Sans CJK SC" w:hAnsi="Noto Sans CJK SC" w:eastAsia="Noto Sans CJK SC"/>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ascii="Noto Sans CJK SC" w:hAnsi="Noto Sans CJK SC" w:eastAsia="Noto Sans CJK SC"/>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ascii="Noto Sans CJK SC" w:hAnsi="Noto Sans CJK SC" w:eastAsia="Noto Sans CJK SC"/>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ascii="Noto Sans CJK SC" w:hAnsi="Noto Sans CJK SC" w:eastAsia="Noto Sans CJK SC"/>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ascii="Noto Sans CJK SC" w:hAnsi="Noto Sans CJK SC" w:eastAsia="Noto Sans CJK SC"/>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ascii="Noto Sans CJK SC" w:hAnsi="Noto Sans CJK SC" w:eastAsia="Noto Sans CJK SC"/>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ascii="Noto Sans CJK SC" w:hAnsi="Noto Sans CJK SC" w:eastAsia="Noto Sans CJK SC"/>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Noto Sans CJK SC" w:hAnsi="Noto Sans CJK SC" w:eastAsia="Noto Sans CJK SC"/>
      <w:b/>
      <w:bCs/>
      <w:color w:val="4F81BD" w:themeColor="accent1"/>
      <w:sz w:val="18"/>
      <w:szCs w:val="18"/>
    </w:rPr>
  </w:style>
  <w:style w:type="character" w:styleId="Strong">
    <w:name w:val="Strong"/>
    <w:basedOn w:val="DefaultParagraphFont"/>
    <w:uiPriority w:val="22"/>
    <w:qFormat/>
    <w:rsid w:val="00FC693F"/>
    <w:rPr>
      <w:rFonts w:ascii="Noto Sans CJK SC" w:hAnsi="Noto Sans CJK SC" w:eastAsia="Noto Sans CJK SC"/>
      <w:b/>
      <w:bCs/>
    </w:rPr>
  </w:style>
  <w:style w:type="character" w:styleId="Emphasis">
    <w:name w:val="Emphasis"/>
    <w:basedOn w:val="DefaultParagraphFont"/>
    <w:uiPriority w:val="20"/>
    <w:qFormat/>
    <w:rsid w:val="00FC693F"/>
    <w:rPr>
      <w:rFonts w:ascii="Noto Sans CJK SC" w:hAnsi="Noto Sans CJK SC" w:eastAsia="Noto Sans CJK SC"/>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rFonts w:ascii="Noto Sans CJK SC" w:hAnsi="Noto Sans CJK SC" w:eastAsia="Noto Sans CJK SC"/>
      <w:b/>
      <w:bCs/>
      <w:i/>
      <w:iCs/>
      <w:color w:val="4F81BD" w:themeColor="accent1"/>
    </w:rPr>
  </w:style>
  <w:style w:type="character" w:customStyle="1" w:styleId="IntenseQuoteChar">
    <w:name w:val="Intense Quote Char"/>
    <w:basedOn w:val="DefaultParagraphFont"/>
    <w:link w:val="IntenseQuote"/>
    <w:uiPriority w:val="30"/>
    <w:rsid w:val="00FC693F"/>
    <w:rPr>
      <w:rFonts w:ascii="Noto Sans CJK SC" w:hAnsi="Noto Sans CJK SC" w:eastAsia="Noto Sans CJK SC"/>
      <w:b/>
      <w:bCs/>
      <w:i/>
      <w:iCs/>
      <w:color w:val="4F81BD" w:themeColor="accent1"/>
    </w:rPr>
  </w:style>
  <w:style w:type="character" w:styleId="SubtleEmphasis">
    <w:name w:val="Subtle Emphasis"/>
    <w:basedOn w:val="DefaultParagraphFont"/>
    <w:uiPriority w:val="19"/>
    <w:qFormat/>
    <w:rsid w:val="00FC693F"/>
    <w:rPr>
      <w:rFonts w:ascii="Noto Sans CJK SC" w:hAnsi="Noto Sans CJK SC" w:eastAsia="Noto Sans CJK SC"/>
      <w:i/>
      <w:iCs/>
      <w:color w:val="808080" w:themeColor="text1" w:themeTint="7F"/>
    </w:rPr>
  </w:style>
  <w:style w:type="character" w:styleId="IntenseEmphasis">
    <w:name w:val="Intense Emphasis"/>
    <w:basedOn w:val="DefaultParagraphFont"/>
    <w:uiPriority w:val="21"/>
    <w:qFormat/>
    <w:rsid w:val="00FC693F"/>
    <w:rPr>
      <w:rFonts w:ascii="Noto Sans CJK SC" w:hAnsi="Noto Sans CJK SC" w:eastAsia="Noto Sans CJK SC"/>
      <w:b/>
      <w:bCs/>
      <w:i/>
      <w:iCs/>
      <w:color w:val="4F81BD" w:themeColor="accent1"/>
    </w:rPr>
  </w:style>
  <w:style w:type="character" w:styleId="SubtleReference">
    <w:name w:val="Subtle Reference"/>
    <w:basedOn w:val="DefaultParagraphFont"/>
    <w:uiPriority w:val="31"/>
    <w:qFormat/>
    <w:rsid w:val="00FC693F"/>
    <w:rPr>
      <w:rFonts w:ascii="Noto Sans CJK SC" w:hAnsi="Noto Sans CJK SC" w:eastAsia="Noto Sans CJK SC"/>
      <w:smallCaps/>
      <w:color w:val="C0504D" w:themeColor="accent2"/>
      <w:u w:val="single"/>
    </w:rPr>
  </w:style>
  <w:style w:type="character" w:styleId="IntenseReference">
    <w:name w:val="Intense Reference"/>
    <w:basedOn w:val="DefaultParagraphFont"/>
    <w:uiPriority w:val="32"/>
    <w:qFormat/>
    <w:rsid w:val="00FC693F"/>
    <w:rPr>
      <w:rFonts w:ascii="Noto Sans CJK SC" w:hAnsi="Noto Sans CJK SC" w:eastAsia="Noto Sans CJK SC"/>
      <w:b/>
      <w:bCs/>
      <w:smallCaps/>
      <w:color w:val="C0504D" w:themeColor="accent2"/>
      <w:spacing w:val="5"/>
      <w:u w:val="single"/>
    </w:rPr>
  </w:style>
  <w:style w:type="character" w:styleId="BookTitle">
    <w:name w:val="Book Title"/>
    <w:basedOn w:val="DefaultParagraphFont"/>
    <w:uiPriority w:val="33"/>
    <w:qFormat/>
    <w:rsid w:val="00FC693F"/>
    <w:rPr>
      <w:rFonts w:ascii="Noto Sans CJK SC" w:hAnsi="Noto Sans CJK SC" w:eastAsia="Noto Sans CJK SC"/>
      <w:b/>
      <w:bCs/>
      <w:smallCaps/>
      <w:spacing w:val="5"/>
    </w:rPr>
  </w:style>
  <w:style w:type="paragraph" w:styleId="TOCHeading">
    <w:name w:val="TOC Heading"/>
    <w:basedOn w:val="Heading1"/>
    <w:next w:val="Normal"/>
    <w:uiPriority w:val="39"/>
    <w:semiHidden/>
    <w:unhideWhenUsed/>
    <w:qFormat/>
    <w:rsid w:val="00FC693F"/>
    <w:pPr>
      <w:outlineLvl w:val="9"/>
    </w:pPr>
    <w:rPr>
      <w:rFonts w:ascii="Noto Sans CJK SC" w:hAnsi="Noto Sans CJK SC" w:eastAsia="Noto Sans CJK SC"/>
    </w:rPr>
  </w:style>
  <w:style w:type="table" w:styleId="TableGrid">
    <w:name w:val="Table Grid"/>
    <w:basedOn w:val="TableNormal"/>
    <w:uiPriority w:val="59"/>
    <w:rsid w:val="00FC693F"/>
    <w:pPr>
      <w:spacing w:after="0" w:line="240" w:lineRule="auto"/>
    </w:pPr>
    <w:rPr>
      <w:rFonts w:ascii="Noto Sans CJK SC" w:hAnsi="Noto Sans CJK SC" w:eastAsia="Noto Sans CJK S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rFonts w:ascii="Noto Sans CJK SC" w:hAnsi="Noto Sans CJK SC" w:eastAsia="Noto Sans CJK SC"/>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rFonts w:ascii="Noto Sans CJK SC" w:hAnsi="Noto Sans CJK SC" w:eastAsia="Noto Sans CJK SC"/>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rFonts w:ascii="Noto Sans CJK SC" w:hAnsi="Noto Sans CJK SC" w:eastAsia="Noto Sans CJK SC"/>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rFonts w:ascii="Noto Sans CJK SC" w:hAnsi="Noto Sans CJK SC" w:eastAsia="Noto Sans CJK SC"/>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rFonts w:ascii="Noto Sans CJK SC" w:hAnsi="Noto Sans CJK SC" w:eastAsia="Noto Sans CJK SC"/>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rFonts w:ascii="Noto Sans CJK SC" w:hAnsi="Noto Sans CJK SC" w:eastAsia="Noto Sans CJK SC"/>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rFonts w:ascii="Noto Sans CJK SC" w:hAnsi="Noto Sans CJK SC" w:eastAsia="Noto Sans CJK SC"/>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rPr>
      <w:rFonts w:ascii="Noto Sans CJK SC" w:hAnsi="Noto Sans CJK SC" w:eastAsia="Noto Sans CJK SC"/>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rPr>
      <w:rFonts w:ascii="Noto Sans CJK SC" w:hAnsi="Noto Sans CJK SC" w:eastAsia="Noto Sans CJK SC"/>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rPr>
      <w:rFonts w:ascii="Noto Sans CJK SC" w:hAnsi="Noto Sans CJK SC" w:eastAsia="Noto Sans CJK SC"/>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rPr>
      <w:rFonts w:ascii="Noto Sans CJK SC" w:hAnsi="Noto Sans CJK SC" w:eastAsia="Noto Sans CJK SC"/>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rPr>
      <w:rFonts w:ascii="Noto Sans CJK SC" w:hAnsi="Noto Sans CJK SC" w:eastAsia="Noto Sans CJK SC"/>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rPr>
      <w:rFonts w:ascii="Noto Sans CJK SC" w:hAnsi="Noto Sans CJK SC" w:eastAsia="Noto Sans CJK SC"/>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rPr>
      <w:rFonts w:ascii="Noto Sans CJK SC" w:hAnsi="Noto Sans CJK SC" w:eastAsia="Noto Sans CJK SC"/>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rPr>
      <w:rFonts w:ascii="Noto Sans CJK SC" w:hAnsi="Noto Sans CJK SC" w:eastAsia="Noto Sans CJK SC"/>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rPr>
      <w:rFonts w:ascii="Noto Sans CJK SC" w:hAnsi="Noto Sans CJK SC" w:eastAsia="Noto Sans CJK SC"/>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rPr>
      <w:rFonts w:ascii="Noto Sans CJK SC" w:hAnsi="Noto Sans CJK SC" w:eastAsia="Noto Sans CJK SC"/>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rPr>
      <w:rFonts w:ascii="Noto Sans CJK SC" w:hAnsi="Noto Sans CJK SC" w:eastAsia="Noto Sans CJK SC"/>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rPr>
      <w:rFonts w:ascii="Noto Sans CJK SC" w:hAnsi="Noto Sans CJK SC" w:eastAsia="Noto Sans CJK SC"/>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rPr>
      <w:rFonts w:ascii="Noto Sans CJK SC" w:hAnsi="Noto Sans CJK SC" w:eastAsia="Noto Sans CJK SC"/>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rPr>
      <w:rFonts w:ascii="Noto Sans CJK SC" w:hAnsi="Noto Sans CJK SC" w:eastAsia="Noto Sans CJK SC"/>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rPr>
      <w:rFonts w:ascii="Noto Sans CJK SC" w:hAnsi="Noto Sans CJK SC" w:eastAsia="Noto Sans CJK SC"/>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rPr>
      <w:rFonts w:ascii="Noto Sans CJK SC" w:hAnsi="Noto Sans CJK SC" w:eastAsia="Noto Sans CJK SC"/>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rPr>
      <w:rFonts w:ascii="Noto Sans CJK SC" w:hAnsi="Noto Sans CJK SC" w:eastAsia="Noto Sans CJK SC"/>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rPr>
      <w:rFonts w:ascii="Noto Sans CJK SC" w:hAnsi="Noto Sans CJK SC" w:eastAsia="Noto Sans CJK SC"/>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rPr>
      <w:rFonts w:ascii="Noto Sans CJK SC" w:hAnsi="Noto Sans CJK SC" w:eastAsia="Noto Sans CJK SC"/>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rPr>
      <w:rFonts w:ascii="Noto Sans CJK SC" w:hAnsi="Noto Sans CJK SC" w:eastAsia="Noto Sans CJK SC"/>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rPr>
      <w:rFonts w:ascii="Noto Sans CJK SC" w:hAnsi="Noto Sans CJK SC" w:eastAsia="Noto Sans CJK SC"/>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rPr>
      <w:rFonts w:ascii="Noto Sans CJK SC" w:hAnsi="Noto Sans CJK SC" w:eastAsia="Noto Sans CJK SC"/>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rPr>
      <w:rFonts w:ascii="Noto Sans CJK SC" w:hAnsi="Noto Sans CJK SC" w:eastAsia="Noto Sans CJK SC"/>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rPr>
      <w:rFonts w:ascii="Noto Sans CJK SC" w:hAnsi="Noto Sans CJK SC" w:eastAsia="Noto Sans CJK SC"/>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rPr>
      <w:rFonts w:ascii="Noto Sans CJK SC" w:hAnsi="Noto Sans CJK SC" w:eastAsia="Noto Sans CJK SC"/>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rPr>
      <w:rFonts w:ascii="Noto Sans CJK SC" w:hAnsi="Noto Sans CJK SC" w:eastAsia="Noto Sans CJK SC"/>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rPr>
      <w:rFonts w:ascii="Noto Sans CJK SC" w:hAnsi="Noto Sans CJK SC" w:eastAsia="Noto Sans CJK SC"/>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rPr>
      <w:rFonts w:ascii="Noto Sans CJK SC" w:hAnsi="Noto Sans CJK SC" w:eastAsia="Noto Sans CJK SC"/>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rFonts w:ascii="Noto Sans CJK SC" w:hAnsi="Noto Sans CJK SC" w:eastAsia="Noto Sans CJK SC"/>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rFonts w:ascii="Noto Sans CJK SC" w:hAnsi="Noto Sans CJK SC" w:eastAsia="Noto Sans CJK SC"/>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rFonts w:ascii="Noto Sans CJK SC" w:hAnsi="Noto Sans CJK SC" w:eastAsia="Noto Sans CJK SC"/>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rFonts w:ascii="Noto Sans CJK SC" w:hAnsi="Noto Sans CJK SC" w:eastAsia="Noto Sans CJK SC"/>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rFonts w:ascii="Noto Sans CJK SC" w:hAnsi="Noto Sans CJK SC" w:eastAsia="Noto Sans CJK SC"/>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rFonts w:ascii="Noto Sans CJK SC" w:hAnsi="Noto Sans CJK SC" w:eastAsia="Noto Sans CJK SC"/>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rFonts w:ascii="Noto Sans CJK SC" w:hAnsi="Noto Sans CJK SC" w:eastAsia="Noto Sans CJK SC"/>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ascii="Noto Sans CJK SC" w:hAnsi="Noto Sans CJK SC" w:eastAsia="Noto Sans CJK SC"/>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ascii="Noto Sans CJK SC" w:hAnsi="Noto Sans CJK SC" w:eastAsia="Noto Sans CJK SC"/>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ascii="Noto Sans CJK SC" w:hAnsi="Noto Sans CJK SC" w:eastAsia="Noto Sans CJK SC"/>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ascii="Noto Sans CJK SC" w:hAnsi="Noto Sans CJK SC" w:eastAsia="Noto Sans CJK SC"/>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ascii="Noto Sans CJK SC" w:hAnsi="Noto Sans CJK SC" w:eastAsia="Noto Sans CJK SC"/>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ascii="Noto Sans CJK SC" w:hAnsi="Noto Sans CJK SC" w:eastAsia="Noto Sans CJK SC"/>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ascii="Noto Sans CJK SC" w:hAnsi="Noto Sans CJK SC" w:eastAsia="Noto Sans CJK SC"/>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rPr>
      <w:rFonts w:ascii="Noto Sans CJK SC" w:hAnsi="Noto Sans CJK SC" w:eastAsia="Noto Sans CJK SC"/>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rPr>
      <w:rFonts w:ascii="Noto Sans CJK SC" w:hAnsi="Noto Sans CJK SC" w:eastAsia="Noto Sans CJK SC"/>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rPr>
      <w:rFonts w:ascii="Noto Sans CJK SC" w:hAnsi="Noto Sans CJK SC" w:eastAsia="Noto Sans CJK SC"/>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rPr>
      <w:rFonts w:ascii="Noto Sans CJK SC" w:hAnsi="Noto Sans CJK SC" w:eastAsia="Noto Sans CJK SC"/>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rPr>
      <w:rFonts w:ascii="Noto Sans CJK SC" w:hAnsi="Noto Sans CJK SC" w:eastAsia="Noto Sans CJK SC"/>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rPr>
      <w:rFonts w:ascii="Noto Sans CJK SC" w:hAnsi="Noto Sans CJK SC" w:eastAsia="Noto Sans CJK SC"/>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rPr>
      <w:rFonts w:ascii="Noto Sans CJK SC" w:hAnsi="Noto Sans CJK SC" w:eastAsia="Noto Sans CJK SC"/>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ascii="Noto Sans CJK SC" w:hAnsi="Noto Sans CJK SC" w:eastAsia="Noto Sans CJK SC"/>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ascii="Noto Sans CJK SC" w:hAnsi="Noto Sans CJK SC" w:eastAsia="Noto Sans CJK SC"/>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ascii="Noto Sans CJK SC" w:hAnsi="Noto Sans CJK SC" w:eastAsia="Noto Sans CJK SC"/>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ascii="Noto Sans CJK SC" w:hAnsi="Noto Sans CJK SC" w:eastAsia="Noto Sans CJK SC"/>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ascii="Noto Sans CJK SC" w:hAnsi="Noto Sans CJK SC" w:eastAsia="Noto Sans CJK SC"/>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ascii="Noto Sans CJK SC" w:hAnsi="Noto Sans CJK SC" w:eastAsia="Noto Sans CJK SC"/>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ascii="Noto Sans CJK SC" w:hAnsi="Noto Sans CJK SC" w:eastAsia="Noto Sans CJK SC"/>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rPr>
      <w:rFonts w:ascii="Noto Sans CJK SC" w:hAnsi="Noto Sans CJK SC" w:eastAsia="Noto Sans CJK SC"/>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rPr>
      <w:rFonts w:ascii="Noto Sans CJK SC" w:hAnsi="Noto Sans CJK SC" w:eastAsia="Noto Sans CJK SC"/>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rPr>
      <w:rFonts w:ascii="Noto Sans CJK SC" w:hAnsi="Noto Sans CJK SC" w:eastAsia="Noto Sans CJK SC"/>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rPr>
      <w:rFonts w:ascii="Noto Sans CJK SC" w:hAnsi="Noto Sans CJK SC" w:eastAsia="Noto Sans CJK SC"/>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rPr>
      <w:rFonts w:ascii="Noto Sans CJK SC" w:hAnsi="Noto Sans CJK SC" w:eastAsia="Noto Sans CJK SC"/>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rPr>
      <w:rFonts w:ascii="Noto Sans CJK SC" w:hAnsi="Noto Sans CJK SC" w:eastAsia="Noto Sans CJK SC"/>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rPr>
      <w:rFonts w:ascii="Noto Sans CJK SC" w:hAnsi="Noto Sans CJK SC" w:eastAsia="Noto Sans CJK SC"/>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rFonts w:ascii="Noto Sans CJK SC" w:hAnsi="Noto Sans CJK SC" w:eastAsia="Noto Sans CJK SC"/>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rFonts w:ascii="Noto Sans CJK SC" w:hAnsi="Noto Sans CJK SC" w:eastAsia="Noto Sans CJK SC"/>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rFonts w:ascii="Noto Sans CJK SC" w:hAnsi="Noto Sans CJK SC" w:eastAsia="Noto Sans CJK SC"/>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rFonts w:ascii="Noto Sans CJK SC" w:hAnsi="Noto Sans CJK SC" w:eastAsia="Noto Sans CJK SC"/>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rFonts w:ascii="Noto Sans CJK SC" w:hAnsi="Noto Sans CJK SC" w:eastAsia="Noto Sans CJK SC"/>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rFonts w:ascii="Noto Sans CJK SC" w:hAnsi="Noto Sans CJK SC" w:eastAsia="Noto Sans CJK SC"/>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rFonts w:ascii="Noto Sans CJK SC" w:hAnsi="Noto Sans CJK SC" w:eastAsia="Noto Sans CJK SC"/>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rFonts w:ascii="Noto Sans CJK SC" w:hAnsi="Noto Sans CJK SC" w:eastAsia="Noto Sans CJK SC"/>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rFonts w:ascii="Noto Sans CJK SC" w:hAnsi="Noto Sans CJK SC" w:eastAsia="Noto Sans CJK SC"/>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rFonts w:ascii="Noto Sans CJK SC" w:hAnsi="Noto Sans CJK SC" w:eastAsia="Noto Sans CJK SC"/>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rFonts w:ascii="Noto Sans CJK SC" w:hAnsi="Noto Sans CJK SC" w:eastAsia="Noto Sans CJK SC"/>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rFonts w:ascii="Noto Sans CJK SC" w:hAnsi="Noto Sans CJK SC" w:eastAsia="Noto Sans CJK SC"/>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rFonts w:ascii="Noto Sans CJK SC" w:hAnsi="Noto Sans CJK SC" w:eastAsia="Noto Sans CJK SC"/>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rFonts w:ascii="Noto Sans CJK SC" w:hAnsi="Noto Sans CJK SC" w:eastAsia="Noto Sans CJK SC"/>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rFonts w:ascii="Noto Sans CJK SC" w:hAnsi="Noto Sans CJK SC" w:eastAsia="Noto Sans CJK SC"/>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rFonts w:ascii="Noto Sans CJK SC" w:hAnsi="Noto Sans CJK SC" w:eastAsia="Noto Sans CJK SC"/>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rFonts w:ascii="Noto Sans CJK SC" w:hAnsi="Noto Sans CJK SC" w:eastAsia="Noto Sans CJK SC"/>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rFonts w:ascii="Noto Sans CJK SC" w:hAnsi="Noto Sans CJK SC" w:eastAsia="Noto Sans CJK SC"/>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rFonts w:ascii="Noto Sans CJK SC" w:hAnsi="Noto Sans CJK SC" w:eastAsia="Noto Sans CJK SC"/>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rFonts w:ascii="Noto Sans CJK SC" w:hAnsi="Noto Sans CJK SC" w:eastAsia="Noto Sans CJK SC"/>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rFonts w:ascii="Noto Sans CJK SC" w:hAnsi="Noto Sans CJK SC" w:eastAsia="Noto Sans CJK SC"/>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rFonts w:ascii="Noto Sans CJK SC" w:hAnsi="Noto Sans CJK SC" w:eastAsia="Noto Sans CJK SC"/>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rFonts w:ascii="Noto Sans CJK SC" w:hAnsi="Noto Sans CJK SC" w:eastAsia="Noto Sans CJK SC"/>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rFonts w:ascii="Noto Sans CJK SC" w:hAnsi="Noto Sans CJK SC" w:eastAsia="Noto Sans CJK SC"/>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rFonts w:ascii="Noto Sans CJK SC" w:hAnsi="Noto Sans CJK SC" w:eastAsia="Noto Sans CJK SC"/>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rFonts w:ascii="Noto Sans CJK SC" w:hAnsi="Noto Sans CJK SC" w:eastAsia="Noto Sans CJK SC"/>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rFonts w:ascii="Noto Sans CJK SC" w:hAnsi="Noto Sans CJK SC" w:eastAsia="Noto Sans CJK SC"/>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rFonts w:ascii="Noto Sans CJK SC" w:hAnsi="Noto Sans CJK SC" w:eastAsia="Noto Sans CJK SC"/>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深偽何時成為國家治理事件？危害分級、暫時主責與治理稽核</dc:title>
  <dc:subject>公共深偽事件之公共行政壓力測試</dc:subject>
  <dc:creator>盧建旭（Lancelot Lu）</dc:creator>
  <cp:keywords>AI治理；選舉資訊環境；二十五治理座標；治理鏈；責任私有化</cp:keywords>
  <dc:description>generated by python-docx</dc:description>
  <cp:lastModifiedBy/>
  <cp:revision>1</cp:revision>
  <dcterms:created xsi:type="dcterms:W3CDTF">2013-12-23T23:15:00Z</dcterms:created>
  <dcterms:modified xsi:type="dcterms:W3CDTF">2013-12-23T23:15:00Z</dcterms:modified>
  <cp:category/>
</cp:coreProperties>
</file>